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ajorEastAsia"/>
          <w:sz w:val="24"/>
        </w:rPr>
        <w:id w:val="1459625244"/>
        <w:docPartObj>
          <w:docPartGallery w:val="Cover Pages"/>
          <w:docPartUnique/>
        </w:docPartObj>
      </w:sdtPr>
      <w:sdtEndPr>
        <w:rPr>
          <w:rFonts w:eastAsiaTheme="minorEastAsia"/>
          <w:szCs w:val="24"/>
          <w:lang w:val="en-US"/>
        </w:rPr>
      </w:sdtEndPr>
      <w:sdtContent>
        <w:bookmarkStart w:id="0" w:name="_GoBack" w:displacedByCustomXml="prev"/>
        <w:bookmarkEnd w:id="0" w:displacedByCustomXml="prev"/>
        <w:p w14:paraId="1DF0DA62" w14:textId="13B10409" w:rsidR="00DB37F0" w:rsidRPr="00DB37F0" w:rsidRDefault="00B33E3D" w:rsidP="00DB37F0">
          <w:pPr>
            <w:jc w:val="center"/>
            <w:rPr>
              <w:rFonts w:eastAsiaTheme="majorEastAsia"/>
              <w:sz w:val="24"/>
              <w:lang w:val="en-US"/>
            </w:rPr>
          </w:pPr>
          <w:r>
            <w:rPr>
              <w:noProof/>
              <w:lang w:val="en-US" w:eastAsia="en-US"/>
            </w:rPr>
            <w:drawing>
              <wp:anchor distT="0" distB="0" distL="114300" distR="114300" simplePos="0" relativeHeight="251683840" behindDoc="0" locked="0" layoutInCell="1" allowOverlap="1" wp14:anchorId="5C0AD9A9" wp14:editId="4D509324">
                <wp:simplePos x="0" y="0"/>
                <wp:positionH relativeFrom="column">
                  <wp:posOffset>-1295400</wp:posOffset>
                </wp:positionH>
                <wp:positionV relativeFrom="paragraph">
                  <wp:posOffset>-781685</wp:posOffset>
                </wp:positionV>
                <wp:extent cx="2828925" cy="159114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ENG_2_transparent.png"/>
                        <pic:cNvPicPr/>
                      </pic:nvPicPr>
                      <pic:blipFill>
                        <a:blip r:embed="rId8" cstate="print">
                          <a:extLst>
                            <a:ext uri="{BEBA8EAE-BF5A-486C-A8C5-ECC9F3942E4B}">
                              <a14:imgProps xmlns:a14="http://schemas.microsoft.com/office/drawing/2010/main">
                                <a14:imgLayer r:embed="rId9">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2828925" cy="1591143"/>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en-US"/>
            </w:rPr>
            <w:drawing>
              <wp:anchor distT="0" distB="0" distL="114300" distR="114300" simplePos="0" relativeHeight="251672575" behindDoc="0" locked="0" layoutInCell="1" allowOverlap="1" wp14:anchorId="5F7EE0A5" wp14:editId="26C56A85">
                <wp:simplePos x="0" y="0"/>
                <wp:positionH relativeFrom="column">
                  <wp:posOffset>-1466850</wp:posOffset>
                </wp:positionH>
                <wp:positionV relativeFrom="paragraph">
                  <wp:posOffset>-962660</wp:posOffset>
                </wp:positionV>
                <wp:extent cx="7534275" cy="9992800"/>
                <wp:effectExtent l="0" t="0" r="0" b="889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PR_2026_cover_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35061" cy="9993842"/>
                        </a:xfrm>
                        <a:prstGeom prst="rect">
                          <a:avLst/>
                        </a:prstGeom>
                      </pic:spPr>
                    </pic:pic>
                  </a:graphicData>
                </a:graphic>
                <wp14:sizeRelH relativeFrom="margin">
                  <wp14:pctWidth>0</wp14:pctWidth>
                </wp14:sizeRelH>
                <wp14:sizeRelV relativeFrom="margin">
                  <wp14:pctHeight>0</wp14:pctHeight>
                </wp14:sizeRelV>
              </wp:anchor>
            </w:drawing>
          </w:r>
          <w:r w:rsidR="00DB37F0" w:rsidRPr="00DB37F0">
            <w:rPr>
              <w:rFonts w:eastAsiaTheme="majorEastAsia"/>
              <w:sz w:val="24"/>
              <w:lang w:val="en-US"/>
            </w:rPr>
            <w:t>Greece</w:t>
          </w:r>
        </w:p>
        <w:p w14:paraId="3BF6B6CC" w14:textId="0B4A84F6" w:rsidR="00271936" w:rsidRPr="00DB37F0" w:rsidRDefault="00DB37F0" w:rsidP="00DB37F0">
          <w:pPr>
            <w:jc w:val="center"/>
            <w:rPr>
              <w:rFonts w:eastAsiaTheme="majorEastAsia"/>
              <w:b/>
              <w:noProof/>
              <w:sz w:val="32"/>
              <w:lang w:val="en-US"/>
            </w:rPr>
          </w:pPr>
          <w:r w:rsidRPr="00DB37F0">
            <w:rPr>
              <w:rFonts w:eastAsiaTheme="majorEastAsia"/>
              <w:b/>
              <w:noProof/>
              <w:sz w:val="32"/>
              <w:lang w:val="en-US"/>
            </w:rPr>
            <w:t xml:space="preserve">Annual Progress Report 2026 </w:t>
          </w:r>
        </w:p>
        <w:p w14:paraId="02CF77BF" w14:textId="77777777" w:rsidR="00DB37F0" w:rsidRDefault="00DB37F0" w:rsidP="00DB37F0">
          <w:pPr>
            <w:jc w:val="center"/>
            <w:rPr>
              <w:rFonts w:eastAsiaTheme="majorEastAsia"/>
              <w:noProof/>
              <w:lang w:val="en-US"/>
            </w:rPr>
          </w:pPr>
          <w:r>
            <w:rPr>
              <w:rFonts w:eastAsiaTheme="majorEastAsia"/>
              <w:noProof/>
              <w:lang w:val="en-US"/>
            </w:rPr>
            <w:t>[cover]</w:t>
          </w:r>
        </w:p>
        <w:p w14:paraId="6C31805F" w14:textId="77777777" w:rsidR="00DB37F0" w:rsidRPr="00DB37F0" w:rsidRDefault="00DB37F0" w:rsidP="00DB37F0">
          <w:pPr>
            <w:ind w:left="1155"/>
            <w:rPr>
              <w:rFonts w:asciiTheme="majorHAnsi" w:eastAsiaTheme="majorEastAsia" w:hAnsiTheme="majorHAnsi" w:cstheme="majorBidi"/>
              <w:color w:val="1F497D" w:themeColor="text2"/>
              <w:sz w:val="36"/>
              <w:szCs w:val="36"/>
              <w:lang w:val="en-US"/>
            </w:rPr>
          </w:pPr>
        </w:p>
        <w:p w14:paraId="4216C03D" w14:textId="77777777" w:rsidR="00DB37F0" w:rsidRPr="00DB37F0" w:rsidRDefault="00DB37F0" w:rsidP="00DB37F0">
          <w:pPr>
            <w:pStyle w:val="ListParagraph"/>
            <w:rPr>
              <w:rFonts w:asciiTheme="majorHAnsi" w:eastAsiaTheme="majorEastAsia" w:hAnsiTheme="majorHAnsi" w:cstheme="majorBidi"/>
              <w:color w:val="1F497D" w:themeColor="text2"/>
              <w:sz w:val="36"/>
              <w:szCs w:val="36"/>
              <w:lang w:val="en-US"/>
            </w:rPr>
          </w:pPr>
        </w:p>
        <w:p w14:paraId="7DD9BB26" w14:textId="77777777" w:rsidR="00271936" w:rsidRDefault="00271936" w:rsidP="007A7773">
          <w:pPr>
            <w:pStyle w:val="NoSpacing"/>
            <w:rPr>
              <w:rFonts w:asciiTheme="majorHAnsi" w:eastAsiaTheme="majorEastAsia" w:hAnsiTheme="majorHAnsi" w:cstheme="majorBidi"/>
              <w:color w:val="1F497D" w:themeColor="text2"/>
              <w:sz w:val="36"/>
              <w:szCs w:val="36"/>
              <w:lang w:val="en-US"/>
            </w:rPr>
          </w:pPr>
        </w:p>
        <w:p w14:paraId="24ED9C97" w14:textId="77777777" w:rsidR="003975D1" w:rsidRPr="00271936" w:rsidRDefault="003975D1" w:rsidP="007A7773">
          <w:pPr>
            <w:pStyle w:val="NoSpacing"/>
            <w:rPr>
              <w:rFonts w:asciiTheme="majorHAnsi" w:eastAsiaTheme="majorEastAsia" w:hAnsiTheme="majorHAnsi" w:cstheme="majorBidi"/>
              <w:color w:val="1F497D" w:themeColor="text2"/>
              <w:sz w:val="36"/>
              <w:szCs w:val="36"/>
              <w:lang w:val="en-US"/>
            </w:rPr>
          </w:pPr>
        </w:p>
        <w:p w14:paraId="4A9D0307" w14:textId="77777777" w:rsidR="00271936" w:rsidRPr="00271936" w:rsidRDefault="00271936" w:rsidP="007A7773">
          <w:pPr>
            <w:pStyle w:val="NoSpacing"/>
            <w:rPr>
              <w:color w:val="1F497D" w:themeColor="text2"/>
              <w:lang w:val="en-US"/>
            </w:rPr>
          </w:pPr>
        </w:p>
        <w:p w14:paraId="048A09E6" w14:textId="77777777" w:rsidR="00271936" w:rsidRPr="003975D1" w:rsidRDefault="00271936" w:rsidP="007A7773">
          <w:pPr>
            <w:pStyle w:val="NoSpacing"/>
            <w:rPr>
              <w:color w:val="1F497D" w:themeColor="text2"/>
              <w:sz w:val="24"/>
              <w:lang w:val="en-US"/>
            </w:rPr>
          </w:pPr>
        </w:p>
        <w:p w14:paraId="3EAA74AD" w14:textId="77777777" w:rsidR="00271936" w:rsidRPr="00271936" w:rsidRDefault="00271936" w:rsidP="007A7773">
          <w:pPr>
            <w:pStyle w:val="NoSpacing"/>
            <w:rPr>
              <w:color w:val="1F497D" w:themeColor="text2"/>
              <w:lang w:val="en-US"/>
            </w:rPr>
          </w:pPr>
        </w:p>
        <w:p w14:paraId="2C4AEC90" w14:textId="77777777" w:rsidR="00271936" w:rsidRPr="00271936" w:rsidRDefault="00271936" w:rsidP="007A7773">
          <w:pPr>
            <w:jc w:val="left"/>
            <w:rPr>
              <w:lang w:val="en-US"/>
            </w:rPr>
          </w:pPr>
        </w:p>
        <w:p w14:paraId="51621060" w14:textId="77777777" w:rsidR="00271936" w:rsidRDefault="00271936" w:rsidP="007A7773">
          <w:pPr>
            <w:jc w:val="left"/>
            <w:rPr>
              <w:sz w:val="24"/>
              <w:szCs w:val="24"/>
              <w:lang w:val="en-US"/>
            </w:rPr>
          </w:pPr>
          <w:r>
            <w:rPr>
              <w:sz w:val="24"/>
              <w:szCs w:val="24"/>
              <w:lang w:val="en-US"/>
            </w:rPr>
            <w:br w:type="page"/>
          </w:r>
        </w:p>
      </w:sdtContent>
    </w:sdt>
    <w:p w14:paraId="3A1B1854" w14:textId="77777777" w:rsidR="00893525" w:rsidRDefault="00893525" w:rsidP="007A7773">
      <w:pPr>
        <w:jc w:val="left"/>
        <w:sectPr w:rsidR="00893525" w:rsidSect="006D781A">
          <w:footerReference w:type="even" r:id="rId11"/>
          <w:footerReference w:type="default" r:id="rId12"/>
          <w:pgSz w:w="11906" w:h="16838"/>
          <w:pgMar w:top="1531" w:right="1304" w:bottom="1418" w:left="1588" w:header="709" w:footer="709" w:gutter="737"/>
          <w:cols w:space="708"/>
          <w:titlePg/>
          <w:docGrid w:linePitch="360"/>
        </w:sectPr>
      </w:pPr>
    </w:p>
    <w:p w14:paraId="3C81261B" w14:textId="025861EA" w:rsidR="00271936" w:rsidRDefault="00271936" w:rsidP="007A7773">
      <w:pPr>
        <w:jc w:val="left"/>
      </w:pPr>
    </w:p>
    <w:p w14:paraId="419FC09C" w14:textId="77777777" w:rsidR="00751F16" w:rsidRDefault="005F62F9" w:rsidP="00393363">
      <w:pPr>
        <w:rPr>
          <w:lang w:val="en-US"/>
        </w:rPr>
      </w:pPr>
      <w:r>
        <w:rPr>
          <w:lang w:val="en-US"/>
        </w:rPr>
        <w:br w:type="page"/>
      </w:r>
    </w:p>
    <w:sdt>
      <w:sdtPr>
        <w:rPr>
          <w:b/>
          <w:bCs/>
        </w:rPr>
        <w:id w:val="1339343142"/>
        <w:docPartObj>
          <w:docPartGallery w:val="Table of Contents"/>
          <w:docPartUnique/>
        </w:docPartObj>
      </w:sdtPr>
      <w:sdtEndPr>
        <w:rPr>
          <w:b w:val="0"/>
          <w:bCs w:val="0"/>
          <w:noProof/>
        </w:rPr>
      </w:sdtEndPr>
      <w:sdtContent>
        <w:p w14:paraId="28AD029B" w14:textId="77777777" w:rsidR="007D7AD1" w:rsidRPr="001E0E69" w:rsidRDefault="007D7AD1" w:rsidP="007F6B40">
          <w:pPr>
            <w:pBdr>
              <w:bottom w:val="single" w:sz="18" w:space="1" w:color="92D050"/>
            </w:pBdr>
            <w:rPr>
              <w:b/>
              <w:color w:val="4F81BD" w:themeColor="accent1"/>
              <w:sz w:val="44"/>
            </w:rPr>
          </w:pPr>
          <w:proofErr w:type="spellStart"/>
          <w:r w:rsidRPr="001E0E69">
            <w:rPr>
              <w:b/>
              <w:color w:val="4F81BD" w:themeColor="accent1"/>
              <w:sz w:val="44"/>
            </w:rPr>
            <w:t>Contents</w:t>
          </w:r>
          <w:proofErr w:type="spellEnd"/>
        </w:p>
        <w:p w14:paraId="1049B74C" w14:textId="7DB8805E" w:rsidR="00CF7CEB" w:rsidRDefault="00B6443E">
          <w:pPr>
            <w:pStyle w:val="TOC1"/>
            <w:rPr>
              <w:b w:val="0"/>
              <w:sz w:val="22"/>
              <w:lang w:val="el-GR"/>
            </w:rPr>
          </w:pPr>
          <w:r>
            <w:fldChar w:fldCharType="begin"/>
          </w:r>
          <w:r w:rsidR="007D7AD1">
            <w:instrText xml:space="preserve"> TOC \o "1-3" \h \z \u </w:instrText>
          </w:r>
          <w:r>
            <w:fldChar w:fldCharType="separate"/>
          </w:r>
          <w:hyperlink w:anchor="_Toc228279072" w:history="1">
            <w:r w:rsidR="00CF7CEB" w:rsidRPr="00F02CBF">
              <w:rPr>
                <w:rStyle w:val="Hyperlink"/>
              </w:rPr>
              <w:t>1.</w:t>
            </w:r>
            <w:r w:rsidR="00CF7CEB">
              <w:rPr>
                <w:b w:val="0"/>
                <w:sz w:val="22"/>
                <w:lang w:val="el-GR"/>
              </w:rPr>
              <w:tab/>
            </w:r>
            <w:r w:rsidR="00CF7CEB" w:rsidRPr="00F02CBF">
              <w:rPr>
                <w:rStyle w:val="Hyperlink"/>
              </w:rPr>
              <w:t>Introduction</w:t>
            </w:r>
            <w:r w:rsidR="00CF7CEB">
              <w:rPr>
                <w:webHidden/>
              </w:rPr>
              <w:tab/>
            </w:r>
            <w:r>
              <w:rPr>
                <w:webHidden/>
              </w:rPr>
              <w:fldChar w:fldCharType="begin"/>
            </w:r>
            <w:r w:rsidR="00CF7CEB">
              <w:rPr>
                <w:webHidden/>
              </w:rPr>
              <w:instrText xml:space="preserve"> PAGEREF _Toc228279072 \h </w:instrText>
            </w:r>
            <w:r>
              <w:rPr>
                <w:webHidden/>
              </w:rPr>
            </w:r>
            <w:r>
              <w:rPr>
                <w:webHidden/>
              </w:rPr>
              <w:fldChar w:fldCharType="separate"/>
            </w:r>
            <w:r w:rsidR="000B61F1">
              <w:rPr>
                <w:webHidden/>
              </w:rPr>
              <w:t>5</w:t>
            </w:r>
            <w:r>
              <w:rPr>
                <w:webHidden/>
              </w:rPr>
              <w:fldChar w:fldCharType="end"/>
            </w:r>
          </w:hyperlink>
        </w:p>
        <w:p w14:paraId="7709A0EB" w14:textId="25136D01" w:rsidR="00CF7CEB" w:rsidRDefault="000B61F1">
          <w:pPr>
            <w:pStyle w:val="TOC1"/>
            <w:rPr>
              <w:b w:val="0"/>
              <w:sz w:val="22"/>
              <w:lang w:val="el-GR"/>
            </w:rPr>
          </w:pPr>
          <w:hyperlink w:anchor="_Toc228279073" w:history="1">
            <w:r w:rsidR="00CF7CEB" w:rsidRPr="00F02CBF">
              <w:rPr>
                <w:rStyle w:val="Hyperlink"/>
              </w:rPr>
              <w:t>2.</w:t>
            </w:r>
            <w:r w:rsidR="00CF7CEB">
              <w:rPr>
                <w:b w:val="0"/>
                <w:sz w:val="22"/>
                <w:lang w:val="el-GR"/>
              </w:rPr>
              <w:tab/>
            </w:r>
            <w:r w:rsidR="00CF7CEB" w:rsidRPr="00F02CBF">
              <w:rPr>
                <w:rStyle w:val="Hyperlink"/>
              </w:rPr>
              <w:t>Macroeconomic context and prospects</w:t>
            </w:r>
            <w:r w:rsidR="00CF7CEB">
              <w:rPr>
                <w:webHidden/>
              </w:rPr>
              <w:tab/>
            </w:r>
            <w:r w:rsidR="00B6443E">
              <w:rPr>
                <w:webHidden/>
              </w:rPr>
              <w:fldChar w:fldCharType="begin"/>
            </w:r>
            <w:r w:rsidR="00CF7CEB">
              <w:rPr>
                <w:webHidden/>
              </w:rPr>
              <w:instrText xml:space="preserve"> PAGEREF _Toc228279073 \h </w:instrText>
            </w:r>
            <w:r w:rsidR="00B6443E">
              <w:rPr>
                <w:webHidden/>
              </w:rPr>
            </w:r>
            <w:r w:rsidR="00B6443E">
              <w:rPr>
                <w:webHidden/>
              </w:rPr>
              <w:fldChar w:fldCharType="separate"/>
            </w:r>
            <w:r>
              <w:rPr>
                <w:webHidden/>
              </w:rPr>
              <w:t>6</w:t>
            </w:r>
            <w:r w:rsidR="00B6443E">
              <w:rPr>
                <w:webHidden/>
              </w:rPr>
              <w:fldChar w:fldCharType="end"/>
            </w:r>
          </w:hyperlink>
        </w:p>
        <w:p w14:paraId="476F4E0F" w14:textId="23509406" w:rsidR="00CF7CEB" w:rsidRDefault="000B61F1">
          <w:pPr>
            <w:pStyle w:val="TOC2"/>
            <w:rPr>
              <w:noProof/>
              <w:sz w:val="22"/>
            </w:rPr>
          </w:pPr>
          <w:hyperlink w:anchor="_Toc228279074" w:history="1">
            <w:r w:rsidR="00CF7CEB" w:rsidRPr="00F02CBF">
              <w:rPr>
                <w:rStyle w:val="Hyperlink"/>
                <w:noProof/>
              </w:rPr>
              <w:t>2.1.</w:t>
            </w:r>
            <w:r w:rsidR="00CF7CEB">
              <w:rPr>
                <w:noProof/>
                <w:sz w:val="22"/>
              </w:rPr>
              <w:tab/>
            </w:r>
            <w:r w:rsidR="00CF7CEB" w:rsidRPr="00F02CBF">
              <w:rPr>
                <w:rStyle w:val="Hyperlink"/>
                <w:noProof/>
              </w:rPr>
              <w:t>Macroeconomic Outturn 2025</w:t>
            </w:r>
            <w:r w:rsidR="00CF7CEB">
              <w:rPr>
                <w:noProof/>
                <w:webHidden/>
              </w:rPr>
              <w:tab/>
            </w:r>
            <w:r w:rsidR="00B6443E">
              <w:rPr>
                <w:noProof/>
                <w:webHidden/>
              </w:rPr>
              <w:fldChar w:fldCharType="begin"/>
            </w:r>
            <w:r w:rsidR="00CF7CEB">
              <w:rPr>
                <w:noProof/>
                <w:webHidden/>
              </w:rPr>
              <w:instrText xml:space="preserve"> PAGEREF _Toc228279074 \h </w:instrText>
            </w:r>
            <w:r w:rsidR="00B6443E">
              <w:rPr>
                <w:noProof/>
                <w:webHidden/>
              </w:rPr>
            </w:r>
            <w:r w:rsidR="00B6443E">
              <w:rPr>
                <w:noProof/>
                <w:webHidden/>
              </w:rPr>
              <w:fldChar w:fldCharType="separate"/>
            </w:r>
            <w:r>
              <w:rPr>
                <w:noProof/>
                <w:webHidden/>
              </w:rPr>
              <w:t>6</w:t>
            </w:r>
            <w:r w:rsidR="00B6443E">
              <w:rPr>
                <w:noProof/>
                <w:webHidden/>
              </w:rPr>
              <w:fldChar w:fldCharType="end"/>
            </w:r>
          </w:hyperlink>
        </w:p>
        <w:p w14:paraId="14126480" w14:textId="1782C5A3" w:rsidR="00CF7CEB" w:rsidRDefault="000B61F1">
          <w:pPr>
            <w:pStyle w:val="TOC2"/>
            <w:rPr>
              <w:noProof/>
              <w:sz w:val="22"/>
            </w:rPr>
          </w:pPr>
          <w:hyperlink w:anchor="_Toc228279075" w:history="1">
            <w:r w:rsidR="00CF7CEB" w:rsidRPr="00F02CBF">
              <w:rPr>
                <w:rStyle w:val="Hyperlink"/>
                <w:noProof/>
              </w:rPr>
              <w:t>2.2.</w:t>
            </w:r>
            <w:r w:rsidR="00CF7CEB">
              <w:rPr>
                <w:noProof/>
                <w:sz w:val="22"/>
              </w:rPr>
              <w:tab/>
            </w:r>
            <w:r w:rsidR="00CF7CEB" w:rsidRPr="00F02CBF">
              <w:rPr>
                <w:rStyle w:val="Hyperlink"/>
                <w:noProof/>
              </w:rPr>
              <w:t>Macroeconomic projections for 2026</w:t>
            </w:r>
            <w:r w:rsidR="00CF7CEB">
              <w:rPr>
                <w:noProof/>
                <w:webHidden/>
              </w:rPr>
              <w:tab/>
            </w:r>
            <w:r w:rsidR="00B6443E">
              <w:rPr>
                <w:noProof/>
                <w:webHidden/>
              </w:rPr>
              <w:fldChar w:fldCharType="begin"/>
            </w:r>
            <w:r w:rsidR="00CF7CEB">
              <w:rPr>
                <w:noProof/>
                <w:webHidden/>
              </w:rPr>
              <w:instrText xml:space="preserve"> PAGEREF _Toc228279075 \h </w:instrText>
            </w:r>
            <w:r w:rsidR="00B6443E">
              <w:rPr>
                <w:noProof/>
                <w:webHidden/>
              </w:rPr>
            </w:r>
            <w:r w:rsidR="00B6443E">
              <w:rPr>
                <w:noProof/>
                <w:webHidden/>
              </w:rPr>
              <w:fldChar w:fldCharType="separate"/>
            </w:r>
            <w:r>
              <w:rPr>
                <w:noProof/>
                <w:webHidden/>
              </w:rPr>
              <w:t>8</w:t>
            </w:r>
            <w:r w:rsidR="00B6443E">
              <w:rPr>
                <w:noProof/>
                <w:webHidden/>
              </w:rPr>
              <w:fldChar w:fldCharType="end"/>
            </w:r>
          </w:hyperlink>
        </w:p>
        <w:p w14:paraId="20A64E2E" w14:textId="780E531F" w:rsidR="00CF7CEB" w:rsidRDefault="000B61F1">
          <w:pPr>
            <w:pStyle w:val="TOC3"/>
            <w:rPr>
              <w:noProof/>
              <w:sz w:val="22"/>
            </w:rPr>
          </w:pPr>
          <w:hyperlink w:anchor="_Toc228279076" w:history="1">
            <w:r w:rsidR="00CF7CEB" w:rsidRPr="00F02CBF">
              <w:rPr>
                <w:rStyle w:val="Hyperlink"/>
                <w:noProof/>
              </w:rPr>
              <w:t>2.2.1.</w:t>
            </w:r>
            <w:r w:rsidR="00CF7CEB">
              <w:rPr>
                <w:noProof/>
                <w:sz w:val="22"/>
              </w:rPr>
              <w:tab/>
            </w:r>
            <w:r w:rsidR="00CF7CEB" w:rsidRPr="00F02CBF">
              <w:rPr>
                <w:rStyle w:val="Hyperlink"/>
                <w:noProof/>
              </w:rPr>
              <w:t>Risks</w:t>
            </w:r>
            <w:r w:rsidR="00CF7CEB">
              <w:rPr>
                <w:noProof/>
                <w:webHidden/>
              </w:rPr>
              <w:tab/>
            </w:r>
            <w:r w:rsidR="00B6443E">
              <w:rPr>
                <w:noProof/>
                <w:webHidden/>
              </w:rPr>
              <w:fldChar w:fldCharType="begin"/>
            </w:r>
            <w:r w:rsidR="00CF7CEB">
              <w:rPr>
                <w:noProof/>
                <w:webHidden/>
              </w:rPr>
              <w:instrText xml:space="preserve"> PAGEREF _Toc228279076 \h </w:instrText>
            </w:r>
            <w:r w:rsidR="00B6443E">
              <w:rPr>
                <w:noProof/>
                <w:webHidden/>
              </w:rPr>
            </w:r>
            <w:r w:rsidR="00B6443E">
              <w:rPr>
                <w:noProof/>
                <w:webHidden/>
              </w:rPr>
              <w:fldChar w:fldCharType="separate"/>
            </w:r>
            <w:r>
              <w:rPr>
                <w:noProof/>
                <w:webHidden/>
              </w:rPr>
              <w:t>10</w:t>
            </w:r>
            <w:r w:rsidR="00B6443E">
              <w:rPr>
                <w:noProof/>
                <w:webHidden/>
              </w:rPr>
              <w:fldChar w:fldCharType="end"/>
            </w:r>
          </w:hyperlink>
        </w:p>
        <w:p w14:paraId="2711FFB9" w14:textId="537D381D" w:rsidR="00CF7CEB" w:rsidRDefault="000B61F1">
          <w:pPr>
            <w:pStyle w:val="TOC1"/>
            <w:rPr>
              <w:b w:val="0"/>
              <w:sz w:val="22"/>
              <w:lang w:val="el-GR"/>
            </w:rPr>
          </w:pPr>
          <w:hyperlink w:anchor="_Toc228279077" w:history="1">
            <w:r w:rsidR="00CF7CEB" w:rsidRPr="00F02CBF">
              <w:rPr>
                <w:rStyle w:val="Hyperlink"/>
              </w:rPr>
              <w:t>3.</w:t>
            </w:r>
            <w:r w:rsidR="00CF7CEB">
              <w:rPr>
                <w:b w:val="0"/>
                <w:sz w:val="22"/>
                <w:lang w:val="el-GR"/>
              </w:rPr>
              <w:tab/>
            </w:r>
            <w:r w:rsidR="00CF7CEB" w:rsidRPr="00F02CBF">
              <w:rPr>
                <w:rStyle w:val="Hyperlink"/>
              </w:rPr>
              <w:t>Budgetary developments</w:t>
            </w:r>
            <w:r w:rsidR="00CF7CEB">
              <w:rPr>
                <w:webHidden/>
              </w:rPr>
              <w:tab/>
            </w:r>
            <w:r w:rsidR="00B6443E">
              <w:rPr>
                <w:webHidden/>
              </w:rPr>
              <w:fldChar w:fldCharType="begin"/>
            </w:r>
            <w:r w:rsidR="00CF7CEB">
              <w:rPr>
                <w:webHidden/>
              </w:rPr>
              <w:instrText xml:space="preserve"> PAGEREF _Toc228279077 \h </w:instrText>
            </w:r>
            <w:r w:rsidR="00B6443E">
              <w:rPr>
                <w:webHidden/>
              </w:rPr>
            </w:r>
            <w:r w:rsidR="00B6443E">
              <w:rPr>
                <w:webHidden/>
              </w:rPr>
              <w:fldChar w:fldCharType="separate"/>
            </w:r>
            <w:r>
              <w:rPr>
                <w:webHidden/>
              </w:rPr>
              <w:t>11</w:t>
            </w:r>
            <w:r w:rsidR="00B6443E">
              <w:rPr>
                <w:webHidden/>
              </w:rPr>
              <w:fldChar w:fldCharType="end"/>
            </w:r>
          </w:hyperlink>
        </w:p>
        <w:p w14:paraId="788C1AD8" w14:textId="4646ECD9" w:rsidR="00CF7CEB" w:rsidRDefault="000B61F1">
          <w:pPr>
            <w:pStyle w:val="TOC2"/>
            <w:rPr>
              <w:noProof/>
              <w:sz w:val="22"/>
            </w:rPr>
          </w:pPr>
          <w:hyperlink w:anchor="_Toc228279078" w:history="1">
            <w:r w:rsidR="00CF7CEB" w:rsidRPr="00F02CBF">
              <w:rPr>
                <w:rStyle w:val="Hyperlink"/>
                <w:noProof/>
              </w:rPr>
              <w:t>3.1.</w:t>
            </w:r>
            <w:r w:rsidR="00CF7CEB">
              <w:rPr>
                <w:noProof/>
                <w:sz w:val="22"/>
              </w:rPr>
              <w:tab/>
            </w:r>
            <w:r w:rsidR="00CF7CEB" w:rsidRPr="00F02CBF">
              <w:rPr>
                <w:rStyle w:val="Hyperlink"/>
                <w:noProof/>
              </w:rPr>
              <w:t>Fiscal outturn 2025</w:t>
            </w:r>
            <w:r w:rsidR="00CF7CEB">
              <w:rPr>
                <w:noProof/>
                <w:webHidden/>
              </w:rPr>
              <w:tab/>
            </w:r>
            <w:r w:rsidR="00B6443E">
              <w:rPr>
                <w:noProof/>
                <w:webHidden/>
              </w:rPr>
              <w:fldChar w:fldCharType="begin"/>
            </w:r>
            <w:r w:rsidR="00CF7CEB">
              <w:rPr>
                <w:noProof/>
                <w:webHidden/>
              </w:rPr>
              <w:instrText xml:space="preserve"> PAGEREF _Toc228279078 \h </w:instrText>
            </w:r>
            <w:r w:rsidR="00B6443E">
              <w:rPr>
                <w:noProof/>
                <w:webHidden/>
              </w:rPr>
            </w:r>
            <w:r w:rsidR="00B6443E">
              <w:rPr>
                <w:noProof/>
                <w:webHidden/>
              </w:rPr>
              <w:fldChar w:fldCharType="separate"/>
            </w:r>
            <w:r>
              <w:rPr>
                <w:noProof/>
                <w:webHidden/>
              </w:rPr>
              <w:t>11</w:t>
            </w:r>
            <w:r w:rsidR="00B6443E">
              <w:rPr>
                <w:noProof/>
                <w:webHidden/>
              </w:rPr>
              <w:fldChar w:fldCharType="end"/>
            </w:r>
          </w:hyperlink>
        </w:p>
        <w:p w14:paraId="31EECAFA" w14:textId="541C6EAF" w:rsidR="00CF7CEB" w:rsidRDefault="000B61F1">
          <w:pPr>
            <w:pStyle w:val="TOC2"/>
            <w:rPr>
              <w:noProof/>
              <w:sz w:val="22"/>
            </w:rPr>
          </w:pPr>
          <w:hyperlink w:anchor="_Toc228279079" w:history="1">
            <w:r w:rsidR="00CF7CEB" w:rsidRPr="00F02CBF">
              <w:rPr>
                <w:rStyle w:val="Hyperlink"/>
                <w:noProof/>
              </w:rPr>
              <w:t>3.2.</w:t>
            </w:r>
            <w:r w:rsidR="00CF7CEB">
              <w:rPr>
                <w:noProof/>
                <w:sz w:val="22"/>
              </w:rPr>
              <w:tab/>
            </w:r>
            <w:r w:rsidR="00CF7CEB" w:rsidRPr="00F02CBF">
              <w:rPr>
                <w:rStyle w:val="Hyperlink"/>
                <w:noProof/>
              </w:rPr>
              <w:t>Fiscal outlook 2026</w:t>
            </w:r>
            <w:r w:rsidR="00CF7CEB">
              <w:rPr>
                <w:noProof/>
                <w:webHidden/>
              </w:rPr>
              <w:tab/>
            </w:r>
            <w:r w:rsidR="00B6443E">
              <w:rPr>
                <w:noProof/>
                <w:webHidden/>
              </w:rPr>
              <w:fldChar w:fldCharType="begin"/>
            </w:r>
            <w:r w:rsidR="00CF7CEB">
              <w:rPr>
                <w:noProof/>
                <w:webHidden/>
              </w:rPr>
              <w:instrText xml:space="preserve"> PAGEREF _Toc228279079 \h </w:instrText>
            </w:r>
            <w:r w:rsidR="00B6443E">
              <w:rPr>
                <w:noProof/>
                <w:webHidden/>
              </w:rPr>
            </w:r>
            <w:r w:rsidR="00B6443E">
              <w:rPr>
                <w:noProof/>
                <w:webHidden/>
              </w:rPr>
              <w:fldChar w:fldCharType="separate"/>
            </w:r>
            <w:r>
              <w:rPr>
                <w:noProof/>
                <w:webHidden/>
              </w:rPr>
              <w:t>14</w:t>
            </w:r>
            <w:r w:rsidR="00B6443E">
              <w:rPr>
                <w:noProof/>
                <w:webHidden/>
              </w:rPr>
              <w:fldChar w:fldCharType="end"/>
            </w:r>
          </w:hyperlink>
        </w:p>
        <w:p w14:paraId="30EDB210" w14:textId="5D3629DC" w:rsidR="00CF7CEB" w:rsidRDefault="000B61F1">
          <w:pPr>
            <w:pStyle w:val="TOC2"/>
            <w:rPr>
              <w:noProof/>
              <w:sz w:val="22"/>
            </w:rPr>
          </w:pPr>
          <w:hyperlink w:anchor="_Toc228279080" w:history="1">
            <w:r w:rsidR="00CF7CEB" w:rsidRPr="00F02CBF">
              <w:rPr>
                <w:rStyle w:val="Hyperlink"/>
                <w:noProof/>
                <w:lang w:val="en-US"/>
              </w:rPr>
              <w:t>3.3.</w:t>
            </w:r>
            <w:r w:rsidR="00CF7CEB">
              <w:rPr>
                <w:noProof/>
                <w:sz w:val="22"/>
              </w:rPr>
              <w:tab/>
            </w:r>
            <w:r w:rsidR="00CF7CEB" w:rsidRPr="00F02CBF">
              <w:rPr>
                <w:rStyle w:val="Hyperlink"/>
                <w:noProof/>
                <w:lang w:val="en-US"/>
              </w:rPr>
              <w:t>Net expenditure growth</w:t>
            </w:r>
            <w:r w:rsidR="00CF7CEB">
              <w:rPr>
                <w:noProof/>
                <w:webHidden/>
              </w:rPr>
              <w:tab/>
            </w:r>
            <w:r w:rsidR="00B6443E">
              <w:rPr>
                <w:noProof/>
                <w:webHidden/>
              </w:rPr>
              <w:fldChar w:fldCharType="begin"/>
            </w:r>
            <w:r w:rsidR="00CF7CEB">
              <w:rPr>
                <w:noProof/>
                <w:webHidden/>
              </w:rPr>
              <w:instrText xml:space="preserve"> PAGEREF _Toc228279080 \h </w:instrText>
            </w:r>
            <w:r w:rsidR="00B6443E">
              <w:rPr>
                <w:noProof/>
                <w:webHidden/>
              </w:rPr>
            </w:r>
            <w:r w:rsidR="00B6443E">
              <w:rPr>
                <w:noProof/>
                <w:webHidden/>
              </w:rPr>
              <w:fldChar w:fldCharType="separate"/>
            </w:r>
            <w:r>
              <w:rPr>
                <w:noProof/>
                <w:webHidden/>
              </w:rPr>
              <w:t>15</w:t>
            </w:r>
            <w:r w:rsidR="00B6443E">
              <w:rPr>
                <w:noProof/>
                <w:webHidden/>
              </w:rPr>
              <w:fldChar w:fldCharType="end"/>
            </w:r>
          </w:hyperlink>
        </w:p>
        <w:p w14:paraId="29D4D01A" w14:textId="0F7CD084" w:rsidR="00CF7CEB" w:rsidRDefault="000B61F1">
          <w:pPr>
            <w:pStyle w:val="TOC2"/>
            <w:rPr>
              <w:noProof/>
              <w:sz w:val="22"/>
            </w:rPr>
          </w:pPr>
          <w:hyperlink w:anchor="_Toc228279081" w:history="1">
            <w:r w:rsidR="00CF7CEB" w:rsidRPr="00F02CBF">
              <w:rPr>
                <w:rStyle w:val="Hyperlink"/>
                <w:noProof/>
                <w:lang w:val="en-US"/>
              </w:rPr>
              <w:t>3.4.</w:t>
            </w:r>
            <w:r w:rsidR="00CF7CEB">
              <w:rPr>
                <w:noProof/>
                <w:sz w:val="22"/>
              </w:rPr>
              <w:tab/>
            </w:r>
            <w:r w:rsidR="00CF7CEB" w:rsidRPr="00F02CBF">
              <w:rPr>
                <w:rStyle w:val="Hyperlink"/>
                <w:noProof/>
                <w:lang w:val="en-US"/>
              </w:rPr>
              <w:t>Fiscal interventions</w:t>
            </w:r>
            <w:r w:rsidR="00CF7CEB">
              <w:rPr>
                <w:noProof/>
                <w:webHidden/>
              </w:rPr>
              <w:tab/>
            </w:r>
            <w:r w:rsidR="00B6443E">
              <w:rPr>
                <w:noProof/>
                <w:webHidden/>
              </w:rPr>
              <w:fldChar w:fldCharType="begin"/>
            </w:r>
            <w:r w:rsidR="00CF7CEB">
              <w:rPr>
                <w:noProof/>
                <w:webHidden/>
              </w:rPr>
              <w:instrText xml:space="preserve"> PAGEREF _Toc228279081 \h </w:instrText>
            </w:r>
            <w:r w:rsidR="00B6443E">
              <w:rPr>
                <w:noProof/>
                <w:webHidden/>
              </w:rPr>
            </w:r>
            <w:r w:rsidR="00B6443E">
              <w:rPr>
                <w:noProof/>
                <w:webHidden/>
              </w:rPr>
              <w:fldChar w:fldCharType="separate"/>
            </w:r>
            <w:r>
              <w:rPr>
                <w:noProof/>
                <w:webHidden/>
              </w:rPr>
              <w:t>16</w:t>
            </w:r>
            <w:r w:rsidR="00B6443E">
              <w:rPr>
                <w:noProof/>
                <w:webHidden/>
              </w:rPr>
              <w:fldChar w:fldCharType="end"/>
            </w:r>
          </w:hyperlink>
        </w:p>
        <w:p w14:paraId="64404970" w14:textId="4975E436" w:rsidR="00CF7CEB" w:rsidRDefault="000B61F1">
          <w:pPr>
            <w:pStyle w:val="TOC2"/>
            <w:rPr>
              <w:noProof/>
              <w:sz w:val="22"/>
            </w:rPr>
          </w:pPr>
          <w:hyperlink w:anchor="_Toc228279082" w:history="1">
            <w:r w:rsidR="00CF7CEB" w:rsidRPr="00F02CBF">
              <w:rPr>
                <w:rStyle w:val="Hyperlink"/>
                <w:noProof/>
                <w:lang w:val="en-US"/>
              </w:rPr>
              <w:t>3.5.</w:t>
            </w:r>
            <w:r w:rsidR="00CF7CEB">
              <w:rPr>
                <w:noProof/>
                <w:sz w:val="22"/>
              </w:rPr>
              <w:tab/>
            </w:r>
            <w:r w:rsidR="00CF7CEB" w:rsidRPr="00F02CBF">
              <w:rPr>
                <w:rStyle w:val="Hyperlink"/>
                <w:noProof/>
                <w:lang w:val="en-US"/>
              </w:rPr>
              <w:t>Debt developments</w:t>
            </w:r>
            <w:r w:rsidR="00CF7CEB">
              <w:rPr>
                <w:noProof/>
                <w:webHidden/>
              </w:rPr>
              <w:tab/>
            </w:r>
            <w:r w:rsidR="00B6443E">
              <w:rPr>
                <w:noProof/>
                <w:webHidden/>
              </w:rPr>
              <w:fldChar w:fldCharType="begin"/>
            </w:r>
            <w:r w:rsidR="00CF7CEB">
              <w:rPr>
                <w:noProof/>
                <w:webHidden/>
              </w:rPr>
              <w:instrText xml:space="preserve"> PAGEREF _Toc228279082 \h </w:instrText>
            </w:r>
            <w:r w:rsidR="00B6443E">
              <w:rPr>
                <w:noProof/>
                <w:webHidden/>
              </w:rPr>
            </w:r>
            <w:r w:rsidR="00B6443E">
              <w:rPr>
                <w:noProof/>
                <w:webHidden/>
              </w:rPr>
              <w:fldChar w:fldCharType="separate"/>
            </w:r>
            <w:r>
              <w:rPr>
                <w:noProof/>
                <w:webHidden/>
              </w:rPr>
              <w:t>24</w:t>
            </w:r>
            <w:r w:rsidR="00B6443E">
              <w:rPr>
                <w:noProof/>
                <w:webHidden/>
              </w:rPr>
              <w:fldChar w:fldCharType="end"/>
            </w:r>
          </w:hyperlink>
        </w:p>
        <w:p w14:paraId="114E3F48" w14:textId="5E5E8274" w:rsidR="00CF7CEB" w:rsidRDefault="000B61F1">
          <w:pPr>
            <w:pStyle w:val="TOC2"/>
            <w:rPr>
              <w:noProof/>
              <w:sz w:val="22"/>
            </w:rPr>
          </w:pPr>
          <w:hyperlink w:anchor="_Toc228279083" w:history="1">
            <w:r w:rsidR="00CF7CEB" w:rsidRPr="00F02CBF">
              <w:rPr>
                <w:rStyle w:val="Hyperlink"/>
                <w:noProof/>
                <w:lang w:val="en-US"/>
              </w:rPr>
              <w:t>3.6.</w:t>
            </w:r>
            <w:r w:rsidR="00CF7CEB">
              <w:rPr>
                <w:noProof/>
                <w:sz w:val="22"/>
              </w:rPr>
              <w:tab/>
            </w:r>
            <w:r w:rsidR="00CF7CEB" w:rsidRPr="00F02CBF">
              <w:rPr>
                <w:rStyle w:val="Hyperlink"/>
                <w:noProof/>
                <w:lang w:val="en-US"/>
              </w:rPr>
              <w:t>National Recovery &amp; Resilience Plan (NRRP)</w:t>
            </w:r>
            <w:r w:rsidR="00CF7CEB">
              <w:rPr>
                <w:noProof/>
                <w:webHidden/>
              </w:rPr>
              <w:tab/>
            </w:r>
            <w:r w:rsidR="00B6443E">
              <w:rPr>
                <w:noProof/>
                <w:webHidden/>
              </w:rPr>
              <w:fldChar w:fldCharType="begin"/>
            </w:r>
            <w:r w:rsidR="00CF7CEB">
              <w:rPr>
                <w:noProof/>
                <w:webHidden/>
              </w:rPr>
              <w:instrText xml:space="preserve"> PAGEREF _Toc228279083 \h </w:instrText>
            </w:r>
            <w:r w:rsidR="00B6443E">
              <w:rPr>
                <w:noProof/>
                <w:webHidden/>
              </w:rPr>
            </w:r>
            <w:r w:rsidR="00B6443E">
              <w:rPr>
                <w:noProof/>
                <w:webHidden/>
              </w:rPr>
              <w:fldChar w:fldCharType="separate"/>
            </w:r>
            <w:r>
              <w:rPr>
                <w:noProof/>
                <w:webHidden/>
              </w:rPr>
              <w:t>25</w:t>
            </w:r>
            <w:r w:rsidR="00B6443E">
              <w:rPr>
                <w:noProof/>
                <w:webHidden/>
              </w:rPr>
              <w:fldChar w:fldCharType="end"/>
            </w:r>
          </w:hyperlink>
        </w:p>
        <w:p w14:paraId="01DE6EB9" w14:textId="4FFB1A63" w:rsidR="00CF7CEB" w:rsidRDefault="000B61F1">
          <w:pPr>
            <w:pStyle w:val="TOC1"/>
            <w:rPr>
              <w:b w:val="0"/>
              <w:sz w:val="22"/>
              <w:lang w:val="el-GR"/>
            </w:rPr>
          </w:pPr>
          <w:hyperlink w:anchor="_Toc228279084" w:history="1">
            <w:r w:rsidR="00CF7CEB" w:rsidRPr="00F02CBF">
              <w:rPr>
                <w:rStyle w:val="Hyperlink"/>
              </w:rPr>
              <w:t>4.</w:t>
            </w:r>
            <w:r w:rsidR="00CF7CEB">
              <w:rPr>
                <w:b w:val="0"/>
                <w:sz w:val="22"/>
                <w:lang w:val="el-GR"/>
              </w:rPr>
              <w:tab/>
            </w:r>
            <w:r w:rsidR="00CF7CEB" w:rsidRPr="00F02CBF">
              <w:rPr>
                <w:rStyle w:val="Hyperlink"/>
              </w:rPr>
              <w:t>Reforms &amp; investments</w:t>
            </w:r>
            <w:r w:rsidR="00CF7CEB">
              <w:rPr>
                <w:webHidden/>
              </w:rPr>
              <w:tab/>
            </w:r>
            <w:r w:rsidR="00B6443E">
              <w:rPr>
                <w:webHidden/>
              </w:rPr>
              <w:fldChar w:fldCharType="begin"/>
            </w:r>
            <w:r w:rsidR="00CF7CEB">
              <w:rPr>
                <w:webHidden/>
              </w:rPr>
              <w:instrText xml:space="preserve"> PAGEREF _Toc228279084 \h </w:instrText>
            </w:r>
            <w:r w:rsidR="00B6443E">
              <w:rPr>
                <w:webHidden/>
              </w:rPr>
            </w:r>
            <w:r w:rsidR="00B6443E">
              <w:rPr>
                <w:webHidden/>
              </w:rPr>
              <w:fldChar w:fldCharType="separate"/>
            </w:r>
            <w:r>
              <w:rPr>
                <w:webHidden/>
              </w:rPr>
              <w:t>28</w:t>
            </w:r>
            <w:r w:rsidR="00B6443E">
              <w:rPr>
                <w:webHidden/>
              </w:rPr>
              <w:fldChar w:fldCharType="end"/>
            </w:r>
          </w:hyperlink>
        </w:p>
        <w:p w14:paraId="4D4A6036" w14:textId="2573A32A" w:rsidR="00CF7CEB" w:rsidRDefault="000B61F1">
          <w:pPr>
            <w:pStyle w:val="TOC2"/>
            <w:rPr>
              <w:noProof/>
              <w:sz w:val="22"/>
            </w:rPr>
          </w:pPr>
          <w:hyperlink w:anchor="_Toc228279085" w:history="1">
            <w:r w:rsidR="00CF7CEB" w:rsidRPr="00F02CBF">
              <w:rPr>
                <w:rStyle w:val="Hyperlink"/>
                <w:rFonts w:eastAsia="Calibri"/>
                <w:noProof/>
                <w:lang w:val="en-US"/>
              </w:rPr>
              <w:t>Ministry of Economy and Finance</w:t>
            </w:r>
            <w:r w:rsidR="00CF7CEB">
              <w:rPr>
                <w:noProof/>
                <w:webHidden/>
              </w:rPr>
              <w:tab/>
            </w:r>
            <w:r w:rsidR="00B6443E">
              <w:rPr>
                <w:noProof/>
                <w:webHidden/>
              </w:rPr>
              <w:fldChar w:fldCharType="begin"/>
            </w:r>
            <w:r w:rsidR="00CF7CEB">
              <w:rPr>
                <w:noProof/>
                <w:webHidden/>
              </w:rPr>
              <w:instrText xml:space="preserve"> PAGEREF _Toc228279085 \h </w:instrText>
            </w:r>
            <w:r w:rsidR="00B6443E">
              <w:rPr>
                <w:noProof/>
                <w:webHidden/>
              </w:rPr>
            </w:r>
            <w:r w:rsidR="00B6443E">
              <w:rPr>
                <w:noProof/>
                <w:webHidden/>
              </w:rPr>
              <w:fldChar w:fldCharType="separate"/>
            </w:r>
            <w:r>
              <w:rPr>
                <w:noProof/>
                <w:webHidden/>
              </w:rPr>
              <w:t>28</w:t>
            </w:r>
            <w:r w:rsidR="00B6443E">
              <w:rPr>
                <w:noProof/>
                <w:webHidden/>
              </w:rPr>
              <w:fldChar w:fldCharType="end"/>
            </w:r>
          </w:hyperlink>
        </w:p>
        <w:p w14:paraId="3959C984" w14:textId="292FA497" w:rsidR="00CF7CEB" w:rsidRDefault="000B61F1">
          <w:pPr>
            <w:pStyle w:val="TOC2"/>
            <w:rPr>
              <w:noProof/>
              <w:sz w:val="22"/>
            </w:rPr>
          </w:pPr>
          <w:hyperlink w:anchor="_Toc228279086" w:history="1">
            <w:r w:rsidR="00CF7CEB" w:rsidRPr="00F02CBF">
              <w:rPr>
                <w:rStyle w:val="Hyperlink"/>
                <w:rFonts w:eastAsia="Calibri"/>
                <w:noProof/>
                <w:lang w:val="en-US"/>
              </w:rPr>
              <w:t>Ministry of Foreign Affairs</w:t>
            </w:r>
            <w:r w:rsidR="00CF7CEB">
              <w:rPr>
                <w:noProof/>
                <w:webHidden/>
              </w:rPr>
              <w:tab/>
            </w:r>
            <w:r w:rsidR="00B6443E">
              <w:rPr>
                <w:noProof/>
                <w:webHidden/>
              </w:rPr>
              <w:fldChar w:fldCharType="begin"/>
            </w:r>
            <w:r w:rsidR="00CF7CEB">
              <w:rPr>
                <w:noProof/>
                <w:webHidden/>
              </w:rPr>
              <w:instrText xml:space="preserve"> PAGEREF _Toc228279086 \h </w:instrText>
            </w:r>
            <w:r w:rsidR="00B6443E">
              <w:rPr>
                <w:noProof/>
                <w:webHidden/>
              </w:rPr>
            </w:r>
            <w:r w:rsidR="00B6443E">
              <w:rPr>
                <w:noProof/>
                <w:webHidden/>
              </w:rPr>
              <w:fldChar w:fldCharType="separate"/>
            </w:r>
            <w:r>
              <w:rPr>
                <w:noProof/>
                <w:webHidden/>
              </w:rPr>
              <w:t>42</w:t>
            </w:r>
            <w:r w:rsidR="00B6443E">
              <w:rPr>
                <w:noProof/>
                <w:webHidden/>
              </w:rPr>
              <w:fldChar w:fldCharType="end"/>
            </w:r>
          </w:hyperlink>
        </w:p>
        <w:p w14:paraId="4494ABE3" w14:textId="145011A4" w:rsidR="00CF7CEB" w:rsidRDefault="000B61F1">
          <w:pPr>
            <w:pStyle w:val="TOC2"/>
            <w:rPr>
              <w:noProof/>
              <w:sz w:val="22"/>
            </w:rPr>
          </w:pPr>
          <w:hyperlink w:anchor="_Toc228279087" w:history="1">
            <w:r w:rsidR="00CF7CEB" w:rsidRPr="00F02CBF">
              <w:rPr>
                <w:rStyle w:val="Hyperlink"/>
                <w:rFonts w:eastAsia="Calibri"/>
                <w:noProof/>
                <w:lang w:val="en-US"/>
              </w:rPr>
              <w:t>Ministry of National Defence</w:t>
            </w:r>
            <w:r w:rsidR="00CF7CEB">
              <w:rPr>
                <w:noProof/>
                <w:webHidden/>
              </w:rPr>
              <w:tab/>
            </w:r>
            <w:r w:rsidR="00B6443E">
              <w:rPr>
                <w:noProof/>
                <w:webHidden/>
              </w:rPr>
              <w:fldChar w:fldCharType="begin"/>
            </w:r>
            <w:r w:rsidR="00CF7CEB">
              <w:rPr>
                <w:noProof/>
                <w:webHidden/>
              </w:rPr>
              <w:instrText xml:space="preserve"> PAGEREF _Toc228279087 \h </w:instrText>
            </w:r>
            <w:r w:rsidR="00B6443E">
              <w:rPr>
                <w:noProof/>
                <w:webHidden/>
              </w:rPr>
            </w:r>
            <w:r w:rsidR="00B6443E">
              <w:rPr>
                <w:noProof/>
                <w:webHidden/>
              </w:rPr>
              <w:fldChar w:fldCharType="separate"/>
            </w:r>
            <w:r>
              <w:rPr>
                <w:noProof/>
                <w:webHidden/>
              </w:rPr>
              <w:t>45</w:t>
            </w:r>
            <w:r w:rsidR="00B6443E">
              <w:rPr>
                <w:noProof/>
                <w:webHidden/>
              </w:rPr>
              <w:fldChar w:fldCharType="end"/>
            </w:r>
          </w:hyperlink>
        </w:p>
        <w:p w14:paraId="169302A0" w14:textId="3E0414F7" w:rsidR="00CF7CEB" w:rsidRDefault="000B61F1">
          <w:pPr>
            <w:pStyle w:val="TOC2"/>
            <w:rPr>
              <w:noProof/>
              <w:sz w:val="22"/>
            </w:rPr>
          </w:pPr>
          <w:hyperlink w:anchor="_Toc228279088" w:history="1">
            <w:r w:rsidR="00CF7CEB" w:rsidRPr="00F02CBF">
              <w:rPr>
                <w:rStyle w:val="Hyperlink"/>
                <w:rFonts w:eastAsia="Calibri"/>
                <w:noProof/>
                <w:lang w:val="en-US"/>
              </w:rPr>
              <w:t>Ministry of Interior</w:t>
            </w:r>
            <w:r w:rsidR="00CF7CEB">
              <w:rPr>
                <w:noProof/>
                <w:webHidden/>
              </w:rPr>
              <w:tab/>
            </w:r>
            <w:r w:rsidR="00B6443E">
              <w:rPr>
                <w:noProof/>
                <w:webHidden/>
              </w:rPr>
              <w:fldChar w:fldCharType="begin"/>
            </w:r>
            <w:r w:rsidR="00CF7CEB">
              <w:rPr>
                <w:noProof/>
                <w:webHidden/>
              </w:rPr>
              <w:instrText xml:space="preserve"> PAGEREF _Toc228279088 \h </w:instrText>
            </w:r>
            <w:r w:rsidR="00B6443E">
              <w:rPr>
                <w:noProof/>
                <w:webHidden/>
              </w:rPr>
            </w:r>
            <w:r w:rsidR="00B6443E">
              <w:rPr>
                <w:noProof/>
                <w:webHidden/>
              </w:rPr>
              <w:fldChar w:fldCharType="separate"/>
            </w:r>
            <w:r>
              <w:rPr>
                <w:noProof/>
                <w:webHidden/>
              </w:rPr>
              <w:t>48</w:t>
            </w:r>
            <w:r w:rsidR="00B6443E">
              <w:rPr>
                <w:noProof/>
                <w:webHidden/>
              </w:rPr>
              <w:fldChar w:fldCharType="end"/>
            </w:r>
          </w:hyperlink>
        </w:p>
        <w:p w14:paraId="20D881D4" w14:textId="03DA6625" w:rsidR="00CF7CEB" w:rsidRDefault="000B61F1">
          <w:pPr>
            <w:pStyle w:val="TOC2"/>
            <w:rPr>
              <w:noProof/>
              <w:sz w:val="22"/>
            </w:rPr>
          </w:pPr>
          <w:hyperlink w:anchor="_Toc228279089" w:history="1">
            <w:r w:rsidR="00CF7CEB" w:rsidRPr="00F02CBF">
              <w:rPr>
                <w:rStyle w:val="Hyperlink"/>
                <w:rFonts w:eastAsia="Calibri"/>
                <w:noProof/>
                <w:lang w:val="en-US"/>
              </w:rPr>
              <w:t>Ministry of Education, Religious Affairs and Sports</w:t>
            </w:r>
            <w:r w:rsidR="00CF7CEB">
              <w:rPr>
                <w:noProof/>
                <w:webHidden/>
              </w:rPr>
              <w:tab/>
            </w:r>
            <w:r w:rsidR="00B6443E">
              <w:rPr>
                <w:noProof/>
                <w:webHidden/>
              </w:rPr>
              <w:fldChar w:fldCharType="begin"/>
            </w:r>
            <w:r w:rsidR="00CF7CEB">
              <w:rPr>
                <w:noProof/>
                <w:webHidden/>
              </w:rPr>
              <w:instrText xml:space="preserve"> PAGEREF _Toc228279089 \h </w:instrText>
            </w:r>
            <w:r w:rsidR="00B6443E">
              <w:rPr>
                <w:noProof/>
                <w:webHidden/>
              </w:rPr>
            </w:r>
            <w:r w:rsidR="00B6443E">
              <w:rPr>
                <w:noProof/>
                <w:webHidden/>
              </w:rPr>
              <w:fldChar w:fldCharType="separate"/>
            </w:r>
            <w:r>
              <w:rPr>
                <w:noProof/>
                <w:webHidden/>
              </w:rPr>
              <w:t>52</w:t>
            </w:r>
            <w:r w:rsidR="00B6443E">
              <w:rPr>
                <w:noProof/>
                <w:webHidden/>
              </w:rPr>
              <w:fldChar w:fldCharType="end"/>
            </w:r>
          </w:hyperlink>
        </w:p>
        <w:p w14:paraId="2CF9635B" w14:textId="04062276" w:rsidR="00CF7CEB" w:rsidRDefault="000B61F1">
          <w:pPr>
            <w:pStyle w:val="TOC2"/>
            <w:rPr>
              <w:noProof/>
              <w:sz w:val="22"/>
            </w:rPr>
          </w:pPr>
          <w:hyperlink w:anchor="_Toc228279090" w:history="1">
            <w:r w:rsidR="00CF7CEB" w:rsidRPr="00F02CBF">
              <w:rPr>
                <w:rStyle w:val="Hyperlink"/>
                <w:rFonts w:eastAsia="Calibri"/>
                <w:noProof/>
                <w:lang w:val="en-US"/>
              </w:rPr>
              <w:t>Ministry of Health</w:t>
            </w:r>
            <w:r w:rsidR="00CF7CEB">
              <w:rPr>
                <w:noProof/>
                <w:webHidden/>
              </w:rPr>
              <w:tab/>
            </w:r>
            <w:r w:rsidR="00B6443E">
              <w:rPr>
                <w:noProof/>
                <w:webHidden/>
              </w:rPr>
              <w:fldChar w:fldCharType="begin"/>
            </w:r>
            <w:r w:rsidR="00CF7CEB">
              <w:rPr>
                <w:noProof/>
                <w:webHidden/>
              </w:rPr>
              <w:instrText xml:space="preserve"> PAGEREF _Toc228279090 \h </w:instrText>
            </w:r>
            <w:r w:rsidR="00B6443E">
              <w:rPr>
                <w:noProof/>
                <w:webHidden/>
              </w:rPr>
            </w:r>
            <w:r w:rsidR="00B6443E">
              <w:rPr>
                <w:noProof/>
                <w:webHidden/>
              </w:rPr>
              <w:fldChar w:fldCharType="separate"/>
            </w:r>
            <w:r>
              <w:rPr>
                <w:noProof/>
                <w:webHidden/>
              </w:rPr>
              <w:t>57</w:t>
            </w:r>
            <w:r w:rsidR="00B6443E">
              <w:rPr>
                <w:noProof/>
                <w:webHidden/>
              </w:rPr>
              <w:fldChar w:fldCharType="end"/>
            </w:r>
          </w:hyperlink>
        </w:p>
        <w:p w14:paraId="76655C84" w14:textId="04B457FE" w:rsidR="00CF7CEB" w:rsidRDefault="000B61F1">
          <w:pPr>
            <w:pStyle w:val="TOC2"/>
            <w:rPr>
              <w:noProof/>
              <w:sz w:val="22"/>
            </w:rPr>
          </w:pPr>
          <w:hyperlink w:anchor="_Toc228279091" w:history="1">
            <w:r w:rsidR="00CF7CEB" w:rsidRPr="00F02CBF">
              <w:rPr>
                <w:rStyle w:val="Hyperlink"/>
                <w:rFonts w:eastAsia="Calibri"/>
                <w:noProof/>
                <w:lang w:val="en-US"/>
              </w:rPr>
              <w:t>Ministry of Citizen Protection</w:t>
            </w:r>
            <w:r w:rsidR="00CF7CEB">
              <w:rPr>
                <w:noProof/>
                <w:webHidden/>
              </w:rPr>
              <w:tab/>
            </w:r>
            <w:r w:rsidR="00B6443E">
              <w:rPr>
                <w:noProof/>
                <w:webHidden/>
              </w:rPr>
              <w:fldChar w:fldCharType="begin"/>
            </w:r>
            <w:r w:rsidR="00CF7CEB">
              <w:rPr>
                <w:noProof/>
                <w:webHidden/>
              </w:rPr>
              <w:instrText xml:space="preserve"> PAGEREF _Toc228279091 \h </w:instrText>
            </w:r>
            <w:r w:rsidR="00B6443E">
              <w:rPr>
                <w:noProof/>
                <w:webHidden/>
              </w:rPr>
            </w:r>
            <w:r w:rsidR="00B6443E">
              <w:rPr>
                <w:noProof/>
                <w:webHidden/>
              </w:rPr>
              <w:fldChar w:fldCharType="separate"/>
            </w:r>
            <w:r>
              <w:rPr>
                <w:noProof/>
                <w:webHidden/>
              </w:rPr>
              <w:t>63</w:t>
            </w:r>
            <w:r w:rsidR="00B6443E">
              <w:rPr>
                <w:noProof/>
                <w:webHidden/>
              </w:rPr>
              <w:fldChar w:fldCharType="end"/>
            </w:r>
          </w:hyperlink>
        </w:p>
        <w:p w14:paraId="299B3894" w14:textId="41FE58D7" w:rsidR="00CF7CEB" w:rsidRDefault="000B61F1">
          <w:pPr>
            <w:pStyle w:val="TOC2"/>
            <w:rPr>
              <w:noProof/>
              <w:sz w:val="22"/>
            </w:rPr>
          </w:pPr>
          <w:hyperlink w:anchor="_Toc228279092" w:history="1">
            <w:r w:rsidR="00CF7CEB" w:rsidRPr="00F02CBF">
              <w:rPr>
                <w:rStyle w:val="Hyperlink"/>
                <w:rFonts w:eastAsia="Calibri"/>
                <w:noProof/>
                <w:lang w:val="en-US"/>
              </w:rPr>
              <w:t>Ministry of Infrastructure and Transport</w:t>
            </w:r>
            <w:r w:rsidR="00CF7CEB">
              <w:rPr>
                <w:noProof/>
                <w:webHidden/>
              </w:rPr>
              <w:tab/>
            </w:r>
            <w:r w:rsidR="00B6443E">
              <w:rPr>
                <w:noProof/>
                <w:webHidden/>
              </w:rPr>
              <w:fldChar w:fldCharType="begin"/>
            </w:r>
            <w:r w:rsidR="00CF7CEB">
              <w:rPr>
                <w:noProof/>
                <w:webHidden/>
              </w:rPr>
              <w:instrText xml:space="preserve"> PAGEREF _Toc228279092 \h </w:instrText>
            </w:r>
            <w:r w:rsidR="00B6443E">
              <w:rPr>
                <w:noProof/>
                <w:webHidden/>
              </w:rPr>
            </w:r>
            <w:r w:rsidR="00B6443E">
              <w:rPr>
                <w:noProof/>
                <w:webHidden/>
              </w:rPr>
              <w:fldChar w:fldCharType="separate"/>
            </w:r>
            <w:r>
              <w:rPr>
                <w:noProof/>
                <w:webHidden/>
              </w:rPr>
              <w:t>66</w:t>
            </w:r>
            <w:r w:rsidR="00B6443E">
              <w:rPr>
                <w:noProof/>
                <w:webHidden/>
              </w:rPr>
              <w:fldChar w:fldCharType="end"/>
            </w:r>
          </w:hyperlink>
        </w:p>
        <w:p w14:paraId="42D64CB9" w14:textId="6962AA5D" w:rsidR="00CF7CEB" w:rsidRDefault="000B61F1">
          <w:pPr>
            <w:pStyle w:val="TOC2"/>
            <w:rPr>
              <w:noProof/>
              <w:sz w:val="22"/>
            </w:rPr>
          </w:pPr>
          <w:hyperlink w:anchor="_Toc228279093" w:history="1">
            <w:r w:rsidR="00CF7CEB" w:rsidRPr="00F02CBF">
              <w:rPr>
                <w:rStyle w:val="Hyperlink"/>
                <w:rFonts w:eastAsia="Calibri"/>
                <w:noProof/>
                <w:lang w:val="en-US"/>
              </w:rPr>
              <w:t>Ministry of Environment and Energy</w:t>
            </w:r>
            <w:r w:rsidR="00CF7CEB">
              <w:rPr>
                <w:noProof/>
                <w:webHidden/>
              </w:rPr>
              <w:tab/>
            </w:r>
            <w:r w:rsidR="00B6443E">
              <w:rPr>
                <w:noProof/>
                <w:webHidden/>
              </w:rPr>
              <w:fldChar w:fldCharType="begin"/>
            </w:r>
            <w:r w:rsidR="00CF7CEB">
              <w:rPr>
                <w:noProof/>
                <w:webHidden/>
              </w:rPr>
              <w:instrText xml:space="preserve"> PAGEREF _Toc228279093 \h </w:instrText>
            </w:r>
            <w:r w:rsidR="00B6443E">
              <w:rPr>
                <w:noProof/>
                <w:webHidden/>
              </w:rPr>
            </w:r>
            <w:r w:rsidR="00B6443E">
              <w:rPr>
                <w:noProof/>
                <w:webHidden/>
              </w:rPr>
              <w:fldChar w:fldCharType="separate"/>
            </w:r>
            <w:r>
              <w:rPr>
                <w:noProof/>
                <w:webHidden/>
              </w:rPr>
              <w:t>74</w:t>
            </w:r>
            <w:r w:rsidR="00B6443E">
              <w:rPr>
                <w:noProof/>
                <w:webHidden/>
              </w:rPr>
              <w:fldChar w:fldCharType="end"/>
            </w:r>
          </w:hyperlink>
        </w:p>
        <w:p w14:paraId="324A2F92" w14:textId="5A394497" w:rsidR="00CF7CEB" w:rsidRDefault="000B61F1">
          <w:pPr>
            <w:pStyle w:val="TOC2"/>
            <w:rPr>
              <w:noProof/>
              <w:sz w:val="22"/>
            </w:rPr>
          </w:pPr>
          <w:hyperlink w:anchor="_Toc228279094" w:history="1">
            <w:r w:rsidR="00CF7CEB" w:rsidRPr="00F02CBF">
              <w:rPr>
                <w:rStyle w:val="Hyperlink"/>
                <w:rFonts w:eastAsia="Calibri"/>
                <w:noProof/>
                <w:lang w:val="en-US"/>
              </w:rPr>
              <w:t>Ministry of Development</w:t>
            </w:r>
            <w:r w:rsidR="00CF7CEB">
              <w:rPr>
                <w:noProof/>
                <w:webHidden/>
              </w:rPr>
              <w:tab/>
            </w:r>
            <w:r w:rsidR="00B6443E">
              <w:rPr>
                <w:noProof/>
                <w:webHidden/>
              </w:rPr>
              <w:fldChar w:fldCharType="begin"/>
            </w:r>
            <w:r w:rsidR="00CF7CEB">
              <w:rPr>
                <w:noProof/>
                <w:webHidden/>
              </w:rPr>
              <w:instrText xml:space="preserve"> PAGEREF _Toc228279094 \h </w:instrText>
            </w:r>
            <w:r w:rsidR="00B6443E">
              <w:rPr>
                <w:noProof/>
                <w:webHidden/>
              </w:rPr>
            </w:r>
            <w:r w:rsidR="00B6443E">
              <w:rPr>
                <w:noProof/>
                <w:webHidden/>
              </w:rPr>
              <w:fldChar w:fldCharType="separate"/>
            </w:r>
            <w:r>
              <w:rPr>
                <w:noProof/>
                <w:webHidden/>
              </w:rPr>
              <w:t>88</w:t>
            </w:r>
            <w:r w:rsidR="00B6443E">
              <w:rPr>
                <w:noProof/>
                <w:webHidden/>
              </w:rPr>
              <w:fldChar w:fldCharType="end"/>
            </w:r>
          </w:hyperlink>
        </w:p>
        <w:p w14:paraId="630FD020" w14:textId="1459FF76" w:rsidR="00CF7CEB" w:rsidRDefault="000B61F1">
          <w:pPr>
            <w:pStyle w:val="TOC2"/>
            <w:rPr>
              <w:noProof/>
              <w:sz w:val="22"/>
            </w:rPr>
          </w:pPr>
          <w:hyperlink w:anchor="_Toc228279095" w:history="1">
            <w:r w:rsidR="00CF7CEB" w:rsidRPr="00F02CBF">
              <w:rPr>
                <w:rStyle w:val="Hyperlink"/>
                <w:rFonts w:eastAsia="Calibri"/>
                <w:noProof/>
                <w:lang w:val="en-US"/>
              </w:rPr>
              <w:t>Ministry of Labour and Social Security</w:t>
            </w:r>
            <w:r w:rsidR="00CF7CEB">
              <w:rPr>
                <w:noProof/>
                <w:webHidden/>
              </w:rPr>
              <w:tab/>
            </w:r>
            <w:r w:rsidR="00B6443E">
              <w:rPr>
                <w:noProof/>
                <w:webHidden/>
              </w:rPr>
              <w:fldChar w:fldCharType="begin"/>
            </w:r>
            <w:r w:rsidR="00CF7CEB">
              <w:rPr>
                <w:noProof/>
                <w:webHidden/>
              </w:rPr>
              <w:instrText xml:space="preserve"> PAGEREF _Toc228279095 \h </w:instrText>
            </w:r>
            <w:r w:rsidR="00B6443E">
              <w:rPr>
                <w:noProof/>
                <w:webHidden/>
              </w:rPr>
            </w:r>
            <w:r w:rsidR="00B6443E">
              <w:rPr>
                <w:noProof/>
                <w:webHidden/>
              </w:rPr>
              <w:fldChar w:fldCharType="separate"/>
            </w:r>
            <w:r>
              <w:rPr>
                <w:noProof/>
                <w:webHidden/>
              </w:rPr>
              <w:t>98</w:t>
            </w:r>
            <w:r w:rsidR="00B6443E">
              <w:rPr>
                <w:noProof/>
                <w:webHidden/>
              </w:rPr>
              <w:fldChar w:fldCharType="end"/>
            </w:r>
          </w:hyperlink>
        </w:p>
        <w:p w14:paraId="70B03E87" w14:textId="25E943A4" w:rsidR="00CF7CEB" w:rsidRDefault="000B61F1">
          <w:pPr>
            <w:pStyle w:val="TOC2"/>
            <w:rPr>
              <w:noProof/>
              <w:sz w:val="22"/>
            </w:rPr>
          </w:pPr>
          <w:hyperlink w:anchor="_Toc228279096" w:history="1">
            <w:r w:rsidR="00CF7CEB" w:rsidRPr="00F02CBF">
              <w:rPr>
                <w:rStyle w:val="Hyperlink"/>
                <w:rFonts w:eastAsia="Calibri"/>
                <w:noProof/>
                <w:lang w:val="en-US"/>
              </w:rPr>
              <w:t>Ministry of Justice</w:t>
            </w:r>
            <w:r w:rsidR="00CF7CEB">
              <w:rPr>
                <w:noProof/>
                <w:webHidden/>
              </w:rPr>
              <w:tab/>
            </w:r>
            <w:r w:rsidR="00B6443E">
              <w:rPr>
                <w:noProof/>
                <w:webHidden/>
              </w:rPr>
              <w:fldChar w:fldCharType="begin"/>
            </w:r>
            <w:r w:rsidR="00CF7CEB">
              <w:rPr>
                <w:noProof/>
                <w:webHidden/>
              </w:rPr>
              <w:instrText xml:space="preserve"> PAGEREF _Toc228279096 \h </w:instrText>
            </w:r>
            <w:r w:rsidR="00B6443E">
              <w:rPr>
                <w:noProof/>
                <w:webHidden/>
              </w:rPr>
            </w:r>
            <w:r w:rsidR="00B6443E">
              <w:rPr>
                <w:noProof/>
                <w:webHidden/>
              </w:rPr>
              <w:fldChar w:fldCharType="separate"/>
            </w:r>
            <w:r>
              <w:rPr>
                <w:noProof/>
                <w:webHidden/>
              </w:rPr>
              <w:t>103</w:t>
            </w:r>
            <w:r w:rsidR="00B6443E">
              <w:rPr>
                <w:noProof/>
                <w:webHidden/>
              </w:rPr>
              <w:fldChar w:fldCharType="end"/>
            </w:r>
          </w:hyperlink>
        </w:p>
        <w:p w14:paraId="345BB841" w14:textId="7AC86DD6" w:rsidR="00CF7CEB" w:rsidRDefault="000B61F1">
          <w:pPr>
            <w:pStyle w:val="TOC2"/>
            <w:rPr>
              <w:noProof/>
              <w:sz w:val="22"/>
            </w:rPr>
          </w:pPr>
          <w:hyperlink w:anchor="_Toc228279097" w:history="1">
            <w:r w:rsidR="00CF7CEB" w:rsidRPr="00F02CBF">
              <w:rPr>
                <w:rStyle w:val="Hyperlink"/>
                <w:rFonts w:eastAsia="Calibri"/>
                <w:noProof/>
                <w:lang w:val="en-US"/>
              </w:rPr>
              <w:t>Ministry of Rural Development and Food</w:t>
            </w:r>
            <w:r w:rsidR="00CF7CEB">
              <w:rPr>
                <w:noProof/>
                <w:webHidden/>
              </w:rPr>
              <w:tab/>
            </w:r>
            <w:r w:rsidR="00B6443E">
              <w:rPr>
                <w:noProof/>
                <w:webHidden/>
              </w:rPr>
              <w:fldChar w:fldCharType="begin"/>
            </w:r>
            <w:r w:rsidR="00CF7CEB">
              <w:rPr>
                <w:noProof/>
                <w:webHidden/>
              </w:rPr>
              <w:instrText xml:space="preserve"> PAGEREF _Toc228279097 \h </w:instrText>
            </w:r>
            <w:r w:rsidR="00B6443E">
              <w:rPr>
                <w:noProof/>
                <w:webHidden/>
              </w:rPr>
            </w:r>
            <w:r w:rsidR="00B6443E">
              <w:rPr>
                <w:noProof/>
                <w:webHidden/>
              </w:rPr>
              <w:fldChar w:fldCharType="separate"/>
            </w:r>
            <w:r>
              <w:rPr>
                <w:noProof/>
                <w:webHidden/>
              </w:rPr>
              <w:t>106</w:t>
            </w:r>
            <w:r w:rsidR="00B6443E">
              <w:rPr>
                <w:noProof/>
                <w:webHidden/>
              </w:rPr>
              <w:fldChar w:fldCharType="end"/>
            </w:r>
          </w:hyperlink>
        </w:p>
        <w:p w14:paraId="3DB86F27" w14:textId="5DD5E43C" w:rsidR="00CF7CEB" w:rsidRDefault="000B61F1">
          <w:pPr>
            <w:pStyle w:val="TOC2"/>
            <w:rPr>
              <w:noProof/>
              <w:sz w:val="22"/>
            </w:rPr>
          </w:pPr>
          <w:hyperlink w:anchor="_Toc228279098" w:history="1">
            <w:r w:rsidR="00CF7CEB" w:rsidRPr="00F02CBF">
              <w:rPr>
                <w:rStyle w:val="Hyperlink"/>
                <w:rFonts w:eastAsia="Calibri"/>
                <w:noProof/>
                <w:lang w:val="en-US"/>
              </w:rPr>
              <w:t>Ministry of Culture</w:t>
            </w:r>
            <w:r w:rsidR="00CF7CEB">
              <w:rPr>
                <w:noProof/>
                <w:webHidden/>
              </w:rPr>
              <w:tab/>
            </w:r>
            <w:r w:rsidR="00B6443E">
              <w:rPr>
                <w:noProof/>
                <w:webHidden/>
              </w:rPr>
              <w:fldChar w:fldCharType="begin"/>
            </w:r>
            <w:r w:rsidR="00CF7CEB">
              <w:rPr>
                <w:noProof/>
                <w:webHidden/>
              </w:rPr>
              <w:instrText xml:space="preserve"> PAGEREF _Toc228279098 \h </w:instrText>
            </w:r>
            <w:r w:rsidR="00B6443E">
              <w:rPr>
                <w:noProof/>
                <w:webHidden/>
              </w:rPr>
            </w:r>
            <w:r w:rsidR="00B6443E">
              <w:rPr>
                <w:noProof/>
                <w:webHidden/>
              </w:rPr>
              <w:fldChar w:fldCharType="separate"/>
            </w:r>
            <w:r>
              <w:rPr>
                <w:noProof/>
                <w:webHidden/>
              </w:rPr>
              <w:t>109</w:t>
            </w:r>
            <w:r w:rsidR="00B6443E">
              <w:rPr>
                <w:noProof/>
                <w:webHidden/>
              </w:rPr>
              <w:fldChar w:fldCharType="end"/>
            </w:r>
          </w:hyperlink>
        </w:p>
        <w:p w14:paraId="678D0754" w14:textId="62481DA0" w:rsidR="00CF7CEB" w:rsidRDefault="000B61F1">
          <w:pPr>
            <w:pStyle w:val="TOC2"/>
            <w:rPr>
              <w:noProof/>
              <w:sz w:val="22"/>
            </w:rPr>
          </w:pPr>
          <w:hyperlink w:anchor="_Toc228279099" w:history="1">
            <w:r w:rsidR="00CF7CEB" w:rsidRPr="00F02CBF">
              <w:rPr>
                <w:rStyle w:val="Hyperlink"/>
                <w:rFonts w:eastAsia="Calibri"/>
                <w:noProof/>
                <w:lang w:val="en-US"/>
              </w:rPr>
              <w:t>Ministry of Migration and Asylum</w:t>
            </w:r>
            <w:r w:rsidR="00CF7CEB">
              <w:rPr>
                <w:noProof/>
                <w:webHidden/>
              </w:rPr>
              <w:tab/>
            </w:r>
            <w:r w:rsidR="00B6443E">
              <w:rPr>
                <w:noProof/>
                <w:webHidden/>
              </w:rPr>
              <w:fldChar w:fldCharType="begin"/>
            </w:r>
            <w:r w:rsidR="00CF7CEB">
              <w:rPr>
                <w:noProof/>
                <w:webHidden/>
              </w:rPr>
              <w:instrText xml:space="preserve"> PAGEREF _Toc228279099 \h </w:instrText>
            </w:r>
            <w:r w:rsidR="00B6443E">
              <w:rPr>
                <w:noProof/>
                <w:webHidden/>
              </w:rPr>
            </w:r>
            <w:r w:rsidR="00B6443E">
              <w:rPr>
                <w:noProof/>
                <w:webHidden/>
              </w:rPr>
              <w:fldChar w:fldCharType="separate"/>
            </w:r>
            <w:r>
              <w:rPr>
                <w:noProof/>
                <w:webHidden/>
              </w:rPr>
              <w:t>115</w:t>
            </w:r>
            <w:r w:rsidR="00B6443E">
              <w:rPr>
                <w:noProof/>
                <w:webHidden/>
              </w:rPr>
              <w:fldChar w:fldCharType="end"/>
            </w:r>
          </w:hyperlink>
        </w:p>
        <w:p w14:paraId="285F0B64" w14:textId="7E5E8E30" w:rsidR="00CF7CEB" w:rsidRDefault="000B61F1">
          <w:pPr>
            <w:pStyle w:val="TOC2"/>
            <w:rPr>
              <w:noProof/>
              <w:sz w:val="22"/>
            </w:rPr>
          </w:pPr>
          <w:hyperlink w:anchor="_Toc228279100" w:history="1">
            <w:r w:rsidR="00CF7CEB" w:rsidRPr="00F02CBF">
              <w:rPr>
                <w:rStyle w:val="Hyperlink"/>
                <w:rFonts w:eastAsia="Calibri"/>
                <w:noProof/>
                <w:lang w:val="en-US"/>
              </w:rPr>
              <w:t>Ministry of Social Cohesion and Family Affairs</w:t>
            </w:r>
            <w:r w:rsidR="00CF7CEB">
              <w:rPr>
                <w:noProof/>
                <w:webHidden/>
              </w:rPr>
              <w:tab/>
            </w:r>
            <w:r w:rsidR="00B6443E">
              <w:rPr>
                <w:noProof/>
                <w:webHidden/>
              </w:rPr>
              <w:fldChar w:fldCharType="begin"/>
            </w:r>
            <w:r w:rsidR="00CF7CEB">
              <w:rPr>
                <w:noProof/>
                <w:webHidden/>
              </w:rPr>
              <w:instrText xml:space="preserve"> PAGEREF _Toc228279100 \h </w:instrText>
            </w:r>
            <w:r w:rsidR="00B6443E">
              <w:rPr>
                <w:noProof/>
                <w:webHidden/>
              </w:rPr>
            </w:r>
            <w:r w:rsidR="00B6443E">
              <w:rPr>
                <w:noProof/>
                <w:webHidden/>
              </w:rPr>
              <w:fldChar w:fldCharType="separate"/>
            </w:r>
            <w:r>
              <w:rPr>
                <w:noProof/>
                <w:webHidden/>
              </w:rPr>
              <w:t>119</w:t>
            </w:r>
            <w:r w:rsidR="00B6443E">
              <w:rPr>
                <w:noProof/>
                <w:webHidden/>
              </w:rPr>
              <w:fldChar w:fldCharType="end"/>
            </w:r>
          </w:hyperlink>
        </w:p>
        <w:p w14:paraId="6144C80E" w14:textId="66AA14CB" w:rsidR="00CF7CEB" w:rsidRDefault="000B61F1">
          <w:pPr>
            <w:pStyle w:val="TOC2"/>
            <w:rPr>
              <w:noProof/>
              <w:sz w:val="22"/>
            </w:rPr>
          </w:pPr>
          <w:hyperlink w:anchor="_Toc228279101" w:history="1">
            <w:r w:rsidR="00CF7CEB" w:rsidRPr="00F02CBF">
              <w:rPr>
                <w:rStyle w:val="Hyperlink"/>
                <w:rFonts w:eastAsia="Calibri"/>
                <w:noProof/>
                <w:lang w:val="en-US"/>
              </w:rPr>
              <w:t>Ministry of Maritime Affairs and Insular Policy</w:t>
            </w:r>
            <w:r w:rsidR="00CF7CEB">
              <w:rPr>
                <w:noProof/>
                <w:webHidden/>
              </w:rPr>
              <w:tab/>
            </w:r>
            <w:r w:rsidR="00B6443E">
              <w:rPr>
                <w:noProof/>
                <w:webHidden/>
              </w:rPr>
              <w:fldChar w:fldCharType="begin"/>
            </w:r>
            <w:r w:rsidR="00CF7CEB">
              <w:rPr>
                <w:noProof/>
                <w:webHidden/>
              </w:rPr>
              <w:instrText xml:space="preserve"> PAGEREF _Toc228279101 \h </w:instrText>
            </w:r>
            <w:r w:rsidR="00B6443E">
              <w:rPr>
                <w:noProof/>
                <w:webHidden/>
              </w:rPr>
            </w:r>
            <w:r w:rsidR="00B6443E">
              <w:rPr>
                <w:noProof/>
                <w:webHidden/>
              </w:rPr>
              <w:fldChar w:fldCharType="separate"/>
            </w:r>
            <w:r>
              <w:rPr>
                <w:noProof/>
                <w:webHidden/>
              </w:rPr>
              <w:t>124</w:t>
            </w:r>
            <w:r w:rsidR="00B6443E">
              <w:rPr>
                <w:noProof/>
                <w:webHidden/>
              </w:rPr>
              <w:fldChar w:fldCharType="end"/>
            </w:r>
          </w:hyperlink>
        </w:p>
        <w:p w14:paraId="26BB9AED" w14:textId="01105285" w:rsidR="00CF7CEB" w:rsidRDefault="000B61F1">
          <w:pPr>
            <w:pStyle w:val="TOC2"/>
            <w:rPr>
              <w:noProof/>
              <w:sz w:val="22"/>
            </w:rPr>
          </w:pPr>
          <w:hyperlink w:anchor="_Toc228279102" w:history="1">
            <w:r w:rsidR="00CF7CEB" w:rsidRPr="00F02CBF">
              <w:rPr>
                <w:rStyle w:val="Hyperlink"/>
                <w:rFonts w:eastAsia="Calibri"/>
                <w:noProof/>
                <w:lang w:val="en-US"/>
              </w:rPr>
              <w:t>Ministry of Tourism</w:t>
            </w:r>
            <w:r w:rsidR="00CF7CEB">
              <w:rPr>
                <w:noProof/>
                <w:webHidden/>
              </w:rPr>
              <w:tab/>
            </w:r>
            <w:r w:rsidR="00B6443E">
              <w:rPr>
                <w:noProof/>
                <w:webHidden/>
              </w:rPr>
              <w:fldChar w:fldCharType="begin"/>
            </w:r>
            <w:r w:rsidR="00CF7CEB">
              <w:rPr>
                <w:noProof/>
                <w:webHidden/>
              </w:rPr>
              <w:instrText xml:space="preserve"> PAGEREF _Toc228279102 \h </w:instrText>
            </w:r>
            <w:r w:rsidR="00B6443E">
              <w:rPr>
                <w:noProof/>
                <w:webHidden/>
              </w:rPr>
            </w:r>
            <w:r w:rsidR="00B6443E">
              <w:rPr>
                <w:noProof/>
                <w:webHidden/>
              </w:rPr>
              <w:fldChar w:fldCharType="separate"/>
            </w:r>
            <w:r>
              <w:rPr>
                <w:noProof/>
                <w:webHidden/>
              </w:rPr>
              <w:t>125</w:t>
            </w:r>
            <w:r w:rsidR="00B6443E">
              <w:rPr>
                <w:noProof/>
                <w:webHidden/>
              </w:rPr>
              <w:fldChar w:fldCharType="end"/>
            </w:r>
          </w:hyperlink>
        </w:p>
        <w:p w14:paraId="063347C6" w14:textId="5B915B96" w:rsidR="00CF7CEB" w:rsidRDefault="000B61F1">
          <w:pPr>
            <w:pStyle w:val="TOC2"/>
            <w:rPr>
              <w:noProof/>
              <w:sz w:val="22"/>
            </w:rPr>
          </w:pPr>
          <w:hyperlink w:anchor="_Toc228279103" w:history="1">
            <w:r w:rsidR="00CF7CEB" w:rsidRPr="00F02CBF">
              <w:rPr>
                <w:rStyle w:val="Hyperlink"/>
                <w:rFonts w:eastAsia="Calibri"/>
                <w:noProof/>
                <w:lang w:val="en-US"/>
              </w:rPr>
              <w:t>Ministry of Digital Governance</w:t>
            </w:r>
            <w:r w:rsidR="00CF7CEB">
              <w:rPr>
                <w:noProof/>
                <w:webHidden/>
              </w:rPr>
              <w:tab/>
            </w:r>
            <w:r w:rsidR="00B6443E">
              <w:rPr>
                <w:noProof/>
                <w:webHidden/>
              </w:rPr>
              <w:fldChar w:fldCharType="begin"/>
            </w:r>
            <w:r w:rsidR="00CF7CEB">
              <w:rPr>
                <w:noProof/>
                <w:webHidden/>
              </w:rPr>
              <w:instrText xml:space="preserve"> PAGEREF _Toc228279103 \h </w:instrText>
            </w:r>
            <w:r w:rsidR="00B6443E">
              <w:rPr>
                <w:noProof/>
                <w:webHidden/>
              </w:rPr>
            </w:r>
            <w:r w:rsidR="00B6443E">
              <w:rPr>
                <w:noProof/>
                <w:webHidden/>
              </w:rPr>
              <w:fldChar w:fldCharType="separate"/>
            </w:r>
            <w:r>
              <w:rPr>
                <w:noProof/>
                <w:webHidden/>
              </w:rPr>
              <w:t>130</w:t>
            </w:r>
            <w:r w:rsidR="00B6443E">
              <w:rPr>
                <w:noProof/>
                <w:webHidden/>
              </w:rPr>
              <w:fldChar w:fldCharType="end"/>
            </w:r>
          </w:hyperlink>
        </w:p>
        <w:p w14:paraId="785529F4" w14:textId="50B939E9" w:rsidR="00CF7CEB" w:rsidRDefault="000B61F1">
          <w:pPr>
            <w:pStyle w:val="TOC2"/>
            <w:rPr>
              <w:noProof/>
              <w:sz w:val="22"/>
            </w:rPr>
          </w:pPr>
          <w:hyperlink w:anchor="_Toc228279104" w:history="1">
            <w:r w:rsidR="00CF7CEB" w:rsidRPr="00F02CBF">
              <w:rPr>
                <w:rStyle w:val="Hyperlink"/>
                <w:rFonts w:eastAsia="Calibri"/>
                <w:noProof/>
                <w:lang w:val="en-US"/>
              </w:rPr>
              <w:t>Ministry of Climate Crisis and Civil Protection</w:t>
            </w:r>
            <w:r w:rsidR="00CF7CEB">
              <w:rPr>
                <w:noProof/>
                <w:webHidden/>
              </w:rPr>
              <w:tab/>
            </w:r>
            <w:r w:rsidR="00B6443E">
              <w:rPr>
                <w:noProof/>
                <w:webHidden/>
              </w:rPr>
              <w:fldChar w:fldCharType="begin"/>
            </w:r>
            <w:r w:rsidR="00CF7CEB">
              <w:rPr>
                <w:noProof/>
                <w:webHidden/>
              </w:rPr>
              <w:instrText xml:space="preserve"> PAGEREF _Toc228279104 \h </w:instrText>
            </w:r>
            <w:r w:rsidR="00B6443E">
              <w:rPr>
                <w:noProof/>
                <w:webHidden/>
              </w:rPr>
            </w:r>
            <w:r w:rsidR="00B6443E">
              <w:rPr>
                <w:noProof/>
                <w:webHidden/>
              </w:rPr>
              <w:fldChar w:fldCharType="separate"/>
            </w:r>
            <w:r>
              <w:rPr>
                <w:noProof/>
                <w:webHidden/>
              </w:rPr>
              <w:t>134</w:t>
            </w:r>
            <w:r w:rsidR="00B6443E">
              <w:rPr>
                <w:noProof/>
                <w:webHidden/>
              </w:rPr>
              <w:fldChar w:fldCharType="end"/>
            </w:r>
          </w:hyperlink>
        </w:p>
        <w:p w14:paraId="76376A3A" w14:textId="3BEBC683" w:rsidR="00CF7CEB" w:rsidRDefault="000B61F1">
          <w:pPr>
            <w:pStyle w:val="TOC1"/>
            <w:rPr>
              <w:b w:val="0"/>
              <w:sz w:val="22"/>
              <w:lang w:val="el-GR"/>
            </w:rPr>
          </w:pPr>
          <w:hyperlink w:anchor="_Toc228279105" w:history="1">
            <w:r w:rsidR="00CF7CEB" w:rsidRPr="00F02CBF">
              <w:rPr>
                <w:rStyle w:val="Hyperlink"/>
              </w:rPr>
              <w:t>Annex I: Measures tables</w:t>
            </w:r>
            <w:r w:rsidR="00CF7CEB">
              <w:rPr>
                <w:webHidden/>
              </w:rPr>
              <w:tab/>
            </w:r>
            <w:r w:rsidR="00B6443E">
              <w:rPr>
                <w:webHidden/>
              </w:rPr>
              <w:fldChar w:fldCharType="begin"/>
            </w:r>
            <w:r w:rsidR="00CF7CEB">
              <w:rPr>
                <w:webHidden/>
              </w:rPr>
              <w:instrText xml:space="preserve"> PAGEREF _Toc228279105 \h </w:instrText>
            </w:r>
            <w:r w:rsidR="00B6443E">
              <w:rPr>
                <w:webHidden/>
              </w:rPr>
            </w:r>
            <w:r w:rsidR="00B6443E">
              <w:rPr>
                <w:webHidden/>
              </w:rPr>
              <w:fldChar w:fldCharType="separate"/>
            </w:r>
            <w:r>
              <w:rPr>
                <w:webHidden/>
              </w:rPr>
              <w:t>140</w:t>
            </w:r>
            <w:r w:rsidR="00B6443E">
              <w:rPr>
                <w:webHidden/>
              </w:rPr>
              <w:fldChar w:fldCharType="end"/>
            </w:r>
          </w:hyperlink>
        </w:p>
        <w:p w14:paraId="46F32530" w14:textId="1BE09C05" w:rsidR="00CF7CEB" w:rsidRDefault="000B61F1">
          <w:pPr>
            <w:pStyle w:val="TOC1"/>
            <w:rPr>
              <w:b w:val="0"/>
              <w:sz w:val="22"/>
              <w:lang w:val="el-GR"/>
            </w:rPr>
          </w:pPr>
          <w:hyperlink w:anchor="_Toc228279106" w:history="1">
            <w:r w:rsidR="00CF7CEB" w:rsidRPr="009D6A0A">
              <w:rPr>
                <w:rStyle w:val="Hyperlink"/>
              </w:rPr>
              <w:t>Annex II: Report on National Energy and Climate Plan</w:t>
            </w:r>
            <w:r w:rsidR="00CF7CEB">
              <w:rPr>
                <w:webHidden/>
              </w:rPr>
              <w:tab/>
            </w:r>
            <w:r w:rsidR="00B6443E">
              <w:rPr>
                <w:webHidden/>
              </w:rPr>
              <w:fldChar w:fldCharType="begin"/>
            </w:r>
            <w:r w:rsidR="00CF7CEB">
              <w:rPr>
                <w:webHidden/>
              </w:rPr>
              <w:instrText xml:space="preserve"> PAGEREF _Toc228279106 \h </w:instrText>
            </w:r>
            <w:r w:rsidR="00B6443E">
              <w:rPr>
                <w:webHidden/>
              </w:rPr>
            </w:r>
            <w:r w:rsidR="00B6443E">
              <w:rPr>
                <w:webHidden/>
              </w:rPr>
              <w:fldChar w:fldCharType="separate"/>
            </w:r>
            <w:r>
              <w:rPr>
                <w:webHidden/>
              </w:rPr>
              <w:t>142</w:t>
            </w:r>
            <w:r w:rsidR="00B6443E">
              <w:rPr>
                <w:webHidden/>
              </w:rPr>
              <w:fldChar w:fldCharType="end"/>
            </w:r>
          </w:hyperlink>
        </w:p>
        <w:p w14:paraId="78E66E7D" w14:textId="0AA9F9DE" w:rsidR="00CF7CEB" w:rsidRDefault="000B61F1">
          <w:pPr>
            <w:pStyle w:val="TOC1"/>
            <w:rPr>
              <w:b w:val="0"/>
              <w:sz w:val="22"/>
              <w:lang w:val="el-GR"/>
            </w:rPr>
          </w:pPr>
          <w:hyperlink w:anchor="_Toc228279107" w:history="1">
            <w:r w:rsidR="00CF7CEB" w:rsidRPr="00F02CBF">
              <w:rPr>
                <w:rStyle w:val="Hyperlink"/>
              </w:rPr>
              <w:t>Annex III: Hellenic Fiscal Council opinion</w:t>
            </w:r>
            <w:r w:rsidR="00CF7CEB">
              <w:rPr>
                <w:webHidden/>
              </w:rPr>
              <w:tab/>
            </w:r>
            <w:r w:rsidR="00B6443E">
              <w:rPr>
                <w:webHidden/>
              </w:rPr>
              <w:fldChar w:fldCharType="begin"/>
            </w:r>
            <w:r w:rsidR="00CF7CEB">
              <w:rPr>
                <w:webHidden/>
              </w:rPr>
              <w:instrText xml:space="preserve"> PAGEREF _Toc228279107 \h </w:instrText>
            </w:r>
            <w:r w:rsidR="00B6443E">
              <w:rPr>
                <w:webHidden/>
              </w:rPr>
            </w:r>
            <w:r w:rsidR="00B6443E">
              <w:rPr>
                <w:webHidden/>
              </w:rPr>
              <w:fldChar w:fldCharType="separate"/>
            </w:r>
            <w:r>
              <w:rPr>
                <w:webHidden/>
              </w:rPr>
              <w:t>147</w:t>
            </w:r>
            <w:r w:rsidR="00B6443E">
              <w:rPr>
                <w:webHidden/>
              </w:rPr>
              <w:fldChar w:fldCharType="end"/>
            </w:r>
          </w:hyperlink>
        </w:p>
        <w:p w14:paraId="3B299943" w14:textId="798BDBFC" w:rsidR="007D7AD1" w:rsidRDefault="00B6443E">
          <w:r>
            <w:rPr>
              <w:b/>
              <w:bCs/>
              <w:noProof/>
            </w:rPr>
            <w:fldChar w:fldCharType="end"/>
          </w:r>
        </w:p>
      </w:sdtContent>
    </w:sdt>
    <w:p w14:paraId="45E96FE3" w14:textId="77777777" w:rsidR="00DC3EBB" w:rsidRPr="0021647A" w:rsidRDefault="007D7AD1" w:rsidP="007F6B40">
      <w:pPr>
        <w:pBdr>
          <w:bottom w:val="single" w:sz="18" w:space="1" w:color="C2D69B" w:themeColor="accent3" w:themeTint="99"/>
        </w:pBdr>
        <w:rPr>
          <w:b/>
          <w:color w:val="4F81BD" w:themeColor="accent1"/>
          <w:sz w:val="44"/>
        </w:rPr>
      </w:pPr>
      <w:r w:rsidRPr="0021647A">
        <w:rPr>
          <w:b/>
          <w:color w:val="4F81BD" w:themeColor="accent1"/>
          <w:sz w:val="44"/>
        </w:rPr>
        <w:lastRenderedPageBreak/>
        <w:t>Tables</w:t>
      </w:r>
    </w:p>
    <w:p w14:paraId="097303F4" w14:textId="20AAF126" w:rsidR="00902B55" w:rsidRDefault="00B6443E">
      <w:pPr>
        <w:pStyle w:val="TableofFigures"/>
        <w:tabs>
          <w:tab w:val="right" w:leader="dot" w:pos="8834"/>
        </w:tabs>
        <w:rPr>
          <w:noProof/>
          <w:sz w:val="22"/>
        </w:rPr>
      </w:pPr>
      <w:r>
        <w:rPr>
          <w:rFonts w:cstheme="minorHAnsi"/>
          <w:bCs/>
          <w:sz w:val="40"/>
          <w:lang w:val="en-US"/>
        </w:rPr>
        <w:fldChar w:fldCharType="begin"/>
      </w:r>
      <w:r w:rsidR="007D7AD1">
        <w:rPr>
          <w:rFonts w:cstheme="minorHAnsi"/>
          <w:bCs/>
          <w:sz w:val="40"/>
          <w:lang w:val="en-US"/>
        </w:rPr>
        <w:instrText xml:space="preserve"> TOC \h \z \c "Table" </w:instrText>
      </w:r>
      <w:r>
        <w:rPr>
          <w:rFonts w:cstheme="minorHAnsi"/>
          <w:bCs/>
          <w:sz w:val="40"/>
          <w:lang w:val="en-US"/>
        </w:rPr>
        <w:fldChar w:fldCharType="separate"/>
      </w:r>
      <w:hyperlink w:anchor="_Toc228374155" w:history="1">
        <w:r w:rsidR="00902B55" w:rsidRPr="00CC1555">
          <w:rPr>
            <w:rStyle w:val="Hyperlink"/>
            <w:noProof/>
          </w:rPr>
          <w:t xml:space="preserve">Table 1 </w:t>
        </w:r>
        <w:r w:rsidR="00902B55">
          <w:rPr>
            <w:rStyle w:val="Hyperlink"/>
            <w:noProof/>
            <w:lang w:val="en-US"/>
          </w:rPr>
          <w:t xml:space="preserve">  </w:t>
        </w:r>
        <w:r w:rsidR="00902B55" w:rsidRPr="00CC1555">
          <w:rPr>
            <w:rStyle w:val="Hyperlink"/>
            <w:noProof/>
          </w:rPr>
          <w:t xml:space="preserve"> Macroeconomic scenario</w:t>
        </w:r>
        <w:r w:rsidR="00902B55">
          <w:rPr>
            <w:noProof/>
            <w:webHidden/>
          </w:rPr>
          <w:tab/>
        </w:r>
        <w:r w:rsidR="00902B55">
          <w:rPr>
            <w:noProof/>
            <w:webHidden/>
          </w:rPr>
          <w:fldChar w:fldCharType="begin"/>
        </w:r>
        <w:r w:rsidR="00902B55">
          <w:rPr>
            <w:noProof/>
            <w:webHidden/>
          </w:rPr>
          <w:instrText xml:space="preserve"> PAGEREF _Toc228374155 \h </w:instrText>
        </w:r>
        <w:r w:rsidR="00902B55">
          <w:rPr>
            <w:noProof/>
            <w:webHidden/>
          </w:rPr>
        </w:r>
        <w:r w:rsidR="00902B55">
          <w:rPr>
            <w:noProof/>
            <w:webHidden/>
          </w:rPr>
          <w:fldChar w:fldCharType="separate"/>
        </w:r>
        <w:r w:rsidR="000B61F1">
          <w:rPr>
            <w:noProof/>
            <w:webHidden/>
          </w:rPr>
          <w:t>7</w:t>
        </w:r>
        <w:r w:rsidR="00902B55">
          <w:rPr>
            <w:noProof/>
            <w:webHidden/>
          </w:rPr>
          <w:fldChar w:fldCharType="end"/>
        </w:r>
      </w:hyperlink>
    </w:p>
    <w:p w14:paraId="1C6B69F4" w14:textId="57276BF6" w:rsidR="00902B55" w:rsidRDefault="000B61F1">
      <w:pPr>
        <w:pStyle w:val="TableofFigures"/>
        <w:tabs>
          <w:tab w:val="right" w:leader="dot" w:pos="8834"/>
        </w:tabs>
        <w:rPr>
          <w:noProof/>
          <w:sz w:val="22"/>
        </w:rPr>
      </w:pPr>
      <w:hyperlink w:anchor="_Toc228374156" w:history="1">
        <w:r w:rsidR="00902B55" w:rsidRPr="00CC1555">
          <w:rPr>
            <w:rStyle w:val="Hyperlink"/>
            <w:noProof/>
          </w:rPr>
          <w:t xml:space="preserve">Table 2 </w:t>
        </w:r>
        <w:r w:rsidR="00902B55">
          <w:rPr>
            <w:rStyle w:val="Hyperlink"/>
            <w:noProof/>
            <w:lang w:val="en-US"/>
          </w:rPr>
          <w:t xml:space="preserve">  </w:t>
        </w:r>
        <w:r w:rsidR="00902B55" w:rsidRPr="00CC1555">
          <w:rPr>
            <w:rStyle w:val="Hyperlink"/>
            <w:noProof/>
          </w:rPr>
          <w:t xml:space="preserve"> External assumptions</w:t>
        </w:r>
        <w:r w:rsidR="00902B55">
          <w:rPr>
            <w:noProof/>
            <w:webHidden/>
          </w:rPr>
          <w:tab/>
        </w:r>
        <w:r w:rsidR="00902B55">
          <w:rPr>
            <w:noProof/>
            <w:webHidden/>
          </w:rPr>
          <w:fldChar w:fldCharType="begin"/>
        </w:r>
        <w:r w:rsidR="00902B55">
          <w:rPr>
            <w:noProof/>
            <w:webHidden/>
          </w:rPr>
          <w:instrText xml:space="preserve"> PAGEREF _Toc228374156 \h </w:instrText>
        </w:r>
        <w:r w:rsidR="00902B55">
          <w:rPr>
            <w:noProof/>
            <w:webHidden/>
          </w:rPr>
        </w:r>
        <w:r w:rsidR="00902B55">
          <w:rPr>
            <w:noProof/>
            <w:webHidden/>
          </w:rPr>
          <w:fldChar w:fldCharType="separate"/>
        </w:r>
        <w:r>
          <w:rPr>
            <w:noProof/>
            <w:webHidden/>
          </w:rPr>
          <w:t>10</w:t>
        </w:r>
        <w:r w:rsidR="00902B55">
          <w:rPr>
            <w:noProof/>
            <w:webHidden/>
          </w:rPr>
          <w:fldChar w:fldCharType="end"/>
        </w:r>
      </w:hyperlink>
    </w:p>
    <w:p w14:paraId="5FCC85F6" w14:textId="3D25DF8F" w:rsidR="00902B55" w:rsidRDefault="000B61F1">
      <w:pPr>
        <w:pStyle w:val="TableofFigures"/>
        <w:tabs>
          <w:tab w:val="right" w:leader="dot" w:pos="8834"/>
        </w:tabs>
        <w:rPr>
          <w:noProof/>
          <w:sz w:val="22"/>
        </w:rPr>
      </w:pPr>
      <w:hyperlink w:anchor="_Toc228374157" w:history="1">
        <w:r w:rsidR="00902B55" w:rsidRPr="00CC1555">
          <w:rPr>
            <w:rStyle w:val="Hyperlink"/>
            <w:noProof/>
          </w:rPr>
          <w:t xml:space="preserve">Table 3 </w:t>
        </w:r>
        <w:r w:rsidR="00902B55">
          <w:rPr>
            <w:rStyle w:val="Hyperlink"/>
            <w:noProof/>
            <w:lang w:val="en-US"/>
          </w:rPr>
          <w:t xml:space="preserve">  </w:t>
        </w:r>
        <w:r w:rsidR="00902B55" w:rsidRPr="00CC1555">
          <w:rPr>
            <w:rStyle w:val="Hyperlink"/>
            <w:noProof/>
          </w:rPr>
          <w:t xml:space="preserve"> Main variables</w:t>
        </w:r>
        <w:r w:rsidR="00902B55">
          <w:rPr>
            <w:noProof/>
            <w:webHidden/>
          </w:rPr>
          <w:tab/>
        </w:r>
        <w:r w:rsidR="00902B55">
          <w:rPr>
            <w:noProof/>
            <w:webHidden/>
          </w:rPr>
          <w:fldChar w:fldCharType="begin"/>
        </w:r>
        <w:r w:rsidR="00902B55">
          <w:rPr>
            <w:noProof/>
            <w:webHidden/>
          </w:rPr>
          <w:instrText xml:space="preserve"> PAGEREF _Toc228374157 \h </w:instrText>
        </w:r>
        <w:r w:rsidR="00902B55">
          <w:rPr>
            <w:noProof/>
            <w:webHidden/>
          </w:rPr>
        </w:r>
        <w:r w:rsidR="00902B55">
          <w:rPr>
            <w:noProof/>
            <w:webHidden/>
          </w:rPr>
          <w:fldChar w:fldCharType="separate"/>
        </w:r>
        <w:r>
          <w:rPr>
            <w:noProof/>
            <w:webHidden/>
          </w:rPr>
          <w:t>11</w:t>
        </w:r>
        <w:r w:rsidR="00902B55">
          <w:rPr>
            <w:noProof/>
            <w:webHidden/>
          </w:rPr>
          <w:fldChar w:fldCharType="end"/>
        </w:r>
      </w:hyperlink>
    </w:p>
    <w:p w14:paraId="443C23C8" w14:textId="681A66F2" w:rsidR="00902B55" w:rsidRDefault="000B61F1">
      <w:pPr>
        <w:pStyle w:val="TableofFigures"/>
        <w:tabs>
          <w:tab w:val="right" w:leader="dot" w:pos="8834"/>
        </w:tabs>
        <w:rPr>
          <w:noProof/>
          <w:sz w:val="22"/>
        </w:rPr>
      </w:pPr>
      <w:hyperlink w:anchor="_Toc228374158" w:history="1">
        <w:r w:rsidR="00902B55" w:rsidRPr="00CC1555">
          <w:rPr>
            <w:rStyle w:val="Hyperlink"/>
            <w:noProof/>
          </w:rPr>
          <w:t xml:space="preserve">Table 4 </w:t>
        </w:r>
        <w:r w:rsidR="00902B55">
          <w:rPr>
            <w:rStyle w:val="Hyperlink"/>
            <w:noProof/>
            <w:lang w:val="en-US"/>
          </w:rPr>
          <w:t xml:space="preserve">  </w:t>
        </w:r>
        <w:r w:rsidR="00902B55" w:rsidRPr="00CC1555">
          <w:rPr>
            <w:rStyle w:val="Hyperlink"/>
            <w:noProof/>
          </w:rPr>
          <w:t xml:space="preserve"> Budgetary projections</w:t>
        </w:r>
        <w:r w:rsidR="00902B55">
          <w:rPr>
            <w:noProof/>
            <w:webHidden/>
          </w:rPr>
          <w:tab/>
        </w:r>
        <w:r w:rsidR="00902B55">
          <w:rPr>
            <w:noProof/>
            <w:webHidden/>
          </w:rPr>
          <w:fldChar w:fldCharType="begin"/>
        </w:r>
        <w:r w:rsidR="00902B55">
          <w:rPr>
            <w:noProof/>
            <w:webHidden/>
          </w:rPr>
          <w:instrText xml:space="preserve"> PAGEREF _Toc228374158 \h </w:instrText>
        </w:r>
        <w:r w:rsidR="00902B55">
          <w:rPr>
            <w:noProof/>
            <w:webHidden/>
          </w:rPr>
        </w:r>
        <w:r w:rsidR="00902B55">
          <w:rPr>
            <w:noProof/>
            <w:webHidden/>
          </w:rPr>
          <w:fldChar w:fldCharType="separate"/>
        </w:r>
        <w:r>
          <w:rPr>
            <w:noProof/>
            <w:webHidden/>
          </w:rPr>
          <w:t>12</w:t>
        </w:r>
        <w:r w:rsidR="00902B55">
          <w:rPr>
            <w:noProof/>
            <w:webHidden/>
          </w:rPr>
          <w:fldChar w:fldCharType="end"/>
        </w:r>
      </w:hyperlink>
    </w:p>
    <w:p w14:paraId="52357B55" w14:textId="1FD21DAD" w:rsidR="00902B55" w:rsidRDefault="000B61F1">
      <w:pPr>
        <w:pStyle w:val="TableofFigures"/>
        <w:tabs>
          <w:tab w:val="right" w:leader="dot" w:pos="8834"/>
        </w:tabs>
        <w:rPr>
          <w:noProof/>
          <w:sz w:val="22"/>
        </w:rPr>
      </w:pPr>
      <w:hyperlink w:anchor="_Toc228374159" w:history="1">
        <w:r w:rsidR="00902B55" w:rsidRPr="00CC1555">
          <w:rPr>
            <w:rStyle w:val="Hyperlink"/>
            <w:noProof/>
          </w:rPr>
          <w:t xml:space="preserve">Table 5 </w:t>
        </w:r>
        <w:r w:rsidR="00902B55">
          <w:rPr>
            <w:rStyle w:val="Hyperlink"/>
            <w:noProof/>
            <w:lang w:val="en-US"/>
          </w:rPr>
          <w:t xml:space="preserve">  </w:t>
        </w:r>
        <w:r w:rsidR="00902B55" w:rsidRPr="00CC1555">
          <w:rPr>
            <w:rStyle w:val="Hyperlink"/>
            <w:noProof/>
          </w:rPr>
          <w:t xml:space="preserve"> Fiscal commitments</w:t>
        </w:r>
        <w:r w:rsidR="00902B55">
          <w:rPr>
            <w:noProof/>
            <w:webHidden/>
          </w:rPr>
          <w:tab/>
        </w:r>
        <w:r w:rsidR="00902B55">
          <w:rPr>
            <w:noProof/>
            <w:webHidden/>
          </w:rPr>
          <w:fldChar w:fldCharType="begin"/>
        </w:r>
        <w:r w:rsidR="00902B55">
          <w:rPr>
            <w:noProof/>
            <w:webHidden/>
          </w:rPr>
          <w:instrText xml:space="preserve"> PAGEREF _Toc228374159 \h </w:instrText>
        </w:r>
        <w:r w:rsidR="00902B55">
          <w:rPr>
            <w:noProof/>
            <w:webHidden/>
          </w:rPr>
        </w:r>
        <w:r w:rsidR="00902B55">
          <w:rPr>
            <w:noProof/>
            <w:webHidden/>
          </w:rPr>
          <w:fldChar w:fldCharType="separate"/>
        </w:r>
        <w:r>
          <w:rPr>
            <w:noProof/>
            <w:webHidden/>
          </w:rPr>
          <w:t>15</w:t>
        </w:r>
        <w:r w:rsidR="00902B55">
          <w:rPr>
            <w:noProof/>
            <w:webHidden/>
          </w:rPr>
          <w:fldChar w:fldCharType="end"/>
        </w:r>
      </w:hyperlink>
    </w:p>
    <w:p w14:paraId="68C95740" w14:textId="7584C151" w:rsidR="00902B55" w:rsidRDefault="000B61F1">
      <w:pPr>
        <w:pStyle w:val="TableofFigures"/>
        <w:tabs>
          <w:tab w:val="right" w:leader="dot" w:pos="8834"/>
        </w:tabs>
        <w:rPr>
          <w:noProof/>
          <w:sz w:val="22"/>
        </w:rPr>
      </w:pPr>
      <w:hyperlink w:anchor="_Toc228374160" w:history="1">
        <w:r w:rsidR="00902B55" w:rsidRPr="00CC1555">
          <w:rPr>
            <w:rStyle w:val="Hyperlink"/>
            <w:noProof/>
          </w:rPr>
          <w:t xml:space="preserve">Table 6 </w:t>
        </w:r>
        <w:r w:rsidR="00902B55">
          <w:rPr>
            <w:rStyle w:val="Hyperlink"/>
            <w:noProof/>
            <w:lang w:val="en-US"/>
          </w:rPr>
          <w:t xml:space="preserve">  </w:t>
        </w:r>
        <w:r w:rsidR="00902B55" w:rsidRPr="00CC1555">
          <w:rPr>
            <w:rStyle w:val="Hyperlink"/>
            <w:noProof/>
          </w:rPr>
          <w:t xml:space="preserve"> Main discretionary measures 2025-2026</w:t>
        </w:r>
        <w:r w:rsidR="00902B55">
          <w:rPr>
            <w:rStyle w:val="Hyperlink"/>
            <w:noProof/>
            <w:lang w:val="en-US"/>
          </w:rPr>
          <w:t xml:space="preserve"> </w:t>
        </w:r>
        <w:r w:rsidR="00902B55">
          <w:rPr>
            <w:noProof/>
            <w:webHidden/>
          </w:rPr>
          <w:tab/>
        </w:r>
        <w:r w:rsidR="00902B55">
          <w:rPr>
            <w:noProof/>
            <w:webHidden/>
          </w:rPr>
          <w:fldChar w:fldCharType="begin"/>
        </w:r>
        <w:r w:rsidR="00902B55">
          <w:rPr>
            <w:noProof/>
            <w:webHidden/>
          </w:rPr>
          <w:instrText xml:space="preserve"> PAGEREF _Toc228374160 \h </w:instrText>
        </w:r>
        <w:r w:rsidR="00902B55">
          <w:rPr>
            <w:noProof/>
            <w:webHidden/>
          </w:rPr>
        </w:r>
        <w:r w:rsidR="00902B55">
          <w:rPr>
            <w:noProof/>
            <w:webHidden/>
          </w:rPr>
          <w:fldChar w:fldCharType="separate"/>
        </w:r>
        <w:r>
          <w:rPr>
            <w:noProof/>
            <w:webHidden/>
          </w:rPr>
          <w:t>18</w:t>
        </w:r>
        <w:r w:rsidR="00902B55">
          <w:rPr>
            <w:noProof/>
            <w:webHidden/>
          </w:rPr>
          <w:fldChar w:fldCharType="end"/>
        </w:r>
      </w:hyperlink>
    </w:p>
    <w:p w14:paraId="0F251742" w14:textId="743FBD18" w:rsidR="00902B55" w:rsidRDefault="000B61F1">
      <w:pPr>
        <w:pStyle w:val="TableofFigures"/>
        <w:tabs>
          <w:tab w:val="right" w:leader="dot" w:pos="8834"/>
        </w:tabs>
        <w:rPr>
          <w:noProof/>
          <w:sz w:val="22"/>
        </w:rPr>
      </w:pPr>
      <w:hyperlink w:anchor="_Toc228374161" w:history="1">
        <w:r w:rsidR="00902B55" w:rsidRPr="00CC1555">
          <w:rPr>
            <w:rStyle w:val="Hyperlink"/>
            <w:noProof/>
          </w:rPr>
          <w:t xml:space="preserve">Table 7 </w:t>
        </w:r>
        <w:r w:rsidR="00902B55">
          <w:rPr>
            <w:rStyle w:val="Hyperlink"/>
            <w:noProof/>
            <w:lang w:val="en-US"/>
          </w:rPr>
          <w:t xml:space="preserve">  </w:t>
        </w:r>
        <w:r w:rsidR="00902B55" w:rsidRPr="00CC1555">
          <w:rPr>
            <w:rStyle w:val="Hyperlink"/>
            <w:noProof/>
          </w:rPr>
          <w:t xml:space="preserve"> RRF grants</w:t>
        </w:r>
        <w:r w:rsidR="00902B55">
          <w:rPr>
            <w:rStyle w:val="Hyperlink"/>
            <w:noProof/>
            <w:lang w:val="en-US"/>
          </w:rPr>
          <w:t xml:space="preserve"> </w:t>
        </w:r>
        <w:r w:rsidR="00902B55">
          <w:rPr>
            <w:noProof/>
            <w:webHidden/>
          </w:rPr>
          <w:tab/>
        </w:r>
        <w:r w:rsidR="00902B55">
          <w:rPr>
            <w:noProof/>
            <w:webHidden/>
          </w:rPr>
          <w:fldChar w:fldCharType="begin"/>
        </w:r>
        <w:r w:rsidR="00902B55">
          <w:rPr>
            <w:noProof/>
            <w:webHidden/>
          </w:rPr>
          <w:instrText xml:space="preserve"> PAGEREF _Toc228374161 \h </w:instrText>
        </w:r>
        <w:r w:rsidR="00902B55">
          <w:rPr>
            <w:noProof/>
            <w:webHidden/>
          </w:rPr>
        </w:r>
        <w:r w:rsidR="00902B55">
          <w:rPr>
            <w:noProof/>
            <w:webHidden/>
          </w:rPr>
          <w:fldChar w:fldCharType="separate"/>
        </w:r>
        <w:r>
          <w:rPr>
            <w:noProof/>
            <w:webHidden/>
          </w:rPr>
          <w:t>26</w:t>
        </w:r>
        <w:r w:rsidR="00902B55">
          <w:rPr>
            <w:noProof/>
            <w:webHidden/>
          </w:rPr>
          <w:fldChar w:fldCharType="end"/>
        </w:r>
      </w:hyperlink>
    </w:p>
    <w:p w14:paraId="1CF9ECC3" w14:textId="3F786B24" w:rsidR="00902B55" w:rsidRDefault="000B61F1">
      <w:pPr>
        <w:pStyle w:val="TableofFigures"/>
        <w:tabs>
          <w:tab w:val="right" w:leader="dot" w:pos="8834"/>
        </w:tabs>
        <w:rPr>
          <w:noProof/>
          <w:sz w:val="22"/>
        </w:rPr>
      </w:pPr>
      <w:hyperlink w:anchor="_Toc228374162" w:history="1">
        <w:r w:rsidR="00902B55" w:rsidRPr="00CC1555">
          <w:rPr>
            <w:rStyle w:val="Hyperlink"/>
            <w:noProof/>
          </w:rPr>
          <w:t xml:space="preserve">Table 8 </w:t>
        </w:r>
        <w:r w:rsidR="00902B55">
          <w:rPr>
            <w:rStyle w:val="Hyperlink"/>
            <w:noProof/>
            <w:lang w:val="en-US"/>
          </w:rPr>
          <w:t xml:space="preserve">  </w:t>
        </w:r>
        <w:r w:rsidR="00902B55" w:rsidRPr="00CC1555">
          <w:rPr>
            <w:rStyle w:val="Hyperlink"/>
            <w:noProof/>
          </w:rPr>
          <w:t xml:space="preserve"> RRF loans</w:t>
        </w:r>
        <w:r w:rsidR="00902B55">
          <w:rPr>
            <w:noProof/>
            <w:webHidden/>
          </w:rPr>
          <w:tab/>
        </w:r>
        <w:r w:rsidR="00902B55">
          <w:rPr>
            <w:noProof/>
            <w:webHidden/>
          </w:rPr>
          <w:fldChar w:fldCharType="begin"/>
        </w:r>
        <w:r w:rsidR="00902B55">
          <w:rPr>
            <w:noProof/>
            <w:webHidden/>
          </w:rPr>
          <w:instrText xml:space="preserve"> PAGEREF _Toc228374162 \h </w:instrText>
        </w:r>
        <w:r w:rsidR="00902B55">
          <w:rPr>
            <w:noProof/>
            <w:webHidden/>
          </w:rPr>
        </w:r>
        <w:r w:rsidR="00902B55">
          <w:rPr>
            <w:noProof/>
            <w:webHidden/>
          </w:rPr>
          <w:fldChar w:fldCharType="separate"/>
        </w:r>
        <w:r>
          <w:rPr>
            <w:noProof/>
            <w:webHidden/>
          </w:rPr>
          <w:t>27</w:t>
        </w:r>
        <w:r w:rsidR="00902B55">
          <w:rPr>
            <w:noProof/>
            <w:webHidden/>
          </w:rPr>
          <w:fldChar w:fldCharType="end"/>
        </w:r>
      </w:hyperlink>
    </w:p>
    <w:p w14:paraId="3AFCA7A4" w14:textId="396F9C72" w:rsidR="00902B55" w:rsidRDefault="000B61F1">
      <w:pPr>
        <w:pStyle w:val="TableofFigures"/>
        <w:tabs>
          <w:tab w:val="right" w:leader="dot" w:pos="8834"/>
        </w:tabs>
        <w:rPr>
          <w:noProof/>
          <w:sz w:val="22"/>
        </w:rPr>
      </w:pPr>
      <w:hyperlink w:anchor="_Toc228374163" w:history="1">
        <w:r w:rsidR="00902B55" w:rsidRPr="00CC1555">
          <w:rPr>
            <w:rStyle w:val="Hyperlink"/>
            <w:noProof/>
          </w:rPr>
          <w:t xml:space="preserve">Table 9 </w:t>
        </w:r>
        <w:r w:rsidR="00902B55">
          <w:rPr>
            <w:rStyle w:val="Hyperlink"/>
            <w:noProof/>
            <w:lang w:val="en-US"/>
          </w:rPr>
          <w:t xml:space="preserve">  </w:t>
        </w:r>
        <w:r w:rsidR="00902B55" w:rsidRPr="00CC1555">
          <w:rPr>
            <w:rStyle w:val="Hyperlink"/>
            <w:noProof/>
          </w:rPr>
          <w:t xml:space="preserve"> Discretionary revenue measures</w:t>
        </w:r>
        <w:r w:rsidR="00902B55">
          <w:rPr>
            <w:rStyle w:val="Hyperlink"/>
            <w:noProof/>
            <w:lang w:val="en-US"/>
          </w:rPr>
          <w:t xml:space="preserve"> </w:t>
        </w:r>
        <w:r w:rsidR="00902B55">
          <w:rPr>
            <w:noProof/>
            <w:webHidden/>
          </w:rPr>
          <w:tab/>
        </w:r>
        <w:r w:rsidR="00902B55">
          <w:rPr>
            <w:noProof/>
            <w:webHidden/>
          </w:rPr>
          <w:fldChar w:fldCharType="begin"/>
        </w:r>
        <w:r w:rsidR="00902B55">
          <w:rPr>
            <w:noProof/>
            <w:webHidden/>
          </w:rPr>
          <w:instrText xml:space="preserve"> PAGEREF _Toc228374163 \h </w:instrText>
        </w:r>
        <w:r w:rsidR="00902B55">
          <w:rPr>
            <w:noProof/>
            <w:webHidden/>
          </w:rPr>
        </w:r>
        <w:r w:rsidR="00902B55">
          <w:rPr>
            <w:noProof/>
            <w:webHidden/>
          </w:rPr>
          <w:fldChar w:fldCharType="separate"/>
        </w:r>
        <w:r>
          <w:rPr>
            <w:noProof/>
            <w:webHidden/>
          </w:rPr>
          <w:t>140</w:t>
        </w:r>
        <w:r w:rsidR="00902B55">
          <w:rPr>
            <w:noProof/>
            <w:webHidden/>
          </w:rPr>
          <w:fldChar w:fldCharType="end"/>
        </w:r>
      </w:hyperlink>
    </w:p>
    <w:p w14:paraId="09B81E44" w14:textId="4985BB0D" w:rsidR="00902B55" w:rsidRDefault="000B61F1">
      <w:pPr>
        <w:pStyle w:val="TableofFigures"/>
        <w:tabs>
          <w:tab w:val="right" w:leader="dot" w:pos="8834"/>
        </w:tabs>
        <w:rPr>
          <w:noProof/>
          <w:sz w:val="22"/>
        </w:rPr>
      </w:pPr>
      <w:hyperlink w:anchor="_Toc228374164" w:history="1">
        <w:r w:rsidR="00902B55" w:rsidRPr="00CC1555">
          <w:rPr>
            <w:rStyle w:val="Hyperlink"/>
            <w:noProof/>
          </w:rPr>
          <w:t xml:space="preserve">Table 10 </w:t>
        </w:r>
        <w:r w:rsidR="00902B55">
          <w:rPr>
            <w:rStyle w:val="Hyperlink"/>
            <w:noProof/>
            <w:lang w:val="en-US"/>
          </w:rPr>
          <w:t xml:space="preserve"> </w:t>
        </w:r>
        <w:r w:rsidR="00902B55" w:rsidRPr="00CC1555">
          <w:rPr>
            <w:rStyle w:val="Hyperlink"/>
            <w:noProof/>
          </w:rPr>
          <w:t>One-off expenditures</w:t>
        </w:r>
        <w:r w:rsidR="00902B55">
          <w:rPr>
            <w:noProof/>
            <w:webHidden/>
          </w:rPr>
          <w:tab/>
        </w:r>
        <w:r w:rsidR="00902B55">
          <w:rPr>
            <w:noProof/>
            <w:webHidden/>
          </w:rPr>
          <w:fldChar w:fldCharType="begin"/>
        </w:r>
        <w:r w:rsidR="00902B55">
          <w:rPr>
            <w:noProof/>
            <w:webHidden/>
          </w:rPr>
          <w:instrText xml:space="preserve"> PAGEREF _Toc228374164 \h </w:instrText>
        </w:r>
        <w:r w:rsidR="00902B55">
          <w:rPr>
            <w:noProof/>
            <w:webHidden/>
          </w:rPr>
        </w:r>
        <w:r w:rsidR="00902B55">
          <w:rPr>
            <w:noProof/>
            <w:webHidden/>
          </w:rPr>
          <w:fldChar w:fldCharType="separate"/>
        </w:r>
        <w:r>
          <w:rPr>
            <w:noProof/>
            <w:webHidden/>
          </w:rPr>
          <w:t>141</w:t>
        </w:r>
        <w:r w:rsidR="00902B55">
          <w:rPr>
            <w:noProof/>
            <w:webHidden/>
          </w:rPr>
          <w:fldChar w:fldCharType="end"/>
        </w:r>
      </w:hyperlink>
    </w:p>
    <w:p w14:paraId="021B038D" w14:textId="78DE7673" w:rsidR="00DC3EBB" w:rsidRDefault="00B6443E" w:rsidP="00DB37F0">
      <w:pPr>
        <w:rPr>
          <w:lang w:val="en-US"/>
        </w:rPr>
      </w:pPr>
      <w:r>
        <w:rPr>
          <w:lang w:val="en-US"/>
        </w:rPr>
        <w:fldChar w:fldCharType="end"/>
      </w:r>
    </w:p>
    <w:p w14:paraId="6163DFA2" w14:textId="77777777" w:rsidR="00DC3EBB" w:rsidRDefault="00DC3EBB" w:rsidP="00DB37F0">
      <w:pPr>
        <w:rPr>
          <w:lang w:val="en-US"/>
        </w:rPr>
      </w:pPr>
    </w:p>
    <w:p w14:paraId="4F873886" w14:textId="77777777" w:rsidR="00FA62EC" w:rsidRPr="003D6B22" w:rsidRDefault="00FA62EC" w:rsidP="007F6B40">
      <w:pPr>
        <w:pBdr>
          <w:bottom w:val="single" w:sz="18" w:space="1" w:color="C2D69B" w:themeColor="accent3" w:themeTint="99"/>
        </w:pBdr>
        <w:rPr>
          <w:b/>
          <w:color w:val="4F81BD" w:themeColor="accent1"/>
          <w:sz w:val="44"/>
          <w:lang w:val="en-US"/>
        </w:rPr>
      </w:pPr>
      <w:r w:rsidRPr="003D6B22">
        <w:rPr>
          <w:b/>
          <w:color w:val="4F81BD" w:themeColor="accent1"/>
          <w:sz w:val="44"/>
          <w:lang w:val="en-US"/>
        </w:rPr>
        <w:t>Figures</w:t>
      </w:r>
    </w:p>
    <w:p w14:paraId="11904207" w14:textId="1D96E0F1" w:rsidR="00CF7CEB" w:rsidRDefault="00B6443E">
      <w:pPr>
        <w:pStyle w:val="TableofFigures"/>
        <w:tabs>
          <w:tab w:val="right" w:leader="dot" w:pos="8834"/>
        </w:tabs>
        <w:rPr>
          <w:noProof/>
          <w:sz w:val="22"/>
        </w:rPr>
      </w:pPr>
      <w:r>
        <w:rPr>
          <w:lang w:val="en-US"/>
        </w:rPr>
        <w:fldChar w:fldCharType="begin"/>
      </w:r>
      <w:r w:rsidR="002509C7">
        <w:rPr>
          <w:lang w:val="en-US"/>
        </w:rPr>
        <w:instrText xml:space="preserve"> TOC \h \z \c "Figure" </w:instrText>
      </w:r>
      <w:r>
        <w:rPr>
          <w:lang w:val="en-US"/>
        </w:rPr>
        <w:fldChar w:fldCharType="separate"/>
      </w:r>
      <w:hyperlink w:anchor="_Toc228279118" w:history="1">
        <w:r w:rsidR="00CF7CEB" w:rsidRPr="00295F2F">
          <w:rPr>
            <w:rStyle w:val="Hyperlink"/>
            <w:noProof/>
          </w:rPr>
          <w:t>Figure 1  General Government primary balance</w:t>
        </w:r>
        <w:r w:rsidR="00CF7CEB">
          <w:rPr>
            <w:rStyle w:val="Hyperlink"/>
            <w:noProof/>
            <w:lang w:val="en-US"/>
          </w:rPr>
          <w:t xml:space="preserve"> </w:t>
        </w:r>
        <w:r w:rsidR="00CF7CEB">
          <w:rPr>
            <w:noProof/>
            <w:webHidden/>
          </w:rPr>
          <w:tab/>
        </w:r>
        <w:r>
          <w:rPr>
            <w:noProof/>
            <w:webHidden/>
          </w:rPr>
          <w:fldChar w:fldCharType="begin"/>
        </w:r>
        <w:r w:rsidR="00CF7CEB">
          <w:rPr>
            <w:noProof/>
            <w:webHidden/>
          </w:rPr>
          <w:instrText xml:space="preserve"> PAGEREF _Toc228279118 \h </w:instrText>
        </w:r>
        <w:r>
          <w:rPr>
            <w:noProof/>
            <w:webHidden/>
          </w:rPr>
        </w:r>
        <w:r>
          <w:rPr>
            <w:noProof/>
            <w:webHidden/>
          </w:rPr>
          <w:fldChar w:fldCharType="separate"/>
        </w:r>
        <w:r w:rsidR="000B61F1">
          <w:rPr>
            <w:noProof/>
            <w:webHidden/>
          </w:rPr>
          <w:t>14</w:t>
        </w:r>
        <w:r>
          <w:rPr>
            <w:noProof/>
            <w:webHidden/>
          </w:rPr>
          <w:fldChar w:fldCharType="end"/>
        </w:r>
      </w:hyperlink>
    </w:p>
    <w:p w14:paraId="6641B5BF" w14:textId="7B96F4D7" w:rsidR="00CF7CEB" w:rsidRDefault="000B61F1">
      <w:pPr>
        <w:pStyle w:val="TableofFigures"/>
        <w:tabs>
          <w:tab w:val="right" w:leader="dot" w:pos="8834"/>
        </w:tabs>
        <w:rPr>
          <w:noProof/>
          <w:sz w:val="22"/>
        </w:rPr>
      </w:pPr>
      <w:hyperlink w:anchor="_Toc228279119" w:history="1">
        <w:r w:rsidR="00CF7CEB" w:rsidRPr="00295F2F">
          <w:rPr>
            <w:rStyle w:val="Hyperlink"/>
            <w:noProof/>
          </w:rPr>
          <w:t>Figure 2  General Government debt</w:t>
        </w:r>
        <w:r w:rsidR="00CF7CEB">
          <w:rPr>
            <w:noProof/>
            <w:webHidden/>
          </w:rPr>
          <w:tab/>
        </w:r>
        <w:r w:rsidR="00B6443E">
          <w:rPr>
            <w:noProof/>
            <w:webHidden/>
          </w:rPr>
          <w:fldChar w:fldCharType="begin"/>
        </w:r>
        <w:r w:rsidR="00CF7CEB">
          <w:rPr>
            <w:noProof/>
            <w:webHidden/>
          </w:rPr>
          <w:instrText xml:space="preserve"> PAGEREF _Toc228279119 \h </w:instrText>
        </w:r>
        <w:r w:rsidR="00B6443E">
          <w:rPr>
            <w:noProof/>
            <w:webHidden/>
          </w:rPr>
        </w:r>
        <w:r w:rsidR="00B6443E">
          <w:rPr>
            <w:noProof/>
            <w:webHidden/>
          </w:rPr>
          <w:fldChar w:fldCharType="separate"/>
        </w:r>
        <w:r>
          <w:rPr>
            <w:noProof/>
            <w:webHidden/>
          </w:rPr>
          <w:t>24</w:t>
        </w:r>
        <w:r w:rsidR="00B6443E">
          <w:rPr>
            <w:noProof/>
            <w:webHidden/>
          </w:rPr>
          <w:fldChar w:fldCharType="end"/>
        </w:r>
      </w:hyperlink>
    </w:p>
    <w:p w14:paraId="01E64ADD" w14:textId="77777777" w:rsidR="005C2D96" w:rsidRDefault="00B6443E" w:rsidP="005C2D96">
      <w:pPr>
        <w:rPr>
          <w:lang w:val="en-US"/>
        </w:rPr>
      </w:pPr>
      <w:r>
        <w:rPr>
          <w:lang w:val="en-US"/>
        </w:rPr>
        <w:fldChar w:fldCharType="end"/>
      </w:r>
    </w:p>
    <w:p w14:paraId="7AD2B807" w14:textId="77777777" w:rsidR="005C2D96" w:rsidRDefault="005C2D96">
      <w:pPr>
        <w:spacing w:after="200" w:line="276" w:lineRule="auto"/>
        <w:jc w:val="left"/>
        <w:rPr>
          <w:rFonts w:ascii="Calibri Light" w:eastAsiaTheme="majorEastAsia" w:hAnsi="Calibri Light" w:cstheme="majorBidi"/>
          <w:b/>
          <w:bCs/>
          <w:color w:val="4F81BD" w:themeColor="accent1"/>
          <w:w w:val="90"/>
          <w:sz w:val="48"/>
          <w:szCs w:val="28"/>
          <w:lang w:val="en-US"/>
        </w:rPr>
      </w:pPr>
      <w:r>
        <w:rPr>
          <w:lang w:val="en-US"/>
        </w:rPr>
        <w:br w:type="page"/>
      </w:r>
    </w:p>
    <w:p w14:paraId="00EAEA26" w14:textId="77777777" w:rsidR="00934473" w:rsidRDefault="00100696" w:rsidP="002A2712">
      <w:pPr>
        <w:pStyle w:val="Heading1"/>
        <w:numPr>
          <w:ilvl w:val="0"/>
          <w:numId w:val="2"/>
        </w:numPr>
        <w:ind w:hanging="720"/>
      </w:pPr>
      <w:bookmarkStart w:id="2" w:name="_Toc228279072"/>
      <w:r w:rsidRPr="0079459F">
        <w:lastRenderedPageBreak/>
        <w:t>Introduction</w:t>
      </w:r>
      <w:bookmarkEnd w:id="2"/>
    </w:p>
    <w:p w14:paraId="4F2552C0" w14:textId="77777777" w:rsidR="00C95A1A" w:rsidRPr="00C95A1A" w:rsidRDefault="00C95A1A" w:rsidP="00C95A1A">
      <w:pPr>
        <w:keepNext/>
        <w:framePr w:dropCap="drop" w:lines="3" w:hSpace="170" w:wrap="around" w:vAnchor="text" w:hAnchor="text"/>
        <w:spacing w:after="0" w:line="926" w:lineRule="exact"/>
        <w:textAlignment w:val="baseline"/>
        <w:rPr>
          <w:rFonts w:cstheme="minorHAnsi"/>
          <w:position w:val="-9"/>
          <w:sz w:val="124"/>
          <w:lang w:val="en-US"/>
        </w:rPr>
      </w:pPr>
      <w:r w:rsidRPr="00C95A1A">
        <w:rPr>
          <w:rFonts w:cstheme="minorHAnsi"/>
          <w:color w:val="C2D69B" w:themeColor="accent3" w:themeTint="99"/>
          <w:position w:val="-9"/>
          <w:sz w:val="124"/>
          <w:lang w:val="en-US"/>
        </w:rPr>
        <w:t>T</w:t>
      </w:r>
    </w:p>
    <w:p w14:paraId="65E46A43" w14:textId="77777777" w:rsidR="00C95A1A" w:rsidRPr="00C95A1A" w:rsidRDefault="00C95A1A" w:rsidP="00C95A1A">
      <w:pPr>
        <w:rPr>
          <w:lang w:val="en-US"/>
        </w:rPr>
      </w:pPr>
      <w:r w:rsidRPr="00C95A1A">
        <w:rPr>
          <w:lang w:val="en-US"/>
        </w:rPr>
        <w:t>he Annual Progress Report (APR) 2026 of the Hellenic Republic is submitted to the European Commission in line with the requirements set out in Council Regulation (EU) 2024/1263 (article 21), in the context of the reformed European economic governance framework that entered into force on April 30th 2024.</w:t>
      </w:r>
    </w:p>
    <w:p w14:paraId="06CD81D5" w14:textId="77777777" w:rsidR="00C95A1A" w:rsidRPr="00C95A1A" w:rsidRDefault="00C95A1A" w:rsidP="00C95A1A">
      <w:pPr>
        <w:rPr>
          <w:lang w:val="en-US"/>
        </w:rPr>
      </w:pPr>
      <w:r w:rsidRPr="00C95A1A">
        <w:rPr>
          <w:lang w:val="en-US"/>
        </w:rPr>
        <w:t>The APR is publicly available at the website of the Hellenic Ministry of Economy and Finance.</w:t>
      </w:r>
    </w:p>
    <w:p w14:paraId="14FA74AA" w14:textId="77777777" w:rsidR="00C95A1A" w:rsidRPr="00C95A1A" w:rsidRDefault="00C95A1A" w:rsidP="00C95A1A">
      <w:pPr>
        <w:rPr>
          <w:lang w:val="en-US"/>
        </w:rPr>
      </w:pPr>
      <w:r w:rsidRPr="00C95A1A">
        <w:rPr>
          <w:lang w:val="en-US"/>
        </w:rPr>
        <w:t xml:space="preserve">The Hellenic Fiscal Council (HFC) assessed the compliance of the budgetary outturn data with the net expenditure path set by the Council (art.23 of the Regulation). The opinion of the HFC is provided </w:t>
      </w:r>
      <w:r w:rsidRPr="00DC48C1">
        <w:rPr>
          <w:lang w:val="en-US"/>
        </w:rPr>
        <w:t>in Annex III.</w:t>
      </w:r>
    </w:p>
    <w:p w14:paraId="675A5EA5" w14:textId="77777777" w:rsidR="00655DED" w:rsidRPr="00C95A1A" w:rsidRDefault="00C95A1A" w:rsidP="00C95A1A">
      <w:pPr>
        <w:rPr>
          <w:lang w:val="en-US"/>
        </w:rPr>
      </w:pPr>
      <w:r w:rsidRPr="00C95A1A">
        <w:rPr>
          <w:lang w:val="en-US"/>
        </w:rPr>
        <w:t>All data presented are on ESA 2010 statistical basis.</w:t>
      </w:r>
    </w:p>
    <w:p w14:paraId="10EDC553" w14:textId="77777777" w:rsidR="0079459F" w:rsidRDefault="0079459F">
      <w:pPr>
        <w:spacing w:after="200" w:line="276" w:lineRule="auto"/>
        <w:jc w:val="left"/>
        <w:rPr>
          <w:lang w:val="en-US"/>
        </w:rPr>
      </w:pPr>
      <w:bookmarkStart w:id="3" w:name="_bookmark3"/>
      <w:bookmarkEnd w:id="3"/>
      <w:r>
        <w:rPr>
          <w:lang w:val="en-US"/>
        </w:rPr>
        <w:br w:type="page"/>
      </w:r>
    </w:p>
    <w:p w14:paraId="0CB7AB6A" w14:textId="77777777" w:rsidR="00B20130" w:rsidRDefault="00DD13E5" w:rsidP="006B6FFD">
      <w:pPr>
        <w:pStyle w:val="Heading1"/>
        <w:numPr>
          <w:ilvl w:val="0"/>
          <w:numId w:val="2"/>
        </w:numPr>
        <w:spacing w:after="1560"/>
        <w:ind w:hanging="720"/>
      </w:pPr>
      <w:bookmarkStart w:id="4" w:name="_Toc228279073"/>
      <w:r w:rsidRPr="00DD13E5">
        <w:lastRenderedPageBreak/>
        <w:t>Macroeconomic context and prospects</w:t>
      </w:r>
      <w:bookmarkEnd w:id="4"/>
    </w:p>
    <w:p w14:paraId="7D37C610" w14:textId="77777777" w:rsidR="00FE459D" w:rsidRPr="00FE459D" w:rsidRDefault="00FE459D" w:rsidP="00DA4D0A">
      <w:pPr>
        <w:pStyle w:val="Heading2"/>
        <w:numPr>
          <w:ilvl w:val="1"/>
          <w:numId w:val="2"/>
        </w:numPr>
        <w:spacing w:before="360"/>
        <w:ind w:left="567" w:hanging="567"/>
      </w:pPr>
      <w:bookmarkStart w:id="5" w:name="_Toc228279074"/>
      <w:r w:rsidRPr="00FE459D">
        <w:t>Macroeconomic Outturn 2025</w:t>
      </w:r>
      <w:bookmarkEnd w:id="5"/>
    </w:p>
    <w:p w14:paraId="5FB65BBB" w14:textId="1A6B607D" w:rsidR="00FE459D" w:rsidRDefault="00FE459D" w:rsidP="00DA4D0A">
      <w:pPr>
        <w:spacing w:after="200"/>
        <w:rPr>
          <w:lang w:val="en-US"/>
        </w:rPr>
      </w:pPr>
      <w:r>
        <w:rPr>
          <w:lang w:val="en-US"/>
        </w:rPr>
        <w:t>The Greek economy continued to expand at a robust pace of 2.1%</w:t>
      </w:r>
      <w:r>
        <w:rPr>
          <w:bCs/>
          <w:lang w:val="en-US"/>
        </w:rPr>
        <w:t xml:space="preserve"> in 2025</w:t>
      </w:r>
      <w:r>
        <w:rPr>
          <w:lang w:val="en-US"/>
        </w:rPr>
        <w:t>, matching the growth rate achieved in 2024. This performance was broadly in line with the projections of the 2026 State Budget (2.2%)</w:t>
      </w:r>
      <w:r w:rsidR="008925D7">
        <w:rPr>
          <w:lang w:val="en-US"/>
        </w:rPr>
        <w:t>,</w:t>
      </w:r>
      <w:r w:rsidR="008925D7" w:rsidRPr="008925D7">
        <w:rPr>
          <w:lang w:val="en-US"/>
        </w:rPr>
        <w:t xml:space="preserve"> despite elevated uncertainty and trade tensions</w:t>
      </w:r>
      <w:r>
        <w:rPr>
          <w:lang w:val="en-US"/>
        </w:rPr>
        <w:t xml:space="preserve"> and far above the Euro area average (1.4%)</w:t>
      </w:r>
      <w:r w:rsidR="008925D7">
        <w:rPr>
          <w:lang w:val="en-US"/>
        </w:rPr>
        <w:t>.</w:t>
      </w:r>
    </w:p>
    <w:p w14:paraId="3959D27F" w14:textId="7D3684CA" w:rsidR="00FE459D" w:rsidRPr="0099770B" w:rsidRDefault="00FE459D" w:rsidP="00DA4D0A">
      <w:pPr>
        <w:spacing w:after="200"/>
        <w:rPr>
          <w:lang w:val="en-US"/>
        </w:rPr>
      </w:pPr>
      <w:r>
        <w:rPr>
          <w:lang w:val="en-US"/>
        </w:rPr>
        <w:t xml:space="preserve">From a demand-side perspective, </w:t>
      </w:r>
      <w:r>
        <w:rPr>
          <w:bCs/>
          <w:lang w:val="en-US"/>
        </w:rPr>
        <w:t>economic growth was primarily driven by robust final domestic demand (3.0 pp)</w:t>
      </w:r>
      <w:r>
        <w:rPr>
          <w:lang w:val="en-US"/>
        </w:rPr>
        <w:t xml:space="preserve">, while </w:t>
      </w:r>
      <w:r>
        <w:rPr>
          <w:bCs/>
          <w:lang w:val="en-US"/>
        </w:rPr>
        <w:t>net exports (1.2 pp) also lent further impetus to the expansion</w:t>
      </w:r>
      <w:r>
        <w:rPr>
          <w:lang w:val="en-US"/>
        </w:rPr>
        <w:t xml:space="preserve">. </w:t>
      </w:r>
      <w:r w:rsidR="00C926D4">
        <w:rPr>
          <w:bCs/>
          <w:lang w:val="en-US"/>
        </w:rPr>
        <w:t xml:space="preserve"> </w:t>
      </w:r>
      <w:r>
        <w:rPr>
          <w:lang w:val="en-US"/>
        </w:rPr>
        <w:t>Gross fixed capital formation stood out as the primary growth driver within domestic demand in 2025, accelerating to 8.9% (up from 4.5% in 2024) and contributing 1.5 pp to real output growth. Key components behind this acceleration were a surge in construction activity –primarily in the residential sector</w:t>
      </w:r>
      <w:r w:rsidR="00C4061C">
        <w:rPr>
          <w:lang w:val="en-US"/>
        </w:rPr>
        <w:t>—</w:t>
      </w:r>
      <w:r>
        <w:rPr>
          <w:lang w:val="en-US"/>
        </w:rPr>
        <w:t xml:space="preserve"> significant spending </w:t>
      </w:r>
      <w:r>
        <w:t>ο</w:t>
      </w:r>
      <w:r>
        <w:rPr>
          <w:lang w:val="en-US"/>
        </w:rPr>
        <w:t>n transport equipment and other machinery and equipment, as well as a recovery in agricultural capital goods. This expansion reflected buoyant business expectations across industry and construction, robust growth in corporate lending, and the accelerated implementation of RRF and PIB investment projects. Additionally, FDI inflows rose significantly in 2025, reaching approximately €12.0 b</w:t>
      </w:r>
      <w:r w:rsidR="003E0E1E">
        <w:rPr>
          <w:lang w:val="en-US"/>
        </w:rPr>
        <w:t>illio</w:t>
      </w:r>
      <w:r>
        <w:rPr>
          <w:lang w:val="en-US"/>
        </w:rPr>
        <w:t>n (4.8% of GDP, up from 2.6% in 2024), mainly directed towards energy, real estate  and manufacturing, while the construction and wholesale and retail trade sectors also witnessed a strengthening in investment flows.</w:t>
      </w:r>
    </w:p>
    <w:p w14:paraId="45ED187F" w14:textId="77777777" w:rsidR="00FE459D" w:rsidRDefault="00FE459D" w:rsidP="00DA4D0A">
      <w:pPr>
        <w:spacing w:after="200"/>
        <w:rPr>
          <w:lang w:val="en-US"/>
        </w:rPr>
      </w:pPr>
      <w:r>
        <w:rPr>
          <w:lang w:val="en-US"/>
        </w:rPr>
        <w:t xml:space="preserve">In tandem, </w:t>
      </w:r>
      <w:r>
        <w:rPr>
          <w:bCs/>
          <w:lang w:val="en-US"/>
        </w:rPr>
        <w:t>private consumption</w:t>
      </w:r>
      <w:r>
        <w:rPr>
          <w:lang w:val="en-US"/>
        </w:rPr>
        <w:t xml:space="preserve"> continued to provide solid support to domestic demand, albeit at a decelerating pace, increasing by 2.0% (vs. 2.4% in 2024) and adding 1.4 pp to real GDP growth. The turn of retail trade volumes into positive territory –following two years of contraction– underpinned the increase. This resilient performance reflected continued labour market improvements and fiscal support measures aimed at bolstering household disposable income, which helped mitigate persistent inflationary pressures. Moreover, public consumption edged into positive territory, rising by 0.3% (vs. -2.6% in 2024).</w:t>
      </w:r>
    </w:p>
    <w:p w14:paraId="08861A98" w14:textId="0B8930C4" w:rsidR="00FE459D" w:rsidRDefault="00FE459D" w:rsidP="00DA4D0A">
      <w:pPr>
        <w:spacing w:after="200"/>
        <w:rPr>
          <w:lang w:val="en-US"/>
        </w:rPr>
      </w:pPr>
      <w:bookmarkStart w:id="6" w:name="_Hlk228193482"/>
      <w:r>
        <w:rPr>
          <w:lang w:val="en-US"/>
        </w:rPr>
        <w:t xml:space="preserve">On the external sector, total exports gathered momentum in 2025, growing by 1.7% (compared to 1.0% in 2024). This was primarily driven by a rebound in goods exports (3.0%, up from -1.2% in 2024), while services exports recorded a marginal increase (0.4%), as the strong performance in tourism was partially offset by declining shipping </w:t>
      </w:r>
      <w:r w:rsidR="00B758C4">
        <w:rPr>
          <w:lang w:val="en-US"/>
        </w:rPr>
        <w:t>revenues</w:t>
      </w:r>
      <w:r>
        <w:rPr>
          <w:lang w:val="en-US"/>
        </w:rPr>
        <w:t>. Conversely, total imports contracted by 1.3% (down from 4.8% in 2024), resulting in a positive contribution of net exports to real GDP growth (1.2 pp). Reflecting these developments, Balance of Payments data show the current account deficit narrowed considerably to 5.7% of GDP (from 7.2% of GDP in 2024). This improvement was supported by gains in all sub-accounts, most notably in the balance of goods (lower oil deficit).</w:t>
      </w:r>
    </w:p>
    <w:p w14:paraId="51A434A3" w14:textId="77777777" w:rsidR="00E44B2F" w:rsidRDefault="00E44B2F" w:rsidP="00DA4D0A">
      <w:pPr>
        <w:spacing w:after="200"/>
        <w:rPr>
          <w:lang w:val="en-US"/>
        </w:rPr>
      </w:pPr>
    </w:p>
    <w:p w14:paraId="1BB6F2C4" w14:textId="60348714" w:rsidR="00DA4D0A" w:rsidRDefault="00DA4D0A" w:rsidP="00817900">
      <w:pPr>
        <w:pStyle w:val="Caption"/>
        <w:spacing w:after="0"/>
      </w:pPr>
      <w:bookmarkStart w:id="7" w:name="_Toc228374155"/>
      <w:r>
        <w:lastRenderedPageBreak/>
        <w:t xml:space="preserve">Table </w:t>
      </w:r>
      <w:r w:rsidR="00B6443E">
        <w:fldChar w:fldCharType="begin"/>
      </w:r>
      <w:r>
        <w:instrText xml:space="preserve"> SEQ Table \* ARABIC </w:instrText>
      </w:r>
      <w:r w:rsidR="00B6443E">
        <w:fldChar w:fldCharType="separate"/>
      </w:r>
      <w:r w:rsidR="000B61F1">
        <w:rPr>
          <w:noProof/>
        </w:rPr>
        <w:t>1</w:t>
      </w:r>
      <w:r w:rsidR="00B6443E">
        <w:fldChar w:fldCharType="end"/>
      </w:r>
      <w:r>
        <w:rPr>
          <w:lang w:val="el-GR"/>
        </w:rPr>
        <w:t xml:space="preserve"> | </w:t>
      </w:r>
      <w:r w:rsidRPr="003C15B8">
        <w:t>Macroeconomic scenario</w:t>
      </w:r>
      <w:bookmarkEnd w:id="7"/>
    </w:p>
    <w:tbl>
      <w:tblPr>
        <w:tblW w:w="8902" w:type="dxa"/>
        <w:jc w:val="center"/>
        <w:tblLook w:val="04A0" w:firstRow="1" w:lastRow="0" w:firstColumn="1" w:lastColumn="0" w:noHBand="0" w:noVBand="1"/>
      </w:tblPr>
      <w:tblGrid>
        <w:gridCol w:w="3609"/>
        <w:gridCol w:w="883"/>
        <w:gridCol w:w="914"/>
        <w:gridCol w:w="874"/>
        <w:gridCol w:w="874"/>
        <w:gridCol w:w="874"/>
        <w:gridCol w:w="874"/>
      </w:tblGrid>
      <w:tr w:rsidR="00DA4D0A" w:rsidRPr="003C15B8" w14:paraId="411285FE" w14:textId="77777777" w:rsidTr="00817900">
        <w:trPr>
          <w:trHeight w:val="284"/>
          <w:jc w:val="center"/>
        </w:trPr>
        <w:tc>
          <w:tcPr>
            <w:tcW w:w="3828" w:type="dxa"/>
            <w:tcBorders>
              <w:top w:val="nil"/>
              <w:left w:val="nil"/>
              <w:bottom w:val="nil"/>
              <w:right w:val="single" w:sz="4" w:space="0" w:color="FFFFFF" w:themeColor="background1"/>
            </w:tcBorders>
            <w:shd w:val="clear" w:color="000000" w:fill="BFBFBF"/>
            <w:vAlign w:val="center"/>
            <w:hideMark/>
          </w:tcPr>
          <w:p w14:paraId="548C0FDC" w14:textId="77777777" w:rsidR="00DA4D0A" w:rsidRPr="003C15B8" w:rsidRDefault="00DA4D0A" w:rsidP="009B381B">
            <w:pPr>
              <w:spacing w:after="0" w:line="230" w:lineRule="exact"/>
              <w:jc w:val="left"/>
              <w:rPr>
                <w:rFonts w:ascii="Calibri" w:eastAsia="Times New Roman" w:hAnsi="Calibri" w:cs="Calibri"/>
                <w:b/>
                <w:bCs/>
                <w:color w:val="000000"/>
                <w:sz w:val="22"/>
              </w:rPr>
            </w:pPr>
            <w:r w:rsidRPr="003C15B8">
              <w:rPr>
                <w:rFonts w:ascii="Calibri" w:eastAsia="Times New Roman" w:hAnsi="Calibri" w:cs="Calibri"/>
                <w:b/>
                <w:bCs/>
                <w:color w:val="000000"/>
                <w:sz w:val="22"/>
              </w:rPr>
              <w:t> </w:t>
            </w:r>
          </w:p>
        </w:tc>
        <w:tc>
          <w:tcPr>
            <w:tcW w:w="903" w:type="dxa"/>
            <w:tcBorders>
              <w:top w:val="nil"/>
              <w:left w:val="single" w:sz="4" w:space="0" w:color="FFFFFF" w:themeColor="background1"/>
              <w:bottom w:val="nil"/>
              <w:right w:val="single" w:sz="4" w:space="0" w:color="FFFFFF" w:themeColor="background1"/>
            </w:tcBorders>
            <w:shd w:val="clear" w:color="000000" w:fill="BFBFBF"/>
            <w:vAlign w:val="center"/>
            <w:hideMark/>
          </w:tcPr>
          <w:p w14:paraId="1C494FC7" w14:textId="77777777" w:rsidR="00DA4D0A" w:rsidRPr="003C15B8" w:rsidRDefault="00DA4D0A" w:rsidP="009B381B">
            <w:pPr>
              <w:spacing w:after="0" w:line="230" w:lineRule="exact"/>
              <w:jc w:val="left"/>
              <w:rPr>
                <w:rFonts w:ascii="Calibri" w:eastAsia="Times New Roman" w:hAnsi="Calibri" w:cs="Calibri"/>
                <w:b/>
                <w:bCs/>
                <w:color w:val="000000"/>
                <w:sz w:val="22"/>
              </w:rPr>
            </w:pPr>
            <w:r w:rsidRPr="003C15B8">
              <w:rPr>
                <w:rFonts w:ascii="Calibri" w:eastAsia="Times New Roman" w:hAnsi="Calibri" w:cs="Calibri"/>
                <w:b/>
                <w:bCs/>
                <w:color w:val="000000"/>
                <w:sz w:val="22"/>
              </w:rPr>
              <w:t>ESA Code</w:t>
            </w:r>
          </w:p>
        </w:tc>
        <w:tc>
          <w:tcPr>
            <w:tcW w:w="656" w:type="dxa"/>
            <w:tcBorders>
              <w:top w:val="nil"/>
              <w:left w:val="single" w:sz="4" w:space="0" w:color="FFFFFF" w:themeColor="background1"/>
              <w:bottom w:val="nil"/>
              <w:right w:val="single" w:sz="4" w:space="0" w:color="FFFFFF" w:themeColor="background1"/>
            </w:tcBorders>
            <w:shd w:val="clear" w:color="000000" w:fill="BFBFBF"/>
            <w:vAlign w:val="center"/>
            <w:hideMark/>
          </w:tcPr>
          <w:p w14:paraId="43864B80" w14:textId="77777777" w:rsidR="00DA4D0A" w:rsidRPr="003C15B8" w:rsidRDefault="00DA4D0A" w:rsidP="009B381B">
            <w:pPr>
              <w:spacing w:after="0" w:line="230" w:lineRule="exact"/>
              <w:jc w:val="center"/>
              <w:rPr>
                <w:rFonts w:ascii="Calibri" w:eastAsia="Times New Roman" w:hAnsi="Calibri" w:cs="Calibri"/>
                <w:b/>
                <w:bCs/>
                <w:color w:val="000000"/>
                <w:sz w:val="22"/>
              </w:rPr>
            </w:pPr>
            <w:r w:rsidRPr="003C15B8">
              <w:rPr>
                <w:rFonts w:ascii="Calibri" w:eastAsia="Times New Roman" w:hAnsi="Calibri" w:cs="Calibri"/>
                <w:b/>
                <w:bCs/>
                <w:color w:val="000000"/>
                <w:sz w:val="22"/>
              </w:rPr>
              <w:t>2023 (Levels)</w:t>
            </w:r>
          </w:p>
        </w:tc>
        <w:tc>
          <w:tcPr>
            <w:tcW w:w="897" w:type="dxa"/>
            <w:tcBorders>
              <w:top w:val="nil"/>
              <w:left w:val="single" w:sz="4" w:space="0" w:color="FFFFFF" w:themeColor="background1"/>
              <w:bottom w:val="nil"/>
              <w:right w:val="nil"/>
            </w:tcBorders>
            <w:shd w:val="clear" w:color="000000" w:fill="BFBFBF"/>
            <w:vAlign w:val="center"/>
            <w:hideMark/>
          </w:tcPr>
          <w:p w14:paraId="120B4EE9" w14:textId="77777777" w:rsidR="00DA4D0A" w:rsidRPr="003C15B8" w:rsidRDefault="00DA4D0A" w:rsidP="009B381B">
            <w:pPr>
              <w:spacing w:after="0" w:line="230" w:lineRule="exact"/>
              <w:jc w:val="center"/>
              <w:rPr>
                <w:rFonts w:ascii="Calibri" w:eastAsia="Times New Roman" w:hAnsi="Calibri" w:cs="Calibri"/>
                <w:b/>
                <w:bCs/>
                <w:color w:val="000000"/>
                <w:sz w:val="22"/>
              </w:rPr>
            </w:pPr>
            <w:r w:rsidRPr="003C15B8">
              <w:rPr>
                <w:rFonts w:ascii="Calibri" w:eastAsia="Times New Roman" w:hAnsi="Calibri" w:cs="Calibri"/>
                <w:b/>
                <w:bCs/>
                <w:color w:val="000000"/>
                <w:sz w:val="22"/>
              </w:rPr>
              <w:t>2023</w:t>
            </w:r>
          </w:p>
        </w:tc>
        <w:tc>
          <w:tcPr>
            <w:tcW w:w="897" w:type="dxa"/>
            <w:tcBorders>
              <w:top w:val="nil"/>
              <w:left w:val="nil"/>
              <w:bottom w:val="nil"/>
              <w:right w:val="nil"/>
            </w:tcBorders>
            <w:shd w:val="clear" w:color="000000" w:fill="BFBFBF"/>
            <w:vAlign w:val="center"/>
            <w:hideMark/>
          </w:tcPr>
          <w:p w14:paraId="56DEF937" w14:textId="77777777" w:rsidR="00DA4D0A" w:rsidRPr="003C15B8" w:rsidRDefault="00DA4D0A" w:rsidP="009B381B">
            <w:pPr>
              <w:spacing w:after="0" w:line="230" w:lineRule="exact"/>
              <w:jc w:val="center"/>
              <w:rPr>
                <w:rFonts w:ascii="Calibri" w:eastAsia="Times New Roman" w:hAnsi="Calibri" w:cs="Calibri"/>
                <w:b/>
                <w:bCs/>
                <w:color w:val="000000"/>
                <w:sz w:val="22"/>
              </w:rPr>
            </w:pPr>
            <w:r w:rsidRPr="003C15B8">
              <w:rPr>
                <w:rFonts w:ascii="Calibri" w:eastAsia="Times New Roman" w:hAnsi="Calibri" w:cs="Calibri"/>
                <w:b/>
                <w:bCs/>
                <w:color w:val="000000"/>
                <w:sz w:val="22"/>
              </w:rPr>
              <w:t>2024</w:t>
            </w:r>
          </w:p>
        </w:tc>
        <w:tc>
          <w:tcPr>
            <w:tcW w:w="897" w:type="dxa"/>
            <w:tcBorders>
              <w:top w:val="nil"/>
              <w:left w:val="nil"/>
              <w:bottom w:val="nil"/>
              <w:right w:val="nil"/>
            </w:tcBorders>
            <w:shd w:val="clear" w:color="000000" w:fill="BFBFBF"/>
            <w:vAlign w:val="center"/>
            <w:hideMark/>
          </w:tcPr>
          <w:p w14:paraId="430B9224" w14:textId="77777777" w:rsidR="00DA4D0A" w:rsidRPr="003C15B8" w:rsidRDefault="00DA4D0A" w:rsidP="009B381B">
            <w:pPr>
              <w:spacing w:after="0" w:line="230" w:lineRule="exact"/>
              <w:jc w:val="center"/>
              <w:rPr>
                <w:rFonts w:ascii="Calibri" w:eastAsia="Times New Roman" w:hAnsi="Calibri" w:cs="Calibri"/>
                <w:b/>
                <w:bCs/>
                <w:color w:val="000000"/>
                <w:sz w:val="22"/>
              </w:rPr>
            </w:pPr>
            <w:r w:rsidRPr="003C15B8">
              <w:rPr>
                <w:rFonts w:ascii="Calibri" w:eastAsia="Times New Roman" w:hAnsi="Calibri" w:cs="Calibri"/>
                <w:b/>
                <w:bCs/>
                <w:color w:val="000000"/>
                <w:sz w:val="22"/>
              </w:rPr>
              <w:t>2025</w:t>
            </w:r>
          </w:p>
        </w:tc>
        <w:tc>
          <w:tcPr>
            <w:tcW w:w="897" w:type="dxa"/>
            <w:tcBorders>
              <w:top w:val="nil"/>
              <w:left w:val="nil"/>
              <w:bottom w:val="nil"/>
              <w:right w:val="nil"/>
            </w:tcBorders>
            <w:shd w:val="clear" w:color="000000" w:fill="BFBFBF"/>
            <w:vAlign w:val="center"/>
            <w:hideMark/>
          </w:tcPr>
          <w:p w14:paraId="2DF23CC8" w14:textId="77777777" w:rsidR="00DA4D0A" w:rsidRPr="003C15B8" w:rsidRDefault="00DA4D0A" w:rsidP="009B381B">
            <w:pPr>
              <w:spacing w:after="0" w:line="230" w:lineRule="exact"/>
              <w:jc w:val="center"/>
              <w:rPr>
                <w:rFonts w:ascii="Calibri" w:eastAsia="Times New Roman" w:hAnsi="Calibri" w:cs="Calibri"/>
                <w:b/>
                <w:bCs/>
                <w:color w:val="000000"/>
                <w:sz w:val="22"/>
              </w:rPr>
            </w:pPr>
            <w:r w:rsidRPr="003C15B8">
              <w:rPr>
                <w:rFonts w:ascii="Calibri" w:eastAsia="Times New Roman" w:hAnsi="Calibri" w:cs="Calibri"/>
                <w:b/>
                <w:bCs/>
                <w:color w:val="000000"/>
                <w:sz w:val="22"/>
              </w:rPr>
              <w:t>2026</w:t>
            </w:r>
          </w:p>
        </w:tc>
      </w:tr>
      <w:tr w:rsidR="00DA4D0A" w:rsidRPr="003C15B8" w14:paraId="233D51F5" w14:textId="77777777" w:rsidTr="00817900">
        <w:trPr>
          <w:trHeight w:val="284"/>
          <w:jc w:val="center"/>
        </w:trPr>
        <w:tc>
          <w:tcPr>
            <w:tcW w:w="3828" w:type="dxa"/>
            <w:tcBorders>
              <w:top w:val="nil"/>
              <w:left w:val="nil"/>
              <w:bottom w:val="nil"/>
              <w:right w:val="single" w:sz="4" w:space="0" w:color="FFFFFF" w:themeColor="background1"/>
            </w:tcBorders>
            <w:shd w:val="clear" w:color="000000" w:fill="D6DCE4"/>
            <w:vAlign w:val="center"/>
            <w:hideMark/>
          </w:tcPr>
          <w:p w14:paraId="7EAB4A18" w14:textId="77777777" w:rsidR="00DA4D0A" w:rsidRPr="003C15B8" w:rsidRDefault="00DA4D0A" w:rsidP="009B381B">
            <w:pPr>
              <w:pStyle w:val="Tabletext"/>
              <w:spacing w:line="230" w:lineRule="exact"/>
              <w:rPr>
                <w:b/>
              </w:rPr>
            </w:pPr>
            <w:r w:rsidRPr="003C15B8">
              <w:rPr>
                <w:b/>
              </w:rPr>
              <w:t>GDP</w:t>
            </w:r>
          </w:p>
        </w:tc>
        <w:tc>
          <w:tcPr>
            <w:tcW w:w="903" w:type="dxa"/>
            <w:tcBorders>
              <w:top w:val="nil"/>
              <w:left w:val="single" w:sz="4" w:space="0" w:color="FFFFFF" w:themeColor="background1"/>
              <w:bottom w:val="nil"/>
              <w:right w:val="single" w:sz="4" w:space="0" w:color="FFFFFF" w:themeColor="background1"/>
            </w:tcBorders>
            <w:shd w:val="clear" w:color="000000" w:fill="D6DCE4"/>
            <w:vAlign w:val="center"/>
            <w:hideMark/>
          </w:tcPr>
          <w:p w14:paraId="0C467F58" w14:textId="77777777" w:rsidR="00DA4D0A" w:rsidRPr="003C15B8" w:rsidRDefault="00DA4D0A" w:rsidP="009B381B">
            <w:pPr>
              <w:pStyle w:val="Tabletext"/>
              <w:spacing w:line="230" w:lineRule="exact"/>
              <w:rPr>
                <w:b/>
              </w:rPr>
            </w:pPr>
            <w:r w:rsidRPr="003C15B8">
              <w:rPr>
                <w:b/>
              </w:rPr>
              <w:t> </w:t>
            </w:r>
          </w:p>
        </w:tc>
        <w:tc>
          <w:tcPr>
            <w:tcW w:w="656" w:type="dxa"/>
            <w:tcBorders>
              <w:top w:val="nil"/>
              <w:left w:val="single" w:sz="4" w:space="0" w:color="FFFFFF" w:themeColor="background1"/>
              <w:bottom w:val="nil"/>
              <w:right w:val="single" w:sz="4" w:space="0" w:color="FFFFFF" w:themeColor="background1"/>
            </w:tcBorders>
            <w:shd w:val="clear" w:color="000000" w:fill="D6DCE4"/>
            <w:vAlign w:val="center"/>
            <w:hideMark/>
          </w:tcPr>
          <w:p w14:paraId="079019EE" w14:textId="77777777" w:rsidR="00DA4D0A" w:rsidRPr="001541D8" w:rsidRDefault="00DA4D0A" w:rsidP="009B381B">
            <w:pPr>
              <w:pStyle w:val="Tabletext"/>
              <w:spacing w:line="230" w:lineRule="exact"/>
              <w:jc w:val="center"/>
            </w:pPr>
            <w:r w:rsidRPr="001541D8">
              <w:t>bn NAC</w:t>
            </w:r>
          </w:p>
        </w:tc>
        <w:tc>
          <w:tcPr>
            <w:tcW w:w="3588" w:type="dxa"/>
            <w:gridSpan w:val="4"/>
            <w:tcBorders>
              <w:top w:val="nil"/>
              <w:left w:val="single" w:sz="4" w:space="0" w:color="FFFFFF" w:themeColor="background1"/>
              <w:bottom w:val="nil"/>
              <w:right w:val="nil"/>
            </w:tcBorders>
            <w:shd w:val="clear" w:color="000000" w:fill="D6DCE4"/>
            <w:vAlign w:val="center"/>
            <w:hideMark/>
          </w:tcPr>
          <w:p w14:paraId="3E3F7376" w14:textId="77777777" w:rsidR="00DA4D0A" w:rsidRPr="001541D8" w:rsidRDefault="00DA4D0A" w:rsidP="009B381B">
            <w:pPr>
              <w:pStyle w:val="Tabletext"/>
              <w:spacing w:line="230" w:lineRule="exact"/>
              <w:jc w:val="center"/>
            </w:pPr>
            <w:r w:rsidRPr="001541D8">
              <w:t>growth rate</w:t>
            </w:r>
          </w:p>
        </w:tc>
      </w:tr>
      <w:tr w:rsidR="00DA4D0A" w:rsidRPr="003C15B8" w14:paraId="418CD179" w14:textId="77777777" w:rsidTr="00817900">
        <w:trPr>
          <w:trHeight w:val="284"/>
          <w:jc w:val="center"/>
        </w:trPr>
        <w:tc>
          <w:tcPr>
            <w:tcW w:w="3828" w:type="dxa"/>
            <w:tcBorders>
              <w:top w:val="nil"/>
              <w:left w:val="nil"/>
              <w:bottom w:val="single" w:sz="4" w:space="0" w:color="FFFFFF"/>
              <w:right w:val="single" w:sz="4" w:space="0" w:color="FFFFFF" w:themeColor="background1"/>
            </w:tcBorders>
            <w:shd w:val="clear" w:color="000000" w:fill="F2F2F2"/>
            <w:vAlign w:val="center"/>
            <w:hideMark/>
          </w:tcPr>
          <w:p w14:paraId="027DE08D" w14:textId="77777777" w:rsidR="00DA4D0A" w:rsidRPr="003C15B8" w:rsidRDefault="00DA4D0A" w:rsidP="009B381B">
            <w:pPr>
              <w:pStyle w:val="Tabletext"/>
              <w:spacing w:line="230" w:lineRule="exact"/>
            </w:pPr>
            <w:r w:rsidRPr="003C15B8">
              <w:t>1. Real GDP</w:t>
            </w:r>
          </w:p>
        </w:tc>
        <w:tc>
          <w:tcPr>
            <w:tcW w:w="903" w:type="dxa"/>
            <w:tcBorders>
              <w:top w:val="nil"/>
              <w:left w:val="single" w:sz="4" w:space="0" w:color="FFFFFF" w:themeColor="background1"/>
              <w:bottom w:val="single" w:sz="4" w:space="0" w:color="FFFFFF"/>
              <w:right w:val="single" w:sz="4" w:space="0" w:color="FFFFFF" w:themeColor="background1"/>
            </w:tcBorders>
            <w:shd w:val="clear" w:color="000000" w:fill="F2F2F2"/>
            <w:vAlign w:val="center"/>
            <w:hideMark/>
          </w:tcPr>
          <w:p w14:paraId="321C2BB5" w14:textId="77777777" w:rsidR="00DA4D0A" w:rsidRPr="003C15B8" w:rsidRDefault="00DA4D0A" w:rsidP="009B381B">
            <w:pPr>
              <w:pStyle w:val="Tabletext"/>
              <w:spacing w:line="230" w:lineRule="exact"/>
            </w:pPr>
            <w:r w:rsidRPr="003C15B8">
              <w:t>B.1*g</w:t>
            </w:r>
          </w:p>
        </w:tc>
        <w:tc>
          <w:tcPr>
            <w:tcW w:w="656" w:type="dxa"/>
            <w:tcBorders>
              <w:top w:val="nil"/>
              <w:left w:val="single" w:sz="4" w:space="0" w:color="FFFFFF" w:themeColor="background1"/>
              <w:bottom w:val="single" w:sz="4" w:space="0" w:color="FFFFFF"/>
              <w:right w:val="single" w:sz="4" w:space="0" w:color="FFFFFF" w:themeColor="background1"/>
            </w:tcBorders>
            <w:shd w:val="clear" w:color="000000" w:fill="F2F2F2"/>
            <w:vAlign w:val="center"/>
            <w:hideMark/>
          </w:tcPr>
          <w:p w14:paraId="7DC59838" w14:textId="77777777" w:rsidR="00DA4D0A" w:rsidRPr="001541D8" w:rsidRDefault="00DA4D0A" w:rsidP="009B381B">
            <w:pPr>
              <w:pStyle w:val="Tabletext"/>
              <w:spacing w:line="230" w:lineRule="exact"/>
              <w:jc w:val="center"/>
            </w:pPr>
          </w:p>
        </w:tc>
        <w:tc>
          <w:tcPr>
            <w:tcW w:w="897" w:type="dxa"/>
            <w:tcBorders>
              <w:top w:val="nil"/>
              <w:left w:val="single" w:sz="4" w:space="0" w:color="FFFFFF" w:themeColor="background1"/>
              <w:bottom w:val="single" w:sz="4" w:space="0" w:color="FFFFFF"/>
              <w:right w:val="nil"/>
            </w:tcBorders>
            <w:shd w:val="clear" w:color="000000" w:fill="F2F2F2"/>
            <w:vAlign w:val="center"/>
            <w:hideMark/>
          </w:tcPr>
          <w:p w14:paraId="206D888B" w14:textId="77777777" w:rsidR="00DA4D0A" w:rsidRPr="001541D8" w:rsidRDefault="00DA4D0A" w:rsidP="009B381B">
            <w:pPr>
              <w:pStyle w:val="Tabletext"/>
              <w:spacing w:line="230" w:lineRule="exact"/>
              <w:jc w:val="center"/>
            </w:pPr>
            <w:r w:rsidRPr="001541D8">
              <w:t>2.1</w:t>
            </w:r>
          </w:p>
        </w:tc>
        <w:tc>
          <w:tcPr>
            <w:tcW w:w="897" w:type="dxa"/>
            <w:tcBorders>
              <w:top w:val="nil"/>
              <w:left w:val="nil"/>
              <w:bottom w:val="single" w:sz="4" w:space="0" w:color="FFFFFF"/>
              <w:right w:val="nil"/>
            </w:tcBorders>
            <w:shd w:val="clear" w:color="000000" w:fill="F2F2F2"/>
            <w:vAlign w:val="center"/>
            <w:hideMark/>
          </w:tcPr>
          <w:p w14:paraId="251BFB10" w14:textId="77777777" w:rsidR="00DA4D0A" w:rsidRPr="001541D8" w:rsidRDefault="00DA4D0A" w:rsidP="009B381B">
            <w:pPr>
              <w:pStyle w:val="Tabletext"/>
              <w:spacing w:line="230" w:lineRule="exact"/>
              <w:jc w:val="center"/>
            </w:pPr>
            <w:r w:rsidRPr="001541D8">
              <w:t>2.1</w:t>
            </w:r>
          </w:p>
        </w:tc>
        <w:tc>
          <w:tcPr>
            <w:tcW w:w="897" w:type="dxa"/>
            <w:tcBorders>
              <w:top w:val="nil"/>
              <w:left w:val="nil"/>
              <w:bottom w:val="single" w:sz="4" w:space="0" w:color="FFFFFF"/>
              <w:right w:val="nil"/>
            </w:tcBorders>
            <w:shd w:val="clear" w:color="000000" w:fill="F2F2F2"/>
            <w:vAlign w:val="center"/>
            <w:hideMark/>
          </w:tcPr>
          <w:p w14:paraId="3D7B61FD" w14:textId="77777777" w:rsidR="00DA4D0A" w:rsidRPr="001541D8" w:rsidRDefault="00DA4D0A" w:rsidP="009B381B">
            <w:pPr>
              <w:pStyle w:val="Tabletext"/>
              <w:spacing w:line="230" w:lineRule="exact"/>
              <w:jc w:val="center"/>
            </w:pPr>
            <w:r w:rsidRPr="001541D8">
              <w:t>2.1</w:t>
            </w:r>
          </w:p>
        </w:tc>
        <w:tc>
          <w:tcPr>
            <w:tcW w:w="897" w:type="dxa"/>
            <w:tcBorders>
              <w:top w:val="nil"/>
              <w:left w:val="nil"/>
              <w:bottom w:val="single" w:sz="4" w:space="0" w:color="FFFFFF"/>
              <w:right w:val="nil"/>
            </w:tcBorders>
            <w:shd w:val="clear" w:color="000000" w:fill="F2F2F2"/>
            <w:vAlign w:val="center"/>
            <w:hideMark/>
          </w:tcPr>
          <w:p w14:paraId="416B0432" w14:textId="77777777" w:rsidR="00DA4D0A" w:rsidRPr="001541D8" w:rsidRDefault="00DA4D0A" w:rsidP="009B381B">
            <w:pPr>
              <w:pStyle w:val="Tabletext"/>
              <w:spacing w:line="230" w:lineRule="exact"/>
              <w:jc w:val="center"/>
            </w:pPr>
            <w:r w:rsidRPr="001541D8">
              <w:t>2.0</w:t>
            </w:r>
          </w:p>
        </w:tc>
      </w:tr>
      <w:tr w:rsidR="00DA4D0A" w:rsidRPr="003C15B8" w14:paraId="782F5320" w14:textId="77777777" w:rsidTr="00817900">
        <w:trPr>
          <w:trHeight w:val="284"/>
          <w:jc w:val="center"/>
        </w:trPr>
        <w:tc>
          <w:tcPr>
            <w:tcW w:w="3828" w:type="dxa"/>
            <w:tcBorders>
              <w:top w:val="nil"/>
              <w:left w:val="nil"/>
              <w:bottom w:val="single" w:sz="4" w:space="0" w:color="FFFFFF"/>
              <w:right w:val="single" w:sz="4" w:space="0" w:color="FFFFFF" w:themeColor="background1"/>
            </w:tcBorders>
            <w:shd w:val="clear" w:color="000000" w:fill="D9D9D9"/>
            <w:vAlign w:val="center"/>
            <w:hideMark/>
          </w:tcPr>
          <w:p w14:paraId="524CEA98" w14:textId="77777777" w:rsidR="00DA4D0A" w:rsidRPr="003C15B8" w:rsidRDefault="00DA4D0A" w:rsidP="009B381B">
            <w:pPr>
              <w:pStyle w:val="Tabletext"/>
              <w:spacing w:line="230" w:lineRule="exact"/>
            </w:pPr>
            <w:r w:rsidRPr="003C15B8">
              <w:t>2. GDP deflator</w:t>
            </w:r>
          </w:p>
        </w:tc>
        <w:tc>
          <w:tcPr>
            <w:tcW w:w="903" w:type="dxa"/>
            <w:tcBorders>
              <w:top w:val="nil"/>
              <w:left w:val="single" w:sz="4" w:space="0" w:color="FFFFFF" w:themeColor="background1"/>
              <w:bottom w:val="single" w:sz="4" w:space="0" w:color="FFFFFF"/>
              <w:right w:val="single" w:sz="4" w:space="0" w:color="FFFFFF" w:themeColor="background1"/>
            </w:tcBorders>
            <w:shd w:val="clear" w:color="000000" w:fill="D9D9D9"/>
            <w:vAlign w:val="center"/>
            <w:hideMark/>
          </w:tcPr>
          <w:p w14:paraId="6BD0A8AD" w14:textId="77777777" w:rsidR="00DA4D0A" w:rsidRPr="003C15B8" w:rsidRDefault="00DA4D0A" w:rsidP="009B381B">
            <w:pPr>
              <w:pStyle w:val="Tabletext"/>
              <w:spacing w:line="230" w:lineRule="exact"/>
            </w:pPr>
            <w:r w:rsidRPr="003C15B8">
              <w:t> </w:t>
            </w:r>
          </w:p>
        </w:tc>
        <w:tc>
          <w:tcPr>
            <w:tcW w:w="656" w:type="dxa"/>
            <w:tcBorders>
              <w:top w:val="nil"/>
              <w:left w:val="single" w:sz="4" w:space="0" w:color="FFFFFF" w:themeColor="background1"/>
              <w:bottom w:val="single" w:sz="4" w:space="0" w:color="FFFFFF"/>
              <w:right w:val="single" w:sz="4" w:space="0" w:color="FFFFFF" w:themeColor="background1"/>
            </w:tcBorders>
            <w:shd w:val="clear" w:color="000000" w:fill="D9D9D9"/>
            <w:vAlign w:val="center"/>
            <w:hideMark/>
          </w:tcPr>
          <w:p w14:paraId="3EE3DE6C" w14:textId="77777777" w:rsidR="00DA4D0A" w:rsidRPr="001541D8" w:rsidRDefault="00DA4D0A" w:rsidP="009B381B">
            <w:pPr>
              <w:pStyle w:val="Tabletext"/>
              <w:spacing w:line="230" w:lineRule="exact"/>
              <w:jc w:val="center"/>
            </w:pPr>
          </w:p>
        </w:tc>
        <w:tc>
          <w:tcPr>
            <w:tcW w:w="897" w:type="dxa"/>
            <w:tcBorders>
              <w:top w:val="nil"/>
              <w:left w:val="single" w:sz="4" w:space="0" w:color="FFFFFF" w:themeColor="background1"/>
              <w:bottom w:val="single" w:sz="4" w:space="0" w:color="FFFFFF"/>
              <w:right w:val="nil"/>
            </w:tcBorders>
            <w:shd w:val="clear" w:color="000000" w:fill="D9D9D9"/>
            <w:vAlign w:val="center"/>
            <w:hideMark/>
          </w:tcPr>
          <w:p w14:paraId="46D8AC87" w14:textId="77777777" w:rsidR="00DA4D0A" w:rsidRPr="001541D8" w:rsidRDefault="00DA4D0A" w:rsidP="009B381B">
            <w:pPr>
              <w:pStyle w:val="Tabletext"/>
              <w:spacing w:line="230" w:lineRule="exact"/>
              <w:jc w:val="center"/>
            </w:pPr>
            <w:r w:rsidRPr="001541D8">
              <w:t>6.3</w:t>
            </w:r>
          </w:p>
        </w:tc>
        <w:tc>
          <w:tcPr>
            <w:tcW w:w="897" w:type="dxa"/>
            <w:tcBorders>
              <w:top w:val="nil"/>
              <w:left w:val="nil"/>
              <w:bottom w:val="single" w:sz="4" w:space="0" w:color="FFFFFF"/>
              <w:right w:val="nil"/>
            </w:tcBorders>
            <w:shd w:val="clear" w:color="000000" w:fill="D9D9D9"/>
            <w:vAlign w:val="center"/>
            <w:hideMark/>
          </w:tcPr>
          <w:p w14:paraId="015F81FA" w14:textId="77777777" w:rsidR="00DA4D0A" w:rsidRPr="001541D8" w:rsidRDefault="00DA4D0A" w:rsidP="009B381B">
            <w:pPr>
              <w:pStyle w:val="Tabletext"/>
              <w:spacing w:line="230" w:lineRule="exact"/>
              <w:jc w:val="center"/>
            </w:pPr>
            <w:r w:rsidRPr="001541D8">
              <w:t>3.2</w:t>
            </w:r>
          </w:p>
        </w:tc>
        <w:tc>
          <w:tcPr>
            <w:tcW w:w="897" w:type="dxa"/>
            <w:tcBorders>
              <w:top w:val="nil"/>
              <w:left w:val="nil"/>
              <w:bottom w:val="single" w:sz="4" w:space="0" w:color="FFFFFF"/>
              <w:right w:val="nil"/>
            </w:tcBorders>
            <w:shd w:val="clear" w:color="000000" w:fill="D9D9D9"/>
            <w:vAlign w:val="center"/>
            <w:hideMark/>
          </w:tcPr>
          <w:p w14:paraId="4809F982" w14:textId="77777777" w:rsidR="00DA4D0A" w:rsidRPr="001541D8" w:rsidRDefault="00DA4D0A" w:rsidP="009B381B">
            <w:pPr>
              <w:pStyle w:val="Tabletext"/>
              <w:spacing w:line="230" w:lineRule="exact"/>
              <w:jc w:val="center"/>
            </w:pPr>
            <w:r w:rsidRPr="001541D8">
              <w:t>2.8</w:t>
            </w:r>
          </w:p>
        </w:tc>
        <w:tc>
          <w:tcPr>
            <w:tcW w:w="897" w:type="dxa"/>
            <w:tcBorders>
              <w:top w:val="nil"/>
              <w:left w:val="nil"/>
              <w:bottom w:val="single" w:sz="4" w:space="0" w:color="FFFFFF"/>
              <w:right w:val="nil"/>
            </w:tcBorders>
            <w:shd w:val="clear" w:color="000000" w:fill="D9D9D9"/>
            <w:vAlign w:val="center"/>
            <w:hideMark/>
          </w:tcPr>
          <w:p w14:paraId="41B5D814" w14:textId="77777777" w:rsidR="00DA4D0A" w:rsidRPr="001541D8" w:rsidRDefault="00DA4D0A" w:rsidP="009B381B">
            <w:pPr>
              <w:pStyle w:val="Tabletext"/>
              <w:spacing w:line="230" w:lineRule="exact"/>
              <w:jc w:val="center"/>
            </w:pPr>
            <w:r w:rsidRPr="001541D8">
              <w:t>3.2</w:t>
            </w:r>
          </w:p>
        </w:tc>
      </w:tr>
      <w:tr w:rsidR="00DA4D0A" w:rsidRPr="003C15B8" w14:paraId="747FA219" w14:textId="77777777" w:rsidTr="00817900">
        <w:trPr>
          <w:trHeight w:val="284"/>
          <w:jc w:val="center"/>
        </w:trPr>
        <w:tc>
          <w:tcPr>
            <w:tcW w:w="3828" w:type="dxa"/>
            <w:tcBorders>
              <w:top w:val="nil"/>
              <w:left w:val="nil"/>
              <w:bottom w:val="single" w:sz="4" w:space="0" w:color="FFFFFF"/>
              <w:right w:val="single" w:sz="4" w:space="0" w:color="FFFFFF" w:themeColor="background1"/>
            </w:tcBorders>
            <w:shd w:val="clear" w:color="000000" w:fill="F2F2F2"/>
            <w:vAlign w:val="center"/>
            <w:hideMark/>
          </w:tcPr>
          <w:p w14:paraId="4A94E6FD" w14:textId="77777777" w:rsidR="00DA4D0A" w:rsidRPr="003C15B8" w:rsidRDefault="00DA4D0A" w:rsidP="009B381B">
            <w:pPr>
              <w:pStyle w:val="Tabletext"/>
              <w:spacing w:line="230" w:lineRule="exact"/>
            </w:pPr>
            <w:r w:rsidRPr="003C15B8">
              <w:t>3. Nominal GDP</w:t>
            </w:r>
          </w:p>
        </w:tc>
        <w:tc>
          <w:tcPr>
            <w:tcW w:w="903" w:type="dxa"/>
            <w:tcBorders>
              <w:top w:val="nil"/>
              <w:left w:val="single" w:sz="4" w:space="0" w:color="FFFFFF" w:themeColor="background1"/>
              <w:bottom w:val="single" w:sz="4" w:space="0" w:color="FFFFFF"/>
              <w:right w:val="single" w:sz="4" w:space="0" w:color="FFFFFF" w:themeColor="background1"/>
            </w:tcBorders>
            <w:shd w:val="clear" w:color="000000" w:fill="F2F2F2"/>
            <w:vAlign w:val="center"/>
            <w:hideMark/>
          </w:tcPr>
          <w:p w14:paraId="4D6E5532" w14:textId="77777777" w:rsidR="00DA4D0A" w:rsidRPr="003C15B8" w:rsidRDefault="00DA4D0A" w:rsidP="009B381B">
            <w:pPr>
              <w:pStyle w:val="Tabletext"/>
              <w:spacing w:line="230" w:lineRule="exact"/>
            </w:pPr>
            <w:r w:rsidRPr="003C15B8">
              <w:t>B.1*g</w:t>
            </w:r>
          </w:p>
        </w:tc>
        <w:tc>
          <w:tcPr>
            <w:tcW w:w="656" w:type="dxa"/>
            <w:tcBorders>
              <w:top w:val="nil"/>
              <w:left w:val="single" w:sz="4" w:space="0" w:color="FFFFFF" w:themeColor="background1"/>
              <w:bottom w:val="single" w:sz="4" w:space="0" w:color="FFFFFF"/>
              <w:right w:val="single" w:sz="4" w:space="0" w:color="FFFFFF" w:themeColor="background1"/>
            </w:tcBorders>
            <w:shd w:val="clear" w:color="000000" w:fill="F2F2F2"/>
            <w:vAlign w:val="center"/>
            <w:hideMark/>
          </w:tcPr>
          <w:p w14:paraId="1CC73E7A" w14:textId="77777777" w:rsidR="00DA4D0A" w:rsidRPr="001541D8" w:rsidRDefault="00DA4D0A" w:rsidP="009B381B">
            <w:pPr>
              <w:pStyle w:val="Tabletext"/>
              <w:spacing w:line="230" w:lineRule="exact"/>
              <w:jc w:val="center"/>
            </w:pPr>
            <w:r w:rsidRPr="001541D8">
              <w:t>224.7</w:t>
            </w:r>
          </w:p>
        </w:tc>
        <w:tc>
          <w:tcPr>
            <w:tcW w:w="897" w:type="dxa"/>
            <w:tcBorders>
              <w:top w:val="nil"/>
              <w:left w:val="single" w:sz="4" w:space="0" w:color="FFFFFF" w:themeColor="background1"/>
              <w:bottom w:val="single" w:sz="4" w:space="0" w:color="FFFFFF"/>
              <w:right w:val="nil"/>
            </w:tcBorders>
            <w:shd w:val="clear" w:color="000000" w:fill="F2F2F2"/>
            <w:vAlign w:val="center"/>
            <w:hideMark/>
          </w:tcPr>
          <w:p w14:paraId="22B48399" w14:textId="77777777" w:rsidR="00DA4D0A" w:rsidRPr="001541D8" w:rsidRDefault="00DA4D0A" w:rsidP="009B381B">
            <w:pPr>
              <w:pStyle w:val="Tabletext"/>
              <w:spacing w:line="230" w:lineRule="exact"/>
              <w:jc w:val="center"/>
            </w:pPr>
            <w:r w:rsidRPr="001541D8">
              <w:t>8.5</w:t>
            </w:r>
          </w:p>
        </w:tc>
        <w:tc>
          <w:tcPr>
            <w:tcW w:w="897" w:type="dxa"/>
            <w:tcBorders>
              <w:top w:val="nil"/>
              <w:left w:val="nil"/>
              <w:bottom w:val="single" w:sz="4" w:space="0" w:color="FFFFFF"/>
              <w:right w:val="nil"/>
            </w:tcBorders>
            <w:shd w:val="clear" w:color="000000" w:fill="F2F2F2"/>
            <w:vAlign w:val="center"/>
            <w:hideMark/>
          </w:tcPr>
          <w:p w14:paraId="02293DAE" w14:textId="77777777" w:rsidR="00DA4D0A" w:rsidRPr="001541D8" w:rsidRDefault="00DA4D0A" w:rsidP="009B381B">
            <w:pPr>
              <w:pStyle w:val="Tabletext"/>
              <w:spacing w:line="230" w:lineRule="exact"/>
              <w:jc w:val="center"/>
            </w:pPr>
            <w:r w:rsidRPr="001541D8">
              <w:t>5.4</w:t>
            </w:r>
          </w:p>
        </w:tc>
        <w:tc>
          <w:tcPr>
            <w:tcW w:w="897" w:type="dxa"/>
            <w:tcBorders>
              <w:top w:val="nil"/>
              <w:left w:val="nil"/>
              <w:bottom w:val="single" w:sz="4" w:space="0" w:color="FFFFFF"/>
              <w:right w:val="nil"/>
            </w:tcBorders>
            <w:shd w:val="clear" w:color="000000" w:fill="F2F2F2"/>
            <w:vAlign w:val="center"/>
            <w:hideMark/>
          </w:tcPr>
          <w:p w14:paraId="032FFF6D" w14:textId="77777777" w:rsidR="00DA4D0A" w:rsidRPr="001541D8" w:rsidRDefault="00DA4D0A" w:rsidP="009B381B">
            <w:pPr>
              <w:pStyle w:val="Tabletext"/>
              <w:spacing w:line="230" w:lineRule="exact"/>
              <w:jc w:val="center"/>
            </w:pPr>
            <w:r w:rsidRPr="001541D8">
              <w:t>4.9</w:t>
            </w:r>
          </w:p>
        </w:tc>
        <w:tc>
          <w:tcPr>
            <w:tcW w:w="897" w:type="dxa"/>
            <w:tcBorders>
              <w:top w:val="nil"/>
              <w:left w:val="nil"/>
              <w:bottom w:val="single" w:sz="4" w:space="0" w:color="FFFFFF"/>
              <w:right w:val="nil"/>
            </w:tcBorders>
            <w:shd w:val="clear" w:color="000000" w:fill="F2F2F2"/>
            <w:vAlign w:val="center"/>
            <w:hideMark/>
          </w:tcPr>
          <w:p w14:paraId="6366A974" w14:textId="77777777" w:rsidR="00DA4D0A" w:rsidRPr="001541D8" w:rsidRDefault="00DA4D0A" w:rsidP="009B381B">
            <w:pPr>
              <w:pStyle w:val="Tabletext"/>
              <w:spacing w:line="230" w:lineRule="exact"/>
              <w:jc w:val="center"/>
            </w:pPr>
            <w:r w:rsidRPr="001541D8">
              <w:t>5.2</w:t>
            </w:r>
          </w:p>
        </w:tc>
      </w:tr>
      <w:tr w:rsidR="00DA4D0A" w:rsidRPr="003C15B8" w14:paraId="72E1C06D" w14:textId="77777777" w:rsidTr="00817900">
        <w:trPr>
          <w:trHeight w:val="284"/>
          <w:jc w:val="center"/>
        </w:trPr>
        <w:tc>
          <w:tcPr>
            <w:tcW w:w="3828" w:type="dxa"/>
            <w:tcBorders>
              <w:top w:val="nil"/>
              <w:left w:val="nil"/>
              <w:bottom w:val="nil"/>
              <w:right w:val="single" w:sz="4" w:space="0" w:color="FFFFFF" w:themeColor="background1"/>
            </w:tcBorders>
            <w:shd w:val="clear" w:color="000000" w:fill="D6DCE4"/>
            <w:vAlign w:val="center"/>
            <w:hideMark/>
          </w:tcPr>
          <w:p w14:paraId="5F7A7EE8" w14:textId="77777777" w:rsidR="00DA4D0A" w:rsidRPr="003C15B8" w:rsidRDefault="00DA4D0A" w:rsidP="009B381B">
            <w:pPr>
              <w:pStyle w:val="Tabletext"/>
              <w:spacing w:line="230" w:lineRule="exact"/>
              <w:rPr>
                <w:b/>
              </w:rPr>
            </w:pPr>
            <w:r w:rsidRPr="003C15B8">
              <w:rPr>
                <w:b/>
              </w:rPr>
              <w:t>Components of real GDP</w:t>
            </w:r>
          </w:p>
        </w:tc>
        <w:tc>
          <w:tcPr>
            <w:tcW w:w="903" w:type="dxa"/>
            <w:tcBorders>
              <w:top w:val="nil"/>
              <w:left w:val="single" w:sz="4" w:space="0" w:color="FFFFFF" w:themeColor="background1"/>
              <w:bottom w:val="nil"/>
              <w:right w:val="single" w:sz="4" w:space="0" w:color="FFFFFF" w:themeColor="background1"/>
            </w:tcBorders>
            <w:shd w:val="clear" w:color="000000" w:fill="D6DCE4"/>
            <w:vAlign w:val="center"/>
            <w:hideMark/>
          </w:tcPr>
          <w:p w14:paraId="796384C9" w14:textId="77777777" w:rsidR="00DA4D0A" w:rsidRPr="003C15B8" w:rsidRDefault="00DA4D0A" w:rsidP="009B381B">
            <w:pPr>
              <w:pStyle w:val="Tabletext"/>
              <w:spacing w:line="230" w:lineRule="exact"/>
              <w:rPr>
                <w:b/>
              </w:rPr>
            </w:pPr>
            <w:r w:rsidRPr="003C15B8">
              <w:rPr>
                <w:b/>
              </w:rPr>
              <w:t> </w:t>
            </w:r>
          </w:p>
        </w:tc>
        <w:tc>
          <w:tcPr>
            <w:tcW w:w="656" w:type="dxa"/>
            <w:tcBorders>
              <w:top w:val="nil"/>
              <w:left w:val="single" w:sz="4" w:space="0" w:color="FFFFFF" w:themeColor="background1"/>
              <w:bottom w:val="nil"/>
              <w:right w:val="single" w:sz="4" w:space="0" w:color="FFFFFF" w:themeColor="background1"/>
            </w:tcBorders>
            <w:shd w:val="clear" w:color="000000" w:fill="D6DCE4"/>
            <w:vAlign w:val="center"/>
            <w:hideMark/>
          </w:tcPr>
          <w:p w14:paraId="79EA128B" w14:textId="77777777" w:rsidR="00DA4D0A" w:rsidRPr="001541D8" w:rsidRDefault="00DA4D0A" w:rsidP="009B381B">
            <w:pPr>
              <w:pStyle w:val="Tabletext"/>
              <w:spacing w:line="230" w:lineRule="exact"/>
              <w:jc w:val="center"/>
            </w:pPr>
          </w:p>
        </w:tc>
        <w:tc>
          <w:tcPr>
            <w:tcW w:w="3588" w:type="dxa"/>
            <w:gridSpan w:val="4"/>
            <w:tcBorders>
              <w:top w:val="nil"/>
              <w:left w:val="single" w:sz="4" w:space="0" w:color="FFFFFF" w:themeColor="background1"/>
              <w:bottom w:val="nil"/>
              <w:right w:val="nil"/>
            </w:tcBorders>
            <w:shd w:val="clear" w:color="000000" w:fill="D6DCE4"/>
            <w:vAlign w:val="center"/>
            <w:hideMark/>
          </w:tcPr>
          <w:p w14:paraId="23D664B2" w14:textId="77777777" w:rsidR="00DA4D0A" w:rsidRPr="001541D8" w:rsidRDefault="00DA4D0A" w:rsidP="009B381B">
            <w:pPr>
              <w:pStyle w:val="Tabletext"/>
              <w:spacing w:line="230" w:lineRule="exact"/>
              <w:jc w:val="center"/>
            </w:pPr>
            <w:r w:rsidRPr="001541D8">
              <w:t>growth rate</w:t>
            </w:r>
          </w:p>
        </w:tc>
      </w:tr>
      <w:tr w:rsidR="00DA4D0A" w:rsidRPr="003C15B8" w14:paraId="3970B4D4" w14:textId="77777777" w:rsidTr="00817900">
        <w:trPr>
          <w:trHeight w:val="284"/>
          <w:jc w:val="center"/>
        </w:trPr>
        <w:tc>
          <w:tcPr>
            <w:tcW w:w="3828" w:type="dxa"/>
            <w:tcBorders>
              <w:top w:val="nil"/>
              <w:left w:val="nil"/>
              <w:bottom w:val="single" w:sz="4" w:space="0" w:color="FFFFFF"/>
              <w:right w:val="single" w:sz="4" w:space="0" w:color="FFFFFF" w:themeColor="background1"/>
            </w:tcBorders>
            <w:shd w:val="clear" w:color="000000" w:fill="F2F2F2"/>
            <w:vAlign w:val="center"/>
            <w:hideMark/>
          </w:tcPr>
          <w:p w14:paraId="59A0058A" w14:textId="77777777" w:rsidR="00DA4D0A" w:rsidRPr="003C15B8" w:rsidRDefault="00DA4D0A" w:rsidP="009B381B">
            <w:pPr>
              <w:pStyle w:val="Tabletext"/>
              <w:spacing w:line="230" w:lineRule="exact"/>
            </w:pPr>
            <w:r w:rsidRPr="003C15B8">
              <w:t>4. Private consumption expenditure</w:t>
            </w:r>
          </w:p>
        </w:tc>
        <w:tc>
          <w:tcPr>
            <w:tcW w:w="903" w:type="dxa"/>
            <w:tcBorders>
              <w:top w:val="nil"/>
              <w:left w:val="single" w:sz="4" w:space="0" w:color="FFFFFF" w:themeColor="background1"/>
              <w:bottom w:val="single" w:sz="4" w:space="0" w:color="FFFFFF"/>
              <w:right w:val="single" w:sz="4" w:space="0" w:color="FFFFFF" w:themeColor="background1"/>
            </w:tcBorders>
            <w:shd w:val="clear" w:color="000000" w:fill="F2F2F2"/>
            <w:vAlign w:val="center"/>
            <w:hideMark/>
          </w:tcPr>
          <w:p w14:paraId="6B01675B" w14:textId="77777777" w:rsidR="00DA4D0A" w:rsidRPr="003C15B8" w:rsidRDefault="00DA4D0A" w:rsidP="009B381B">
            <w:pPr>
              <w:pStyle w:val="Tabletext"/>
              <w:spacing w:line="230" w:lineRule="exact"/>
            </w:pPr>
            <w:r w:rsidRPr="003C15B8">
              <w:t>P.3</w:t>
            </w:r>
          </w:p>
        </w:tc>
        <w:tc>
          <w:tcPr>
            <w:tcW w:w="656" w:type="dxa"/>
            <w:tcBorders>
              <w:top w:val="nil"/>
              <w:left w:val="single" w:sz="4" w:space="0" w:color="FFFFFF" w:themeColor="background1"/>
              <w:bottom w:val="single" w:sz="4" w:space="0" w:color="FFFFFF"/>
              <w:right w:val="single" w:sz="4" w:space="0" w:color="FFFFFF" w:themeColor="background1"/>
            </w:tcBorders>
            <w:shd w:val="clear" w:color="000000" w:fill="F2F2F2"/>
            <w:vAlign w:val="center"/>
            <w:hideMark/>
          </w:tcPr>
          <w:p w14:paraId="2FE7014D" w14:textId="77777777" w:rsidR="00DA4D0A" w:rsidRPr="001541D8" w:rsidRDefault="00DA4D0A" w:rsidP="009B381B">
            <w:pPr>
              <w:pStyle w:val="Tabletext"/>
              <w:spacing w:line="230" w:lineRule="exact"/>
              <w:jc w:val="center"/>
            </w:pPr>
          </w:p>
        </w:tc>
        <w:tc>
          <w:tcPr>
            <w:tcW w:w="897" w:type="dxa"/>
            <w:tcBorders>
              <w:top w:val="nil"/>
              <w:left w:val="single" w:sz="4" w:space="0" w:color="FFFFFF" w:themeColor="background1"/>
              <w:bottom w:val="single" w:sz="4" w:space="0" w:color="FFFFFF"/>
              <w:right w:val="nil"/>
            </w:tcBorders>
            <w:shd w:val="clear" w:color="000000" w:fill="F2F2F2"/>
            <w:vAlign w:val="center"/>
            <w:hideMark/>
          </w:tcPr>
          <w:p w14:paraId="4C29A889" w14:textId="77777777" w:rsidR="00DA4D0A" w:rsidRPr="001541D8" w:rsidRDefault="00DA4D0A" w:rsidP="009B381B">
            <w:pPr>
              <w:pStyle w:val="Tabletext"/>
              <w:spacing w:line="230" w:lineRule="exact"/>
              <w:jc w:val="center"/>
            </w:pPr>
            <w:r w:rsidRPr="001541D8">
              <w:t>2.3</w:t>
            </w:r>
          </w:p>
        </w:tc>
        <w:tc>
          <w:tcPr>
            <w:tcW w:w="897" w:type="dxa"/>
            <w:tcBorders>
              <w:top w:val="nil"/>
              <w:left w:val="nil"/>
              <w:bottom w:val="single" w:sz="4" w:space="0" w:color="FFFFFF"/>
              <w:right w:val="nil"/>
            </w:tcBorders>
            <w:shd w:val="clear" w:color="000000" w:fill="F2F2F2"/>
            <w:vAlign w:val="center"/>
            <w:hideMark/>
          </w:tcPr>
          <w:p w14:paraId="75336722" w14:textId="77777777" w:rsidR="00DA4D0A" w:rsidRPr="001541D8" w:rsidRDefault="00DA4D0A" w:rsidP="009B381B">
            <w:pPr>
              <w:pStyle w:val="Tabletext"/>
              <w:spacing w:line="230" w:lineRule="exact"/>
              <w:jc w:val="center"/>
            </w:pPr>
            <w:r w:rsidRPr="001541D8">
              <w:t>2.4</w:t>
            </w:r>
          </w:p>
        </w:tc>
        <w:tc>
          <w:tcPr>
            <w:tcW w:w="897" w:type="dxa"/>
            <w:tcBorders>
              <w:top w:val="nil"/>
              <w:left w:val="nil"/>
              <w:bottom w:val="single" w:sz="4" w:space="0" w:color="FFFFFF"/>
              <w:right w:val="nil"/>
            </w:tcBorders>
            <w:shd w:val="clear" w:color="000000" w:fill="F2F2F2"/>
            <w:vAlign w:val="center"/>
            <w:hideMark/>
          </w:tcPr>
          <w:p w14:paraId="50087B9C" w14:textId="77777777" w:rsidR="00DA4D0A" w:rsidRPr="001541D8" w:rsidRDefault="00DA4D0A" w:rsidP="009B381B">
            <w:pPr>
              <w:pStyle w:val="Tabletext"/>
              <w:spacing w:line="230" w:lineRule="exact"/>
              <w:jc w:val="center"/>
            </w:pPr>
            <w:r w:rsidRPr="001541D8">
              <w:t>2.0</w:t>
            </w:r>
          </w:p>
        </w:tc>
        <w:tc>
          <w:tcPr>
            <w:tcW w:w="897" w:type="dxa"/>
            <w:tcBorders>
              <w:top w:val="nil"/>
              <w:left w:val="nil"/>
              <w:bottom w:val="single" w:sz="4" w:space="0" w:color="FFFFFF"/>
              <w:right w:val="nil"/>
            </w:tcBorders>
            <w:shd w:val="clear" w:color="000000" w:fill="F2F2F2"/>
            <w:vAlign w:val="center"/>
            <w:hideMark/>
          </w:tcPr>
          <w:p w14:paraId="707AFE0A" w14:textId="77777777" w:rsidR="00DA4D0A" w:rsidRPr="001541D8" w:rsidRDefault="00DA4D0A" w:rsidP="009B381B">
            <w:pPr>
              <w:pStyle w:val="Tabletext"/>
              <w:spacing w:line="230" w:lineRule="exact"/>
              <w:jc w:val="center"/>
            </w:pPr>
            <w:r w:rsidRPr="001541D8">
              <w:t>1.5</w:t>
            </w:r>
          </w:p>
        </w:tc>
      </w:tr>
      <w:tr w:rsidR="00DA4D0A" w:rsidRPr="003C15B8" w14:paraId="4BEFBBA5" w14:textId="77777777" w:rsidTr="00817900">
        <w:trPr>
          <w:trHeight w:val="284"/>
          <w:jc w:val="center"/>
        </w:trPr>
        <w:tc>
          <w:tcPr>
            <w:tcW w:w="3828" w:type="dxa"/>
            <w:tcBorders>
              <w:top w:val="nil"/>
              <w:left w:val="nil"/>
              <w:bottom w:val="single" w:sz="4" w:space="0" w:color="FFFFFF"/>
              <w:right w:val="single" w:sz="4" w:space="0" w:color="FFFFFF" w:themeColor="background1"/>
            </w:tcBorders>
            <w:shd w:val="clear" w:color="000000" w:fill="D9D9D9"/>
            <w:vAlign w:val="center"/>
            <w:hideMark/>
          </w:tcPr>
          <w:p w14:paraId="33D5F1C6" w14:textId="77777777" w:rsidR="00DA4D0A" w:rsidRPr="003C15B8" w:rsidRDefault="00DA4D0A" w:rsidP="009B381B">
            <w:pPr>
              <w:pStyle w:val="Tabletext"/>
              <w:spacing w:line="230" w:lineRule="exact"/>
            </w:pPr>
            <w:r w:rsidRPr="003C15B8">
              <w:t>5. Government consumption expenditure</w:t>
            </w:r>
          </w:p>
        </w:tc>
        <w:tc>
          <w:tcPr>
            <w:tcW w:w="903" w:type="dxa"/>
            <w:tcBorders>
              <w:top w:val="nil"/>
              <w:left w:val="single" w:sz="4" w:space="0" w:color="FFFFFF" w:themeColor="background1"/>
              <w:bottom w:val="single" w:sz="4" w:space="0" w:color="FFFFFF"/>
              <w:right w:val="single" w:sz="4" w:space="0" w:color="FFFFFF" w:themeColor="background1"/>
            </w:tcBorders>
            <w:shd w:val="clear" w:color="000000" w:fill="D9D9D9"/>
            <w:vAlign w:val="center"/>
            <w:hideMark/>
          </w:tcPr>
          <w:p w14:paraId="31A8FAB8" w14:textId="77777777" w:rsidR="00DA4D0A" w:rsidRPr="003C15B8" w:rsidRDefault="00DA4D0A" w:rsidP="009B381B">
            <w:pPr>
              <w:pStyle w:val="Tabletext"/>
              <w:spacing w:line="230" w:lineRule="exact"/>
            </w:pPr>
            <w:r w:rsidRPr="003C15B8">
              <w:t>P.3</w:t>
            </w:r>
          </w:p>
        </w:tc>
        <w:tc>
          <w:tcPr>
            <w:tcW w:w="656" w:type="dxa"/>
            <w:tcBorders>
              <w:top w:val="nil"/>
              <w:left w:val="single" w:sz="4" w:space="0" w:color="FFFFFF" w:themeColor="background1"/>
              <w:bottom w:val="single" w:sz="4" w:space="0" w:color="FFFFFF"/>
              <w:right w:val="single" w:sz="4" w:space="0" w:color="FFFFFF" w:themeColor="background1"/>
            </w:tcBorders>
            <w:shd w:val="clear" w:color="000000" w:fill="D9D9D9"/>
            <w:vAlign w:val="center"/>
            <w:hideMark/>
          </w:tcPr>
          <w:p w14:paraId="3AA72AC1" w14:textId="77777777" w:rsidR="00DA4D0A" w:rsidRPr="001541D8" w:rsidRDefault="00DA4D0A" w:rsidP="009B381B">
            <w:pPr>
              <w:pStyle w:val="Tabletext"/>
              <w:spacing w:line="230" w:lineRule="exact"/>
              <w:jc w:val="center"/>
            </w:pPr>
          </w:p>
        </w:tc>
        <w:tc>
          <w:tcPr>
            <w:tcW w:w="897" w:type="dxa"/>
            <w:tcBorders>
              <w:top w:val="nil"/>
              <w:left w:val="single" w:sz="4" w:space="0" w:color="FFFFFF" w:themeColor="background1"/>
              <w:bottom w:val="single" w:sz="4" w:space="0" w:color="FFFFFF"/>
              <w:right w:val="nil"/>
            </w:tcBorders>
            <w:shd w:val="clear" w:color="000000" w:fill="D9D9D9"/>
            <w:vAlign w:val="center"/>
            <w:hideMark/>
          </w:tcPr>
          <w:p w14:paraId="3A1FF3A6" w14:textId="77777777" w:rsidR="00DA4D0A" w:rsidRPr="001541D8" w:rsidRDefault="00DA4D0A" w:rsidP="009B381B">
            <w:pPr>
              <w:pStyle w:val="Tabletext"/>
              <w:spacing w:line="230" w:lineRule="exact"/>
              <w:jc w:val="center"/>
            </w:pPr>
            <w:r w:rsidRPr="001541D8">
              <w:t>2.8</w:t>
            </w:r>
          </w:p>
        </w:tc>
        <w:tc>
          <w:tcPr>
            <w:tcW w:w="897" w:type="dxa"/>
            <w:tcBorders>
              <w:top w:val="nil"/>
              <w:left w:val="nil"/>
              <w:bottom w:val="single" w:sz="4" w:space="0" w:color="FFFFFF"/>
              <w:right w:val="nil"/>
            </w:tcBorders>
            <w:shd w:val="clear" w:color="000000" w:fill="D9D9D9"/>
            <w:vAlign w:val="center"/>
            <w:hideMark/>
          </w:tcPr>
          <w:p w14:paraId="76D2F05B" w14:textId="77777777" w:rsidR="00DA4D0A" w:rsidRPr="001541D8" w:rsidRDefault="00DA4D0A" w:rsidP="009B381B">
            <w:pPr>
              <w:pStyle w:val="Tabletext"/>
              <w:spacing w:line="230" w:lineRule="exact"/>
              <w:jc w:val="center"/>
            </w:pPr>
            <w:r w:rsidRPr="001541D8">
              <w:t>-2.6</w:t>
            </w:r>
          </w:p>
        </w:tc>
        <w:tc>
          <w:tcPr>
            <w:tcW w:w="897" w:type="dxa"/>
            <w:tcBorders>
              <w:top w:val="nil"/>
              <w:left w:val="nil"/>
              <w:bottom w:val="single" w:sz="4" w:space="0" w:color="FFFFFF"/>
              <w:right w:val="nil"/>
            </w:tcBorders>
            <w:shd w:val="clear" w:color="000000" w:fill="D9D9D9"/>
            <w:vAlign w:val="center"/>
            <w:hideMark/>
          </w:tcPr>
          <w:p w14:paraId="155BD716" w14:textId="77777777" w:rsidR="00DA4D0A" w:rsidRPr="001541D8" w:rsidRDefault="00DA4D0A" w:rsidP="009B381B">
            <w:pPr>
              <w:pStyle w:val="Tabletext"/>
              <w:spacing w:line="230" w:lineRule="exact"/>
              <w:jc w:val="center"/>
            </w:pPr>
            <w:r w:rsidRPr="001541D8">
              <w:t>0.3</w:t>
            </w:r>
          </w:p>
        </w:tc>
        <w:tc>
          <w:tcPr>
            <w:tcW w:w="897" w:type="dxa"/>
            <w:tcBorders>
              <w:top w:val="nil"/>
              <w:left w:val="nil"/>
              <w:bottom w:val="single" w:sz="4" w:space="0" w:color="FFFFFF"/>
              <w:right w:val="nil"/>
            </w:tcBorders>
            <w:shd w:val="clear" w:color="000000" w:fill="D9D9D9"/>
            <w:vAlign w:val="center"/>
            <w:hideMark/>
          </w:tcPr>
          <w:p w14:paraId="7F571C90" w14:textId="77777777" w:rsidR="00DA4D0A" w:rsidRPr="001541D8" w:rsidRDefault="00DA4D0A" w:rsidP="009B381B">
            <w:pPr>
              <w:pStyle w:val="Tabletext"/>
              <w:spacing w:line="230" w:lineRule="exact"/>
              <w:jc w:val="center"/>
            </w:pPr>
            <w:r w:rsidRPr="001541D8">
              <w:t>1.1</w:t>
            </w:r>
          </w:p>
        </w:tc>
      </w:tr>
      <w:tr w:rsidR="00DA4D0A" w:rsidRPr="003C15B8" w14:paraId="092034DD" w14:textId="77777777" w:rsidTr="00817900">
        <w:trPr>
          <w:trHeight w:val="284"/>
          <w:jc w:val="center"/>
        </w:trPr>
        <w:tc>
          <w:tcPr>
            <w:tcW w:w="3828" w:type="dxa"/>
            <w:tcBorders>
              <w:top w:val="nil"/>
              <w:left w:val="nil"/>
              <w:bottom w:val="single" w:sz="4" w:space="0" w:color="FFFFFF"/>
              <w:right w:val="single" w:sz="4" w:space="0" w:color="FFFFFF" w:themeColor="background1"/>
            </w:tcBorders>
            <w:shd w:val="clear" w:color="000000" w:fill="F2F2F2"/>
            <w:vAlign w:val="center"/>
            <w:hideMark/>
          </w:tcPr>
          <w:p w14:paraId="46FE822E" w14:textId="77777777" w:rsidR="00DA4D0A" w:rsidRPr="003C15B8" w:rsidRDefault="00DA4D0A" w:rsidP="009B381B">
            <w:pPr>
              <w:pStyle w:val="Tabletext"/>
              <w:spacing w:line="230" w:lineRule="exact"/>
            </w:pPr>
            <w:r w:rsidRPr="003C15B8">
              <w:t>6. Gross fixed capital formation</w:t>
            </w:r>
          </w:p>
        </w:tc>
        <w:tc>
          <w:tcPr>
            <w:tcW w:w="903" w:type="dxa"/>
            <w:tcBorders>
              <w:top w:val="nil"/>
              <w:left w:val="single" w:sz="4" w:space="0" w:color="FFFFFF" w:themeColor="background1"/>
              <w:bottom w:val="single" w:sz="4" w:space="0" w:color="FFFFFF"/>
              <w:right w:val="single" w:sz="4" w:space="0" w:color="FFFFFF" w:themeColor="background1"/>
            </w:tcBorders>
            <w:shd w:val="clear" w:color="000000" w:fill="F2F2F2"/>
            <w:vAlign w:val="center"/>
            <w:hideMark/>
          </w:tcPr>
          <w:p w14:paraId="2CD5055D" w14:textId="77777777" w:rsidR="00DA4D0A" w:rsidRPr="003C15B8" w:rsidRDefault="00DA4D0A" w:rsidP="009B381B">
            <w:pPr>
              <w:pStyle w:val="Tabletext"/>
              <w:spacing w:line="230" w:lineRule="exact"/>
            </w:pPr>
            <w:r w:rsidRPr="003C15B8">
              <w:t>P.51</w:t>
            </w:r>
          </w:p>
        </w:tc>
        <w:tc>
          <w:tcPr>
            <w:tcW w:w="656" w:type="dxa"/>
            <w:tcBorders>
              <w:top w:val="nil"/>
              <w:left w:val="single" w:sz="4" w:space="0" w:color="FFFFFF" w:themeColor="background1"/>
              <w:bottom w:val="single" w:sz="4" w:space="0" w:color="FFFFFF"/>
              <w:right w:val="single" w:sz="4" w:space="0" w:color="FFFFFF" w:themeColor="background1"/>
            </w:tcBorders>
            <w:shd w:val="clear" w:color="000000" w:fill="F2F2F2"/>
            <w:vAlign w:val="center"/>
            <w:hideMark/>
          </w:tcPr>
          <w:p w14:paraId="033B94C9" w14:textId="77777777" w:rsidR="00DA4D0A" w:rsidRPr="001541D8" w:rsidRDefault="00DA4D0A" w:rsidP="009B381B">
            <w:pPr>
              <w:pStyle w:val="Tabletext"/>
              <w:spacing w:line="230" w:lineRule="exact"/>
              <w:jc w:val="center"/>
            </w:pPr>
          </w:p>
        </w:tc>
        <w:tc>
          <w:tcPr>
            <w:tcW w:w="897" w:type="dxa"/>
            <w:tcBorders>
              <w:top w:val="nil"/>
              <w:left w:val="single" w:sz="4" w:space="0" w:color="FFFFFF" w:themeColor="background1"/>
              <w:bottom w:val="single" w:sz="4" w:space="0" w:color="FFFFFF"/>
              <w:right w:val="nil"/>
            </w:tcBorders>
            <w:shd w:val="clear" w:color="000000" w:fill="F2F2F2"/>
            <w:vAlign w:val="center"/>
            <w:hideMark/>
          </w:tcPr>
          <w:p w14:paraId="1FC787E3" w14:textId="77777777" w:rsidR="00DA4D0A" w:rsidRPr="001541D8" w:rsidRDefault="00DA4D0A" w:rsidP="009B381B">
            <w:pPr>
              <w:pStyle w:val="Tabletext"/>
              <w:spacing w:line="230" w:lineRule="exact"/>
              <w:jc w:val="center"/>
            </w:pPr>
            <w:r w:rsidRPr="001541D8">
              <w:t>6.5</w:t>
            </w:r>
          </w:p>
        </w:tc>
        <w:tc>
          <w:tcPr>
            <w:tcW w:w="897" w:type="dxa"/>
            <w:tcBorders>
              <w:top w:val="nil"/>
              <w:left w:val="nil"/>
              <w:bottom w:val="single" w:sz="4" w:space="0" w:color="FFFFFF"/>
              <w:right w:val="nil"/>
            </w:tcBorders>
            <w:shd w:val="clear" w:color="000000" w:fill="F2F2F2"/>
            <w:vAlign w:val="center"/>
            <w:hideMark/>
          </w:tcPr>
          <w:p w14:paraId="44B4D108" w14:textId="77777777" w:rsidR="00DA4D0A" w:rsidRPr="001541D8" w:rsidRDefault="00DA4D0A" w:rsidP="009B381B">
            <w:pPr>
              <w:pStyle w:val="Tabletext"/>
              <w:spacing w:line="230" w:lineRule="exact"/>
              <w:jc w:val="center"/>
            </w:pPr>
            <w:r w:rsidRPr="001541D8">
              <w:t>4.5</w:t>
            </w:r>
          </w:p>
        </w:tc>
        <w:tc>
          <w:tcPr>
            <w:tcW w:w="897" w:type="dxa"/>
            <w:tcBorders>
              <w:top w:val="nil"/>
              <w:left w:val="nil"/>
              <w:bottom w:val="single" w:sz="4" w:space="0" w:color="FFFFFF"/>
              <w:right w:val="nil"/>
            </w:tcBorders>
            <w:shd w:val="clear" w:color="000000" w:fill="F2F2F2"/>
            <w:vAlign w:val="center"/>
            <w:hideMark/>
          </w:tcPr>
          <w:p w14:paraId="67C3E7E9" w14:textId="77777777" w:rsidR="00DA4D0A" w:rsidRPr="001541D8" w:rsidRDefault="00DA4D0A" w:rsidP="009B381B">
            <w:pPr>
              <w:pStyle w:val="Tabletext"/>
              <w:spacing w:line="230" w:lineRule="exact"/>
              <w:jc w:val="center"/>
            </w:pPr>
            <w:r w:rsidRPr="001541D8">
              <w:t>8.9</w:t>
            </w:r>
          </w:p>
        </w:tc>
        <w:tc>
          <w:tcPr>
            <w:tcW w:w="897" w:type="dxa"/>
            <w:tcBorders>
              <w:top w:val="nil"/>
              <w:left w:val="nil"/>
              <w:bottom w:val="single" w:sz="4" w:space="0" w:color="FFFFFF"/>
              <w:right w:val="nil"/>
            </w:tcBorders>
            <w:shd w:val="clear" w:color="000000" w:fill="F2F2F2"/>
            <w:vAlign w:val="center"/>
            <w:hideMark/>
          </w:tcPr>
          <w:p w14:paraId="61A4C4D6" w14:textId="77777777" w:rsidR="00DA4D0A" w:rsidRPr="001541D8" w:rsidRDefault="00DA4D0A" w:rsidP="009B381B">
            <w:pPr>
              <w:pStyle w:val="Tabletext"/>
              <w:spacing w:line="230" w:lineRule="exact"/>
              <w:jc w:val="center"/>
            </w:pPr>
            <w:r w:rsidRPr="001541D8">
              <w:t>7.1</w:t>
            </w:r>
          </w:p>
        </w:tc>
      </w:tr>
      <w:tr w:rsidR="00DA4D0A" w:rsidRPr="003C15B8" w14:paraId="52C047B7" w14:textId="77777777" w:rsidTr="00817900">
        <w:trPr>
          <w:trHeight w:val="284"/>
          <w:jc w:val="center"/>
        </w:trPr>
        <w:tc>
          <w:tcPr>
            <w:tcW w:w="3828" w:type="dxa"/>
            <w:tcBorders>
              <w:top w:val="nil"/>
              <w:left w:val="nil"/>
              <w:bottom w:val="single" w:sz="4" w:space="0" w:color="FFFFFF"/>
              <w:right w:val="single" w:sz="4" w:space="0" w:color="FFFFFF" w:themeColor="background1"/>
            </w:tcBorders>
            <w:shd w:val="clear" w:color="000000" w:fill="D9D9D9"/>
            <w:vAlign w:val="center"/>
            <w:hideMark/>
          </w:tcPr>
          <w:p w14:paraId="3398C413" w14:textId="77777777" w:rsidR="00DA4D0A" w:rsidRPr="003C15B8" w:rsidRDefault="00DA4D0A" w:rsidP="009B381B">
            <w:pPr>
              <w:pStyle w:val="Tabletext"/>
              <w:spacing w:line="230" w:lineRule="exact"/>
            </w:pPr>
            <w:r w:rsidRPr="003C15B8">
              <w:t>7. Changes in inventories and net acquisition of valuables (% of GDP)</w:t>
            </w:r>
          </w:p>
        </w:tc>
        <w:tc>
          <w:tcPr>
            <w:tcW w:w="903" w:type="dxa"/>
            <w:tcBorders>
              <w:top w:val="nil"/>
              <w:left w:val="single" w:sz="4" w:space="0" w:color="FFFFFF" w:themeColor="background1"/>
              <w:bottom w:val="single" w:sz="4" w:space="0" w:color="FFFFFF"/>
              <w:right w:val="single" w:sz="4" w:space="0" w:color="FFFFFF" w:themeColor="background1"/>
            </w:tcBorders>
            <w:shd w:val="clear" w:color="000000" w:fill="D9D9D9"/>
            <w:vAlign w:val="center"/>
            <w:hideMark/>
          </w:tcPr>
          <w:p w14:paraId="06A6D2D0" w14:textId="77777777" w:rsidR="00DA4D0A" w:rsidRPr="003C15B8" w:rsidRDefault="00DA4D0A" w:rsidP="009B381B">
            <w:pPr>
              <w:pStyle w:val="Tabletext"/>
              <w:spacing w:line="230" w:lineRule="exact"/>
            </w:pPr>
            <w:r w:rsidRPr="003C15B8">
              <w:t>P.52 + P.53</w:t>
            </w:r>
          </w:p>
        </w:tc>
        <w:tc>
          <w:tcPr>
            <w:tcW w:w="656" w:type="dxa"/>
            <w:tcBorders>
              <w:top w:val="nil"/>
              <w:left w:val="single" w:sz="4" w:space="0" w:color="FFFFFF" w:themeColor="background1"/>
              <w:bottom w:val="single" w:sz="4" w:space="0" w:color="FFFFFF"/>
              <w:right w:val="single" w:sz="4" w:space="0" w:color="FFFFFF" w:themeColor="background1"/>
            </w:tcBorders>
            <w:shd w:val="clear" w:color="000000" w:fill="D9D9D9"/>
            <w:vAlign w:val="center"/>
            <w:hideMark/>
          </w:tcPr>
          <w:p w14:paraId="48F23B19" w14:textId="77777777" w:rsidR="00DA4D0A" w:rsidRPr="001541D8" w:rsidRDefault="00DA4D0A" w:rsidP="009B381B">
            <w:pPr>
              <w:pStyle w:val="Tabletext"/>
              <w:spacing w:line="230" w:lineRule="exact"/>
              <w:jc w:val="center"/>
            </w:pPr>
          </w:p>
        </w:tc>
        <w:tc>
          <w:tcPr>
            <w:tcW w:w="897" w:type="dxa"/>
            <w:tcBorders>
              <w:top w:val="nil"/>
              <w:left w:val="single" w:sz="4" w:space="0" w:color="FFFFFF" w:themeColor="background1"/>
              <w:bottom w:val="single" w:sz="4" w:space="0" w:color="FFFFFF"/>
              <w:right w:val="nil"/>
            </w:tcBorders>
            <w:shd w:val="clear" w:color="000000" w:fill="D9D9D9"/>
            <w:vAlign w:val="center"/>
            <w:hideMark/>
          </w:tcPr>
          <w:p w14:paraId="0FD1F724" w14:textId="77777777" w:rsidR="00DA4D0A" w:rsidRPr="001541D8" w:rsidRDefault="00DA4D0A" w:rsidP="009B381B">
            <w:pPr>
              <w:pStyle w:val="Tabletext"/>
              <w:spacing w:line="230" w:lineRule="exact"/>
              <w:jc w:val="center"/>
            </w:pPr>
            <w:r w:rsidRPr="001541D8">
              <w:t>-1.3</w:t>
            </w:r>
          </w:p>
        </w:tc>
        <w:tc>
          <w:tcPr>
            <w:tcW w:w="897" w:type="dxa"/>
            <w:tcBorders>
              <w:top w:val="nil"/>
              <w:left w:val="nil"/>
              <w:bottom w:val="single" w:sz="4" w:space="0" w:color="FFFFFF"/>
              <w:right w:val="nil"/>
            </w:tcBorders>
            <w:shd w:val="clear" w:color="000000" w:fill="D9D9D9"/>
            <w:vAlign w:val="center"/>
            <w:hideMark/>
          </w:tcPr>
          <w:p w14:paraId="0502D761" w14:textId="77777777" w:rsidR="00DA4D0A" w:rsidRPr="001541D8" w:rsidRDefault="00DA4D0A" w:rsidP="009B381B">
            <w:pPr>
              <w:pStyle w:val="Tabletext"/>
              <w:spacing w:line="230" w:lineRule="exact"/>
              <w:jc w:val="center"/>
            </w:pPr>
            <w:r w:rsidRPr="001541D8">
              <w:t>0.6</w:t>
            </w:r>
          </w:p>
        </w:tc>
        <w:tc>
          <w:tcPr>
            <w:tcW w:w="897" w:type="dxa"/>
            <w:tcBorders>
              <w:top w:val="nil"/>
              <w:left w:val="nil"/>
              <w:bottom w:val="single" w:sz="4" w:space="0" w:color="FFFFFF"/>
              <w:right w:val="nil"/>
            </w:tcBorders>
            <w:shd w:val="clear" w:color="000000" w:fill="D9D9D9"/>
            <w:vAlign w:val="center"/>
            <w:hideMark/>
          </w:tcPr>
          <w:p w14:paraId="590D59A9" w14:textId="77777777" w:rsidR="00DA4D0A" w:rsidRPr="001541D8" w:rsidRDefault="00DA4D0A" w:rsidP="009B381B">
            <w:pPr>
              <w:pStyle w:val="Tabletext"/>
              <w:spacing w:line="230" w:lineRule="exact"/>
              <w:jc w:val="center"/>
            </w:pPr>
            <w:r w:rsidRPr="001541D8">
              <w:t>-1.5</w:t>
            </w:r>
          </w:p>
        </w:tc>
        <w:tc>
          <w:tcPr>
            <w:tcW w:w="897" w:type="dxa"/>
            <w:tcBorders>
              <w:top w:val="nil"/>
              <w:left w:val="nil"/>
              <w:bottom w:val="single" w:sz="4" w:space="0" w:color="FFFFFF"/>
              <w:right w:val="nil"/>
            </w:tcBorders>
            <w:shd w:val="clear" w:color="000000" w:fill="D9D9D9"/>
            <w:vAlign w:val="center"/>
            <w:hideMark/>
          </w:tcPr>
          <w:p w14:paraId="703595CA" w14:textId="77777777" w:rsidR="00DA4D0A" w:rsidRPr="001541D8" w:rsidRDefault="00DA4D0A" w:rsidP="009B381B">
            <w:pPr>
              <w:pStyle w:val="Tabletext"/>
              <w:spacing w:line="230" w:lineRule="exact"/>
              <w:jc w:val="center"/>
            </w:pPr>
            <w:r w:rsidRPr="001541D8">
              <w:t>-1.2</w:t>
            </w:r>
          </w:p>
        </w:tc>
      </w:tr>
      <w:tr w:rsidR="00DA4D0A" w:rsidRPr="003C15B8" w14:paraId="394DB0FB" w14:textId="77777777" w:rsidTr="00817900">
        <w:trPr>
          <w:trHeight w:val="284"/>
          <w:jc w:val="center"/>
        </w:trPr>
        <w:tc>
          <w:tcPr>
            <w:tcW w:w="3828" w:type="dxa"/>
            <w:tcBorders>
              <w:top w:val="nil"/>
              <w:left w:val="nil"/>
              <w:bottom w:val="single" w:sz="4" w:space="0" w:color="FFFFFF"/>
              <w:right w:val="single" w:sz="4" w:space="0" w:color="FFFFFF" w:themeColor="background1"/>
            </w:tcBorders>
            <w:shd w:val="clear" w:color="000000" w:fill="F2F2F2"/>
            <w:vAlign w:val="center"/>
            <w:hideMark/>
          </w:tcPr>
          <w:p w14:paraId="358C0F86" w14:textId="77777777" w:rsidR="00DA4D0A" w:rsidRPr="003C15B8" w:rsidRDefault="00DA4D0A" w:rsidP="009B381B">
            <w:pPr>
              <w:pStyle w:val="Tabletext"/>
              <w:spacing w:line="230" w:lineRule="exact"/>
            </w:pPr>
            <w:r w:rsidRPr="003C15B8">
              <w:t>8. Exports of goods and services</w:t>
            </w:r>
          </w:p>
        </w:tc>
        <w:tc>
          <w:tcPr>
            <w:tcW w:w="903" w:type="dxa"/>
            <w:tcBorders>
              <w:top w:val="nil"/>
              <w:left w:val="single" w:sz="4" w:space="0" w:color="FFFFFF" w:themeColor="background1"/>
              <w:bottom w:val="single" w:sz="4" w:space="0" w:color="FFFFFF"/>
              <w:right w:val="single" w:sz="4" w:space="0" w:color="FFFFFF" w:themeColor="background1"/>
            </w:tcBorders>
            <w:shd w:val="clear" w:color="000000" w:fill="F2F2F2"/>
            <w:vAlign w:val="center"/>
            <w:hideMark/>
          </w:tcPr>
          <w:p w14:paraId="593C4B90" w14:textId="77777777" w:rsidR="00DA4D0A" w:rsidRPr="003C15B8" w:rsidRDefault="00DA4D0A" w:rsidP="009B381B">
            <w:pPr>
              <w:pStyle w:val="Tabletext"/>
              <w:spacing w:line="230" w:lineRule="exact"/>
            </w:pPr>
            <w:r w:rsidRPr="003C15B8">
              <w:t>P.6</w:t>
            </w:r>
          </w:p>
        </w:tc>
        <w:tc>
          <w:tcPr>
            <w:tcW w:w="656" w:type="dxa"/>
            <w:tcBorders>
              <w:top w:val="nil"/>
              <w:left w:val="single" w:sz="4" w:space="0" w:color="FFFFFF" w:themeColor="background1"/>
              <w:bottom w:val="single" w:sz="4" w:space="0" w:color="FFFFFF"/>
              <w:right w:val="single" w:sz="4" w:space="0" w:color="FFFFFF" w:themeColor="background1"/>
            </w:tcBorders>
            <w:shd w:val="clear" w:color="000000" w:fill="F2F2F2"/>
            <w:vAlign w:val="center"/>
            <w:hideMark/>
          </w:tcPr>
          <w:p w14:paraId="792BC2E1" w14:textId="77777777" w:rsidR="00DA4D0A" w:rsidRPr="001541D8" w:rsidRDefault="00DA4D0A" w:rsidP="009B381B">
            <w:pPr>
              <w:pStyle w:val="Tabletext"/>
              <w:spacing w:line="230" w:lineRule="exact"/>
              <w:jc w:val="center"/>
            </w:pPr>
          </w:p>
        </w:tc>
        <w:tc>
          <w:tcPr>
            <w:tcW w:w="897" w:type="dxa"/>
            <w:tcBorders>
              <w:top w:val="nil"/>
              <w:left w:val="single" w:sz="4" w:space="0" w:color="FFFFFF" w:themeColor="background1"/>
              <w:bottom w:val="single" w:sz="4" w:space="0" w:color="FFFFFF"/>
              <w:right w:val="nil"/>
            </w:tcBorders>
            <w:shd w:val="clear" w:color="000000" w:fill="F2F2F2"/>
            <w:vAlign w:val="center"/>
            <w:hideMark/>
          </w:tcPr>
          <w:p w14:paraId="1EE01D56" w14:textId="77777777" w:rsidR="00DA4D0A" w:rsidRPr="001541D8" w:rsidRDefault="00DA4D0A" w:rsidP="009B381B">
            <w:pPr>
              <w:pStyle w:val="Tabletext"/>
              <w:spacing w:line="230" w:lineRule="exact"/>
              <w:jc w:val="center"/>
            </w:pPr>
            <w:r w:rsidRPr="001541D8">
              <w:t>2.2</w:t>
            </w:r>
          </w:p>
        </w:tc>
        <w:tc>
          <w:tcPr>
            <w:tcW w:w="897" w:type="dxa"/>
            <w:tcBorders>
              <w:top w:val="nil"/>
              <w:left w:val="nil"/>
              <w:bottom w:val="single" w:sz="4" w:space="0" w:color="FFFFFF"/>
              <w:right w:val="nil"/>
            </w:tcBorders>
            <w:shd w:val="clear" w:color="000000" w:fill="F2F2F2"/>
            <w:vAlign w:val="center"/>
            <w:hideMark/>
          </w:tcPr>
          <w:p w14:paraId="16D23FCA" w14:textId="77777777" w:rsidR="00DA4D0A" w:rsidRPr="001541D8" w:rsidRDefault="00DA4D0A" w:rsidP="009B381B">
            <w:pPr>
              <w:pStyle w:val="Tabletext"/>
              <w:spacing w:line="230" w:lineRule="exact"/>
              <w:jc w:val="center"/>
            </w:pPr>
            <w:r w:rsidRPr="001541D8">
              <w:t>1.0</w:t>
            </w:r>
          </w:p>
        </w:tc>
        <w:tc>
          <w:tcPr>
            <w:tcW w:w="897" w:type="dxa"/>
            <w:tcBorders>
              <w:top w:val="nil"/>
              <w:left w:val="nil"/>
              <w:bottom w:val="single" w:sz="4" w:space="0" w:color="FFFFFF"/>
              <w:right w:val="nil"/>
            </w:tcBorders>
            <w:shd w:val="clear" w:color="000000" w:fill="F2F2F2"/>
            <w:vAlign w:val="center"/>
            <w:hideMark/>
          </w:tcPr>
          <w:p w14:paraId="1AE5F02B" w14:textId="77777777" w:rsidR="00DA4D0A" w:rsidRPr="001541D8" w:rsidRDefault="00DA4D0A" w:rsidP="009B381B">
            <w:pPr>
              <w:pStyle w:val="Tabletext"/>
              <w:spacing w:line="230" w:lineRule="exact"/>
              <w:jc w:val="center"/>
            </w:pPr>
            <w:r w:rsidRPr="001541D8">
              <w:t>1.7</w:t>
            </w:r>
          </w:p>
        </w:tc>
        <w:tc>
          <w:tcPr>
            <w:tcW w:w="897" w:type="dxa"/>
            <w:tcBorders>
              <w:top w:val="nil"/>
              <w:left w:val="nil"/>
              <w:bottom w:val="single" w:sz="4" w:space="0" w:color="FFFFFF"/>
              <w:right w:val="nil"/>
            </w:tcBorders>
            <w:shd w:val="clear" w:color="000000" w:fill="F2F2F2"/>
            <w:vAlign w:val="center"/>
            <w:hideMark/>
          </w:tcPr>
          <w:p w14:paraId="023B558D" w14:textId="77777777" w:rsidR="00DA4D0A" w:rsidRPr="001541D8" w:rsidRDefault="00DA4D0A" w:rsidP="009B381B">
            <w:pPr>
              <w:pStyle w:val="Tabletext"/>
              <w:spacing w:line="230" w:lineRule="exact"/>
              <w:jc w:val="center"/>
            </w:pPr>
            <w:r w:rsidRPr="001541D8">
              <w:t>2.9</w:t>
            </w:r>
          </w:p>
        </w:tc>
      </w:tr>
      <w:tr w:rsidR="00DA4D0A" w:rsidRPr="003C15B8" w14:paraId="44E044B2" w14:textId="77777777" w:rsidTr="00817900">
        <w:trPr>
          <w:trHeight w:val="284"/>
          <w:jc w:val="center"/>
        </w:trPr>
        <w:tc>
          <w:tcPr>
            <w:tcW w:w="3828" w:type="dxa"/>
            <w:tcBorders>
              <w:top w:val="nil"/>
              <w:left w:val="nil"/>
              <w:bottom w:val="single" w:sz="4" w:space="0" w:color="FFFFFF"/>
              <w:right w:val="single" w:sz="4" w:space="0" w:color="FFFFFF" w:themeColor="background1"/>
            </w:tcBorders>
            <w:shd w:val="clear" w:color="000000" w:fill="D9D9D9"/>
            <w:vAlign w:val="center"/>
            <w:hideMark/>
          </w:tcPr>
          <w:p w14:paraId="748B4DD9" w14:textId="77777777" w:rsidR="00DA4D0A" w:rsidRPr="003C15B8" w:rsidRDefault="00DA4D0A" w:rsidP="009B381B">
            <w:pPr>
              <w:pStyle w:val="Tabletext"/>
              <w:spacing w:line="230" w:lineRule="exact"/>
            </w:pPr>
            <w:r w:rsidRPr="003C15B8">
              <w:t>9. Imports of goods and services</w:t>
            </w:r>
          </w:p>
        </w:tc>
        <w:tc>
          <w:tcPr>
            <w:tcW w:w="903" w:type="dxa"/>
            <w:tcBorders>
              <w:top w:val="nil"/>
              <w:left w:val="single" w:sz="4" w:space="0" w:color="FFFFFF" w:themeColor="background1"/>
              <w:bottom w:val="single" w:sz="4" w:space="0" w:color="FFFFFF"/>
              <w:right w:val="single" w:sz="4" w:space="0" w:color="FFFFFF" w:themeColor="background1"/>
            </w:tcBorders>
            <w:shd w:val="clear" w:color="000000" w:fill="D9D9D9"/>
            <w:vAlign w:val="center"/>
            <w:hideMark/>
          </w:tcPr>
          <w:p w14:paraId="1F36654F" w14:textId="77777777" w:rsidR="00DA4D0A" w:rsidRPr="003C15B8" w:rsidRDefault="00DA4D0A" w:rsidP="009B381B">
            <w:pPr>
              <w:pStyle w:val="Tabletext"/>
              <w:spacing w:line="230" w:lineRule="exact"/>
            </w:pPr>
            <w:r w:rsidRPr="003C15B8">
              <w:t>P.7</w:t>
            </w:r>
          </w:p>
        </w:tc>
        <w:tc>
          <w:tcPr>
            <w:tcW w:w="656" w:type="dxa"/>
            <w:tcBorders>
              <w:top w:val="nil"/>
              <w:left w:val="single" w:sz="4" w:space="0" w:color="FFFFFF" w:themeColor="background1"/>
              <w:bottom w:val="single" w:sz="4" w:space="0" w:color="FFFFFF"/>
              <w:right w:val="single" w:sz="4" w:space="0" w:color="FFFFFF" w:themeColor="background1"/>
            </w:tcBorders>
            <w:shd w:val="clear" w:color="000000" w:fill="D9D9D9"/>
            <w:vAlign w:val="center"/>
            <w:hideMark/>
          </w:tcPr>
          <w:p w14:paraId="04D95BB3" w14:textId="77777777" w:rsidR="00DA4D0A" w:rsidRPr="001541D8" w:rsidRDefault="00DA4D0A" w:rsidP="009B381B">
            <w:pPr>
              <w:pStyle w:val="Tabletext"/>
              <w:spacing w:line="230" w:lineRule="exact"/>
              <w:jc w:val="center"/>
            </w:pPr>
          </w:p>
        </w:tc>
        <w:tc>
          <w:tcPr>
            <w:tcW w:w="897" w:type="dxa"/>
            <w:tcBorders>
              <w:top w:val="nil"/>
              <w:left w:val="single" w:sz="4" w:space="0" w:color="FFFFFF" w:themeColor="background1"/>
              <w:bottom w:val="single" w:sz="4" w:space="0" w:color="FFFFFF"/>
              <w:right w:val="nil"/>
            </w:tcBorders>
            <w:shd w:val="clear" w:color="000000" w:fill="D9D9D9"/>
            <w:vAlign w:val="center"/>
            <w:hideMark/>
          </w:tcPr>
          <w:p w14:paraId="219F86E5" w14:textId="77777777" w:rsidR="00DA4D0A" w:rsidRPr="001541D8" w:rsidRDefault="00DA4D0A" w:rsidP="009B381B">
            <w:pPr>
              <w:pStyle w:val="Tabletext"/>
              <w:spacing w:line="230" w:lineRule="exact"/>
              <w:jc w:val="center"/>
            </w:pPr>
            <w:r w:rsidRPr="001541D8">
              <w:t>0.0</w:t>
            </w:r>
          </w:p>
        </w:tc>
        <w:tc>
          <w:tcPr>
            <w:tcW w:w="897" w:type="dxa"/>
            <w:tcBorders>
              <w:top w:val="nil"/>
              <w:left w:val="nil"/>
              <w:bottom w:val="single" w:sz="4" w:space="0" w:color="FFFFFF"/>
              <w:right w:val="nil"/>
            </w:tcBorders>
            <w:shd w:val="clear" w:color="000000" w:fill="D9D9D9"/>
            <w:vAlign w:val="center"/>
            <w:hideMark/>
          </w:tcPr>
          <w:p w14:paraId="0006C0C2" w14:textId="77777777" w:rsidR="00DA4D0A" w:rsidRPr="001541D8" w:rsidRDefault="00DA4D0A" w:rsidP="009B381B">
            <w:pPr>
              <w:pStyle w:val="Tabletext"/>
              <w:spacing w:line="230" w:lineRule="exact"/>
              <w:jc w:val="center"/>
            </w:pPr>
            <w:r w:rsidRPr="001541D8">
              <w:t>4.8</w:t>
            </w:r>
          </w:p>
        </w:tc>
        <w:tc>
          <w:tcPr>
            <w:tcW w:w="897" w:type="dxa"/>
            <w:tcBorders>
              <w:top w:val="nil"/>
              <w:left w:val="nil"/>
              <w:bottom w:val="single" w:sz="4" w:space="0" w:color="FFFFFF"/>
              <w:right w:val="nil"/>
            </w:tcBorders>
            <w:shd w:val="clear" w:color="000000" w:fill="D9D9D9"/>
            <w:vAlign w:val="center"/>
            <w:hideMark/>
          </w:tcPr>
          <w:p w14:paraId="1E1D837B" w14:textId="77777777" w:rsidR="00DA4D0A" w:rsidRPr="001541D8" w:rsidRDefault="00DA4D0A" w:rsidP="009B381B">
            <w:pPr>
              <w:pStyle w:val="Tabletext"/>
              <w:spacing w:line="230" w:lineRule="exact"/>
              <w:jc w:val="center"/>
            </w:pPr>
            <w:r w:rsidRPr="001541D8">
              <w:t>-1.3</w:t>
            </w:r>
          </w:p>
        </w:tc>
        <w:tc>
          <w:tcPr>
            <w:tcW w:w="897" w:type="dxa"/>
            <w:tcBorders>
              <w:top w:val="nil"/>
              <w:left w:val="nil"/>
              <w:bottom w:val="single" w:sz="4" w:space="0" w:color="FFFFFF"/>
              <w:right w:val="nil"/>
            </w:tcBorders>
            <w:shd w:val="clear" w:color="000000" w:fill="D9D9D9"/>
            <w:vAlign w:val="center"/>
            <w:hideMark/>
          </w:tcPr>
          <w:p w14:paraId="6D49D794" w14:textId="77777777" w:rsidR="00DA4D0A" w:rsidRPr="001541D8" w:rsidRDefault="00DA4D0A" w:rsidP="009B381B">
            <w:pPr>
              <w:pStyle w:val="Tabletext"/>
              <w:spacing w:line="230" w:lineRule="exact"/>
              <w:jc w:val="center"/>
            </w:pPr>
            <w:r w:rsidRPr="001541D8">
              <w:t>4.4</w:t>
            </w:r>
          </w:p>
        </w:tc>
      </w:tr>
      <w:tr w:rsidR="00DA4D0A" w:rsidRPr="003C15B8" w14:paraId="55A26BAB" w14:textId="77777777" w:rsidTr="00817900">
        <w:trPr>
          <w:trHeight w:val="284"/>
          <w:jc w:val="center"/>
        </w:trPr>
        <w:tc>
          <w:tcPr>
            <w:tcW w:w="3828" w:type="dxa"/>
            <w:tcBorders>
              <w:top w:val="nil"/>
              <w:left w:val="nil"/>
              <w:bottom w:val="nil"/>
              <w:right w:val="single" w:sz="4" w:space="0" w:color="FFFFFF" w:themeColor="background1"/>
            </w:tcBorders>
            <w:shd w:val="clear" w:color="000000" w:fill="D6DCE4"/>
            <w:vAlign w:val="center"/>
            <w:hideMark/>
          </w:tcPr>
          <w:p w14:paraId="6AB84B49" w14:textId="77777777" w:rsidR="00DA4D0A" w:rsidRPr="003C15B8" w:rsidRDefault="00DA4D0A" w:rsidP="009B381B">
            <w:pPr>
              <w:pStyle w:val="Tabletext"/>
              <w:spacing w:line="230" w:lineRule="exact"/>
              <w:rPr>
                <w:b/>
              </w:rPr>
            </w:pPr>
            <w:r w:rsidRPr="003C15B8">
              <w:rPr>
                <w:b/>
              </w:rPr>
              <w:t>Contribution to real GDP growth</w:t>
            </w:r>
          </w:p>
        </w:tc>
        <w:tc>
          <w:tcPr>
            <w:tcW w:w="903" w:type="dxa"/>
            <w:tcBorders>
              <w:top w:val="nil"/>
              <w:left w:val="single" w:sz="4" w:space="0" w:color="FFFFFF" w:themeColor="background1"/>
              <w:bottom w:val="nil"/>
              <w:right w:val="single" w:sz="4" w:space="0" w:color="FFFFFF" w:themeColor="background1"/>
            </w:tcBorders>
            <w:shd w:val="clear" w:color="000000" w:fill="D6DCE4"/>
            <w:vAlign w:val="center"/>
            <w:hideMark/>
          </w:tcPr>
          <w:p w14:paraId="3B2D1B91" w14:textId="77777777" w:rsidR="00DA4D0A" w:rsidRPr="003C15B8" w:rsidRDefault="00DA4D0A" w:rsidP="009B381B">
            <w:pPr>
              <w:pStyle w:val="Tabletext"/>
              <w:spacing w:line="230" w:lineRule="exact"/>
              <w:rPr>
                <w:b/>
              </w:rPr>
            </w:pPr>
            <w:r w:rsidRPr="003C15B8">
              <w:rPr>
                <w:b/>
              </w:rPr>
              <w:t> </w:t>
            </w:r>
          </w:p>
        </w:tc>
        <w:tc>
          <w:tcPr>
            <w:tcW w:w="656" w:type="dxa"/>
            <w:tcBorders>
              <w:top w:val="nil"/>
              <w:left w:val="single" w:sz="4" w:space="0" w:color="FFFFFF" w:themeColor="background1"/>
              <w:bottom w:val="nil"/>
              <w:right w:val="single" w:sz="4" w:space="0" w:color="FFFFFF" w:themeColor="background1"/>
            </w:tcBorders>
            <w:shd w:val="clear" w:color="000000" w:fill="D6DCE4"/>
            <w:vAlign w:val="center"/>
            <w:hideMark/>
          </w:tcPr>
          <w:p w14:paraId="4C8760AB" w14:textId="77777777" w:rsidR="00DA4D0A" w:rsidRPr="001541D8" w:rsidRDefault="00DA4D0A" w:rsidP="009B381B">
            <w:pPr>
              <w:pStyle w:val="Tabletext"/>
              <w:spacing w:line="230" w:lineRule="exact"/>
              <w:jc w:val="center"/>
            </w:pPr>
          </w:p>
        </w:tc>
        <w:tc>
          <w:tcPr>
            <w:tcW w:w="3588" w:type="dxa"/>
            <w:gridSpan w:val="4"/>
            <w:tcBorders>
              <w:top w:val="nil"/>
              <w:left w:val="single" w:sz="4" w:space="0" w:color="FFFFFF" w:themeColor="background1"/>
              <w:bottom w:val="nil"/>
              <w:right w:val="nil"/>
            </w:tcBorders>
            <w:shd w:val="clear" w:color="000000" w:fill="D6DCE4"/>
            <w:vAlign w:val="center"/>
            <w:hideMark/>
          </w:tcPr>
          <w:p w14:paraId="0094558B" w14:textId="77777777" w:rsidR="00DA4D0A" w:rsidRPr="001541D8" w:rsidRDefault="00DA4D0A" w:rsidP="009B381B">
            <w:pPr>
              <w:pStyle w:val="Tabletext"/>
              <w:spacing w:line="230" w:lineRule="exact"/>
              <w:jc w:val="center"/>
            </w:pPr>
            <w:r w:rsidRPr="001541D8">
              <w:t>growth rate</w:t>
            </w:r>
          </w:p>
        </w:tc>
      </w:tr>
      <w:tr w:rsidR="00DA4D0A" w:rsidRPr="003C15B8" w14:paraId="73C9095F" w14:textId="77777777" w:rsidTr="00817900">
        <w:trPr>
          <w:trHeight w:val="284"/>
          <w:jc w:val="center"/>
        </w:trPr>
        <w:tc>
          <w:tcPr>
            <w:tcW w:w="3828" w:type="dxa"/>
            <w:tcBorders>
              <w:top w:val="nil"/>
              <w:left w:val="nil"/>
              <w:bottom w:val="single" w:sz="4" w:space="0" w:color="FFFFFF"/>
              <w:right w:val="single" w:sz="4" w:space="0" w:color="FFFFFF" w:themeColor="background1"/>
            </w:tcBorders>
            <w:shd w:val="clear" w:color="000000" w:fill="F2F2F2"/>
            <w:vAlign w:val="center"/>
            <w:hideMark/>
          </w:tcPr>
          <w:p w14:paraId="53096579" w14:textId="77777777" w:rsidR="00DA4D0A" w:rsidRPr="003C15B8" w:rsidRDefault="00DA4D0A" w:rsidP="009B381B">
            <w:pPr>
              <w:pStyle w:val="Tabletext"/>
              <w:spacing w:line="230" w:lineRule="exact"/>
            </w:pPr>
            <w:r w:rsidRPr="003C15B8">
              <w:t>10.    Final domestic demand</w:t>
            </w:r>
          </w:p>
        </w:tc>
        <w:tc>
          <w:tcPr>
            <w:tcW w:w="903" w:type="dxa"/>
            <w:tcBorders>
              <w:top w:val="nil"/>
              <w:left w:val="single" w:sz="4" w:space="0" w:color="FFFFFF" w:themeColor="background1"/>
              <w:bottom w:val="single" w:sz="4" w:space="0" w:color="FFFFFF"/>
              <w:right w:val="single" w:sz="4" w:space="0" w:color="FFFFFF" w:themeColor="background1"/>
            </w:tcBorders>
            <w:shd w:val="clear" w:color="000000" w:fill="F2F2F2"/>
            <w:vAlign w:val="center"/>
            <w:hideMark/>
          </w:tcPr>
          <w:p w14:paraId="2A86BCE8" w14:textId="77777777" w:rsidR="00DA4D0A" w:rsidRPr="003C15B8" w:rsidRDefault="00DA4D0A" w:rsidP="009B381B">
            <w:pPr>
              <w:pStyle w:val="Tabletext"/>
              <w:spacing w:line="230" w:lineRule="exact"/>
            </w:pPr>
            <w:r w:rsidRPr="003C15B8">
              <w:t> </w:t>
            </w:r>
          </w:p>
        </w:tc>
        <w:tc>
          <w:tcPr>
            <w:tcW w:w="656" w:type="dxa"/>
            <w:tcBorders>
              <w:top w:val="nil"/>
              <w:left w:val="single" w:sz="4" w:space="0" w:color="FFFFFF" w:themeColor="background1"/>
              <w:bottom w:val="single" w:sz="4" w:space="0" w:color="FFFFFF"/>
              <w:right w:val="single" w:sz="4" w:space="0" w:color="FFFFFF" w:themeColor="background1"/>
            </w:tcBorders>
            <w:shd w:val="clear" w:color="000000" w:fill="F2F2F2"/>
            <w:vAlign w:val="center"/>
            <w:hideMark/>
          </w:tcPr>
          <w:p w14:paraId="0E09E3FB" w14:textId="77777777" w:rsidR="00DA4D0A" w:rsidRPr="001541D8" w:rsidRDefault="00DA4D0A" w:rsidP="009B381B">
            <w:pPr>
              <w:pStyle w:val="Tabletext"/>
              <w:spacing w:line="230" w:lineRule="exact"/>
              <w:jc w:val="center"/>
            </w:pPr>
          </w:p>
        </w:tc>
        <w:tc>
          <w:tcPr>
            <w:tcW w:w="897" w:type="dxa"/>
            <w:tcBorders>
              <w:top w:val="nil"/>
              <w:left w:val="single" w:sz="4" w:space="0" w:color="FFFFFF" w:themeColor="background1"/>
              <w:bottom w:val="single" w:sz="4" w:space="0" w:color="FFFFFF"/>
              <w:right w:val="nil"/>
            </w:tcBorders>
            <w:shd w:val="clear" w:color="000000" w:fill="F2F2F2"/>
            <w:vAlign w:val="center"/>
            <w:hideMark/>
          </w:tcPr>
          <w:p w14:paraId="2C7BC38A" w14:textId="77777777" w:rsidR="00DA4D0A" w:rsidRPr="001541D8" w:rsidRDefault="00DA4D0A" w:rsidP="009B381B">
            <w:pPr>
              <w:pStyle w:val="Tabletext"/>
              <w:spacing w:line="230" w:lineRule="exact"/>
              <w:jc w:val="center"/>
            </w:pPr>
            <w:r w:rsidRPr="001541D8">
              <w:t>3.3</w:t>
            </w:r>
          </w:p>
        </w:tc>
        <w:tc>
          <w:tcPr>
            <w:tcW w:w="897" w:type="dxa"/>
            <w:tcBorders>
              <w:top w:val="nil"/>
              <w:left w:val="nil"/>
              <w:bottom w:val="single" w:sz="4" w:space="0" w:color="FFFFFF"/>
              <w:right w:val="nil"/>
            </w:tcBorders>
            <w:shd w:val="clear" w:color="000000" w:fill="F2F2F2"/>
            <w:vAlign w:val="center"/>
            <w:hideMark/>
          </w:tcPr>
          <w:p w14:paraId="2309572E" w14:textId="77777777" w:rsidR="00DA4D0A" w:rsidRPr="001541D8" w:rsidRDefault="00DA4D0A" w:rsidP="009B381B">
            <w:pPr>
              <w:pStyle w:val="Tabletext"/>
              <w:spacing w:line="230" w:lineRule="exact"/>
              <w:jc w:val="center"/>
            </w:pPr>
            <w:r w:rsidRPr="001541D8">
              <w:t>1.9</w:t>
            </w:r>
          </w:p>
        </w:tc>
        <w:tc>
          <w:tcPr>
            <w:tcW w:w="897" w:type="dxa"/>
            <w:tcBorders>
              <w:top w:val="nil"/>
              <w:left w:val="nil"/>
              <w:bottom w:val="single" w:sz="4" w:space="0" w:color="FFFFFF"/>
              <w:right w:val="nil"/>
            </w:tcBorders>
            <w:shd w:val="clear" w:color="000000" w:fill="F2F2F2"/>
            <w:vAlign w:val="center"/>
            <w:hideMark/>
          </w:tcPr>
          <w:p w14:paraId="38625594" w14:textId="77777777" w:rsidR="00DA4D0A" w:rsidRPr="001541D8" w:rsidRDefault="00DA4D0A" w:rsidP="009B381B">
            <w:pPr>
              <w:pStyle w:val="Tabletext"/>
              <w:spacing w:line="230" w:lineRule="exact"/>
              <w:jc w:val="center"/>
            </w:pPr>
            <w:r w:rsidRPr="001541D8">
              <w:t>3.0</w:t>
            </w:r>
          </w:p>
        </w:tc>
        <w:tc>
          <w:tcPr>
            <w:tcW w:w="897" w:type="dxa"/>
            <w:tcBorders>
              <w:top w:val="nil"/>
              <w:left w:val="nil"/>
              <w:bottom w:val="single" w:sz="4" w:space="0" w:color="FFFFFF"/>
              <w:right w:val="nil"/>
            </w:tcBorders>
            <w:shd w:val="clear" w:color="000000" w:fill="F2F2F2"/>
            <w:vAlign w:val="center"/>
            <w:hideMark/>
          </w:tcPr>
          <w:p w14:paraId="2F79EEC0" w14:textId="77777777" w:rsidR="00DA4D0A" w:rsidRPr="001541D8" w:rsidRDefault="00DA4D0A" w:rsidP="009B381B">
            <w:pPr>
              <w:pStyle w:val="Tabletext"/>
              <w:spacing w:line="230" w:lineRule="exact"/>
              <w:jc w:val="center"/>
            </w:pPr>
            <w:r w:rsidRPr="001541D8">
              <w:t>2.6</w:t>
            </w:r>
          </w:p>
        </w:tc>
      </w:tr>
      <w:tr w:rsidR="00DA4D0A" w:rsidRPr="003C15B8" w14:paraId="41D6C714" w14:textId="77777777" w:rsidTr="00817900">
        <w:trPr>
          <w:trHeight w:val="284"/>
          <w:jc w:val="center"/>
        </w:trPr>
        <w:tc>
          <w:tcPr>
            <w:tcW w:w="3828" w:type="dxa"/>
            <w:tcBorders>
              <w:top w:val="nil"/>
              <w:left w:val="nil"/>
              <w:bottom w:val="single" w:sz="4" w:space="0" w:color="FFFFFF"/>
              <w:right w:val="single" w:sz="4" w:space="0" w:color="FFFFFF" w:themeColor="background1"/>
            </w:tcBorders>
            <w:shd w:val="clear" w:color="000000" w:fill="D9D9D9"/>
            <w:vAlign w:val="center"/>
            <w:hideMark/>
          </w:tcPr>
          <w:p w14:paraId="0279889D" w14:textId="77777777" w:rsidR="00DA4D0A" w:rsidRPr="003C15B8" w:rsidRDefault="00DA4D0A" w:rsidP="009B381B">
            <w:pPr>
              <w:pStyle w:val="Tabletext"/>
              <w:spacing w:line="230" w:lineRule="exact"/>
            </w:pPr>
            <w:r w:rsidRPr="003C15B8">
              <w:t xml:space="preserve">11.    Changes in inventories </w:t>
            </w:r>
            <w:r>
              <w:br/>
            </w:r>
            <w:r w:rsidRPr="003C15B8">
              <w:t>and net acquisition of value</w:t>
            </w:r>
          </w:p>
        </w:tc>
        <w:tc>
          <w:tcPr>
            <w:tcW w:w="903" w:type="dxa"/>
            <w:tcBorders>
              <w:top w:val="nil"/>
              <w:left w:val="single" w:sz="4" w:space="0" w:color="FFFFFF" w:themeColor="background1"/>
              <w:bottom w:val="single" w:sz="4" w:space="0" w:color="FFFFFF"/>
              <w:right w:val="single" w:sz="4" w:space="0" w:color="FFFFFF" w:themeColor="background1"/>
            </w:tcBorders>
            <w:shd w:val="clear" w:color="000000" w:fill="D9D9D9"/>
            <w:vAlign w:val="center"/>
            <w:hideMark/>
          </w:tcPr>
          <w:p w14:paraId="0B7A8F55" w14:textId="77777777" w:rsidR="00DA4D0A" w:rsidRPr="003C15B8" w:rsidRDefault="00DA4D0A" w:rsidP="009B381B">
            <w:pPr>
              <w:pStyle w:val="Tabletext"/>
              <w:spacing w:line="230" w:lineRule="exact"/>
            </w:pPr>
            <w:r w:rsidRPr="003C15B8">
              <w:t>P.52 + P.53</w:t>
            </w:r>
          </w:p>
        </w:tc>
        <w:tc>
          <w:tcPr>
            <w:tcW w:w="656" w:type="dxa"/>
            <w:tcBorders>
              <w:top w:val="nil"/>
              <w:left w:val="single" w:sz="4" w:space="0" w:color="FFFFFF" w:themeColor="background1"/>
              <w:bottom w:val="single" w:sz="4" w:space="0" w:color="FFFFFF"/>
              <w:right w:val="single" w:sz="4" w:space="0" w:color="FFFFFF" w:themeColor="background1"/>
            </w:tcBorders>
            <w:shd w:val="clear" w:color="000000" w:fill="D9D9D9"/>
            <w:vAlign w:val="center"/>
            <w:hideMark/>
          </w:tcPr>
          <w:p w14:paraId="77D96E5E" w14:textId="77777777" w:rsidR="00DA4D0A" w:rsidRPr="001541D8" w:rsidRDefault="00DA4D0A" w:rsidP="009B381B">
            <w:pPr>
              <w:pStyle w:val="Tabletext"/>
              <w:spacing w:line="230" w:lineRule="exact"/>
              <w:jc w:val="center"/>
            </w:pPr>
          </w:p>
        </w:tc>
        <w:tc>
          <w:tcPr>
            <w:tcW w:w="897" w:type="dxa"/>
            <w:tcBorders>
              <w:top w:val="nil"/>
              <w:left w:val="single" w:sz="4" w:space="0" w:color="FFFFFF" w:themeColor="background1"/>
              <w:bottom w:val="single" w:sz="4" w:space="0" w:color="FFFFFF"/>
              <w:right w:val="nil"/>
            </w:tcBorders>
            <w:shd w:val="clear" w:color="000000" w:fill="D9D9D9"/>
            <w:vAlign w:val="center"/>
            <w:hideMark/>
          </w:tcPr>
          <w:p w14:paraId="6B6C0FB6" w14:textId="77777777" w:rsidR="00DA4D0A" w:rsidRPr="001541D8" w:rsidRDefault="00DA4D0A" w:rsidP="009B381B">
            <w:pPr>
              <w:pStyle w:val="Tabletext"/>
              <w:spacing w:line="230" w:lineRule="exact"/>
              <w:jc w:val="center"/>
            </w:pPr>
            <w:r w:rsidRPr="001541D8">
              <w:t>-1.9</w:t>
            </w:r>
          </w:p>
        </w:tc>
        <w:tc>
          <w:tcPr>
            <w:tcW w:w="897" w:type="dxa"/>
            <w:tcBorders>
              <w:top w:val="nil"/>
              <w:left w:val="nil"/>
              <w:bottom w:val="single" w:sz="4" w:space="0" w:color="FFFFFF"/>
              <w:right w:val="nil"/>
            </w:tcBorders>
            <w:shd w:val="clear" w:color="000000" w:fill="D9D9D9"/>
            <w:vAlign w:val="center"/>
            <w:hideMark/>
          </w:tcPr>
          <w:p w14:paraId="2BA3A8B0" w14:textId="77777777" w:rsidR="00DA4D0A" w:rsidRPr="001541D8" w:rsidRDefault="00DA4D0A" w:rsidP="009B381B">
            <w:pPr>
              <w:pStyle w:val="Tabletext"/>
              <w:spacing w:line="230" w:lineRule="exact"/>
              <w:jc w:val="center"/>
            </w:pPr>
            <w:r w:rsidRPr="001541D8">
              <w:t>1.9</w:t>
            </w:r>
          </w:p>
        </w:tc>
        <w:tc>
          <w:tcPr>
            <w:tcW w:w="897" w:type="dxa"/>
            <w:tcBorders>
              <w:top w:val="nil"/>
              <w:left w:val="nil"/>
              <w:bottom w:val="single" w:sz="4" w:space="0" w:color="FFFFFF"/>
              <w:right w:val="nil"/>
            </w:tcBorders>
            <w:shd w:val="clear" w:color="000000" w:fill="D9D9D9"/>
            <w:vAlign w:val="center"/>
            <w:hideMark/>
          </w:tcPr>
          <w:p w14:paraId="408B2D3F" w14:textId="77777777" w:rsidR="00DA4D0A" w:rsidRPr="001541D8" w:rsidRDefault="00DA4D0A" w:rsidP="009B381B">
            <w:pPr>
              <w:pStyle w:val="Tabletext"/>
              <w:spacing w:line="230" w:lineRule="exact"/>
              <w:jc w:val="center"/>
            </w:pPr>
            <w:r w:rsidRPr="001541D8">
              <w:t>-2.1</w:t>
            </w:r>
          </w:p>
        </w:tc>
        <w:tc>
          <w:tcPr>
            <w:tcW w:w="897" w:type="dxa"/>
            <w:tcBorders>
              <w:top w:val="nil"/>
              <w:left w:val="nil"/>
              <w:bottom w:val="single" w:sz="4" w:space="0" w:color="FFFFFF"/>
              <w:right w:val="nil"/>
            </w:tcBorders>
            <w:shd w:val="clear" w:color="000000" w:fill="D9D9D9"/>
            <w:vAlign w:val="center"/>
            <w:hideMark/>
          </w:tcPr>
          <w:p w14:paraId="3653A467" w14:textId="77777777" w:rsidR="00DA4D0A" w:rsidRPr="001541D8" w:rsidRDefault="00DA4D0A" w:rsidP="009B381B">
            <w:pPr>
              <w:pStyle w:val="Tabletext"/>
              <w:spacing w:line="230" w:lineRule="exact"/>
              <w:jc w:val="center"/>
            </w:pPr>
            <w:r w:rsidRPr="001541D8">
              <w:t>0.3</w:t>
            </w:r>
          </w:p>
        </w:tc>
      </w:tr>
      <w:tr w:rsidR="00DA4D0A" w:rsidRPr="003C15B8" w14:paraId="5F63E6C6" w14:textId="77777777" w:rsidTr="00817900">
        <w:trPr>
          <w:trHeight w:val="284"/>
          <w:jc w:val="center"/>
        </w:trPr>
        <w:tc>
          <w:tcPr>
            <w:tcW w:w="3828" w:type="dxa"/>
            <w:tcBorders>
              <w:top w:val="nil"/>
              <w:left w:val="nil"/>
              <w:bottom w:val="single" w:sz="4" w:space="0" w:color="FFFFFF"/>
              <w:right w:val="single" w:sz="4" w:space="0" w:color="FFFFFF" w:themeColor="background1"/>
            </w:tcBorders>
            <w:shd w:val="clear" w:color="000000" w:fill="F2F2F2"/>
            <w:vAlign w:val="center"/>
            <w:hideMark/>
          </w:tcPr>
          <w:p w14:paraId="67A024ED" w14:textId="77777777" w:rsidR="00DA4D0A" w:rsidRPr="003C15B8" w:rsidRDefault="00DA4D0A" w:rsidP="009B381B">
            <w:pPr>
              <w:pStyle w:val="Tabletext"/>
              <w:spacing w:line="230" w:lineRule="exact"/>
            </w:pPr>
            <w:r w:rsidRPr="003C15B8">
              <w:t xml:space="preserve">12.    External balance of goods </w:t>
            </w:r>
            <w:r>
              <w:br/>
            </w:r>
            <w:r w:rsidRPr="003C15B8">
              <w:t>and services</w:t>
            </w:r>
          </w:p>
        </w:tc>
        <w:tc>
          <w:tcPr>
            <w:tcW w:w="903" w:type="dxa"/>
            <w:tcBorders>
              <w:top w:val="nil"/>
              <w:left w:val="single" w:sz="4" w:space="0" w:color="FFFFFF" w:themeColor="background1"/>
              <w:bottom w:val="single" w:sz="4" w:space="0" w:color="FFFFFF"/>
              <w:right w:val="single" w:sz="4" w:space="0" w:color="FFFFFF" w:themeColor="background1"/>
            </w:tcBorders>
            <w:shd w:val="clear" w:color="000000" w:fill="F2F2F2"/>
            <w:vAlign w:val="center"/>
            <w:hideMark/>
          </w:tcPr>
          <w:p w14:paraId="05B59010" w14:textId="77777777" w:rsidR="00DA4D0A" w:rsidRPr="003C15B8" w:rsidRDefault="00DA4D0A" w:rsidP="009B381B">
            <w:pPr>
              <w:pStyle w:val="Tabletext"/>
              <w:spacing w:line="230" w:lineRule="exact"/>
            </w:pPr>
            <w:r w:rsidRPr="003C15B8">
              <w:t>B.11</w:t>
            </w:r>
          </w:p>
        </w:tc>
        <w:tc>
          <w:tcPr>
            <w:tcW w:w="656" w:type="dxa"/>
            <w:tcBorders>
              <w:top w:val="nil"/>
              <w:left w:val="single" w:sz="4" w:space="0" w:color="FFFFFF" w:themeColor="background1"/>
              <w:bottom w:val="single" w:sz="4" w:space="0" w:color="FFFFFF"/>
              <w:right w:val="single" w:sz="4" w:space="0" w:color="FFFFFF" w:themeColor="background1"/>
            </w:tcBorders>
            <w:shd w:val="clear" w:color="000000" w:fill="F2F2F2"/>
            <w:vAlign w:val="center"/>
            <w:hideMark/>
          </w:tcPr>
          <w:p w14:paraId="216461DF" w14:textId="77777777" w:rsidR="00DA4D0A" w:rsidRPr="001541D8" w:rsidRDefault="00DA4D0A" w:rsidP="009B381B">
            <w:pPr>
              <w:pStyle w:val="Tabletext"/>
              <w:spacing w:line="230" w:lineRule="exact"/>
              <w:jc w:val="center"/>
            </w:pPr>
          </w:p>
        </w:tc>
        <w:tc>
          <w:tcPr>
            <w:tcW w:w="897" w:type="dxa"/>
            <w:tcBorders>
              <w:top w:val="nil"/>
              <w:left w:val="single" w:sz="4" w:space="0" w:color="FFFFFF" w:themeColor="background1"/>
              <w:bottom w:val="single" w:sz="4" w:space="0" w:color="FFFFFF"/>
              <w:right w:val="nil"/>
            </w:tcBorders>
            <w:shd w:val="clear" w:color="000000" w:fill="F2F2F2"/>
            <w:vAlign w:val="center"/>
            <w:hideMark/>
          </w:tcPr>
          <w:p w14:paraId="230B7A5C" w14:textId="77777777" w:rsidR="00DA4D0A" w:rsidRPr="001541D8" w:rsidRDefault="00DA4D0A" w:rsidP="009B381B">
            <w:pPr>
              <w:pStyle w:val="Tabletext"/>
              <w:spacing w:line="230" w:lineRule="exact"/>
              <w:jc w:val="center"/>
            </w:pPr>
            <w:r w:rsidRPr="001541D8">
              <w:t>0.8</w:t>
            </w:r>
          </w:p>
        </w:tc>
        <w:tc>
          <w:tcPr>
            <w:tcW w:w="897" w:type="dxa"/>
            <w:tcBorders>
              <w:top w:val="nil"/>
              <w:left w:val="nil"/>
              <w:bottom w:val="single" w:sz="4" w:space="0" w:color="FFFFFF"/>
              <w:right w:val="nil"/>
            </w:tcBorders>
            <w:shd w:val="clear" w:color="000000" w:fill="F2F2F2"/>
            <w:vAlign w:val="center"/>
            <w:hideMark/>
          </w:tcPr>
          <w:p w14:paraId="0A61E6CE" w14:textId="77777777" w:rsidR="00DA4D0A" w:rsidRPr="001541D8" w:rsidRDefault="00DA4D0A" w:rsidP="009B381B">
            <w:pPr>
              <w:pStyle w:val="Tabletext"/>
              <w:spacing w:line="230" w:lineRule="exact"/>
              <w:jc w:val="center"/>
            </w:pPr>
            <w:r w:rsidRPr="001541D8">
              <w:t>-1.7</w:t>
            </w:r>
          </w:p>
        </w:tc>
        <w:tc>
          <w:tcPr>
            <w:tcW w:w="897" w:type="dxa"/>
            <w:tcBorders>
              <w:top w:val="nil"/>
              <w:left w:val="nil"/>
              <w:bottom w:val="single" w:sz="4" w:space="0" w:color="FFFFFF"/>
              <w:right w:val="nil"/>
            </w:tcBorders>
            <w:shd w:val="clear" w:color="000000" w:fill="F2F2F2"/>
            <w:vAlign w:val="center"/>
            <w:hideMark/>
          </w:tcPr>
          <w:p w14:paraId="68E015F8" w14:textId="77777777" w:rsidR="00DA4D0A" w:rsidRPr="001541D8" w:rsidRDefault="00DA4D0A" w:rsidP="009B381B">
            <w:pPr>
              <w:pStyle w:val="Tabletext"/>
              <w:spacing w:line="230" w:lineRule="exact"/>
              <w:jc w:val="center"/>
            </w:pPr>
            <w:r w:rsidRPr="001541D8">
              <w:t>1.2</w:t>
            </w:r>
          </w:p>
        </w:tc>
        <w:tc>
          <w:tcPr>
            <w:tcW w:w="897" w:type="dxa"/>
            <w:tcBorders>
              <w:top w:val="nil"/>
              <w:left w:val="nil"/>
              <w:bottom w:val="single" w:sz="4" w:space="0" w:color="FFFFFF"/>
              <w:right w:val="nil"/>
            </w:tcBorders>
            <w:shd w:val="clear" w:color="000000" w:fill="F2F2F2"/>
            <w:vAlign w:val="center"/>
            <w:hideMark/>
          </w:tcPr>
          <w:p w14:paraId="77B7C094" w14:textId="77777777" w:rsidR="00DA4D0A" w:rsidRPr="001541D8" w:rsidRDefault="00DA4D0A" w:rsidP="009B381B">
            <w:pPr>
              <w:pStyle w:val="Tabletext"/>
              <w:spacing w:line="230" w:lineRule="exact"/>
              <w:jc w:val="center"/>
            </w:pPr>
            <w:r w:rsidRPr="001541D8">
              <w:t>-0.9</w:t>
            </w:r>
          </w:p>
        </w:tc>
      </w:tr>
      <w:tr w:rsidR="00DA4D0A" w:rsidRPr="003C15B8" w14:paraId="267923F3" w14:textId="77777777" w:rsidTr="00817900">
        <w:trPr>
          <w:trHeight w:val="284"/>
          <w:jc w:val="center"/>
        </w:trPr>
        <w:tc>
          <w:tcPr>
            <w:tcW w:w="3828" w:type="dxa"/>
            <w:tcBorders>
              <w:top w:val="nil"/>
              <w:left w:val="nil"/>
              <w:bottom w:val="nil"/>
              <w:right w:val="single" w:sz="4" w:space="0" w:color="FFFFFF" w:themeColor="background1"/>
            </w:tcBorders>
            <w:shd w:val="clear" w:color="000000" w:fill="D6DCE4"/>
            <w:vAlign w:val="center"/>
            <w:hideMark/>
          </w:tcPr>
          <w:p w14:paraId="16992142" w14:textId="77777777" w:rsidR="00DA4D0A" w:rsidRPr="003C15B8" w:rsidRDefault="00DA4D0A" w:rsidP="009B381B">
            <w:pPr>
              <w:pStyle w:val="Tabletext"/>
              <w:spacing w:line="230" w:lineRule="exact"/>
              <w:rPr>
                <w:b/>
              </w:rPr>
            </w:pPr>
            <w:r w:rsidRPr="003C15B8">
              <w:rPr>
                <w:b/>
              </w:rPr>
              <w:t>Deflators and HICP</w:t>
            </w:r>
          </w:p>
        </w:tc>
        <w:tc>
          <w:tcPr>
            <w:tcW w:w="903" w:type="dxa"/>
            <w:tcBorders>
              <w:top w:val="nil"/>
              <w:left w:val="single" w:sz="4" w:space="0" w:color="FFFFFF" w:themeColor="background1"/>
              <w:bottom w:val="nil"/>
              <w:right w:val="single" w:sz="4" w:space="0" w:color="FFFFFF" w:themeColor="background1"/>
            </w:tcBorders>
            <w:shd w:val="clear" w:color="000000" w:fill="D6DCE4"/>
            <w:vAlign w:val="center"/>
            <w:hideMark/>
          </w:tcPr>
          <w:p w14:paraId="0B9DA6F7" w14:textId="77777777" w:rsidR="00DA4D0A" w:rsidRPr="003C15B8" w:rsidRDefault="00DA4D0A" w:rsidP="009B381B">
            <w:pPr>
              <w:pStyle w:val="Tabletext"/>
              <w:spacing w:line="230" w:lineRule="exact"/>
              <w:rPr>
                <w:b/>
              </w:rPr>
            </w:pPr>
            <w:r w:rsidRPr="003C15B8">
              <w:rPr>
                <w:b/>
              </w:rPr>
              <w:t> </w:t>
            </w:r>
          </w:p>
        </w:tc>
        <w:tc>
          <w:tcPr>
            <w:tcW w:w="656" w:type="dxa"/>
            <w:tcBorders>
              <w:top w:val="nil"/>
              <w:left w:val="single" w:sz="4" w:space="0" w:color="FFFFFF" w:themeColor="background1"/>
              <w:bottom w:val="nil"/>
              <w:right w:val="single" w:sz="4" w:space="0" w:color="FFFFFF" w:themeColor="background1"/>
            </w:tcBorders>
            <w:shd w:val="clear" w:color="000000" w:fill="D6DCE4"/>
            <w:vAlign w:val="center"/>
            <w:hideMark/>
          </w:tcPr>
          <w:p w14:paraId="3A1AF7DF" w14:textId="77777777" w:rsidR="00DA4D0A" w:rsidRPr="001541D8" w:rsidRDefault="00DA4D0A" w:rsidP="009B381B">
            <w:pPr>
              <w:pStyle w:val="Tabletext"/>
              <w:spacing w:line="230" w:lineRule="exact"/>
              <w:jc w:val="center"/>
            </w:pPr>
          </w:p>
        </w:tc>
        <w:tc>
          <w:tcPr>
            <w:tcW w:w="3588" w:type="dxa"/>
            <w:gridSpan w:val="4"/>
            <w:tcBorders>
              <w:top w:val="nil"/>
              <w:left w:val="single" w:sz="4" w:space="0" w:color="FFFFFF" w:themeColor="background1"/>
              <w:bottom w:val="nil"/>
              <w:right w:val="nil"/>
            </w:tcBorders>
            <w:shd w:val="clear" w:color="000000" w:fill="D6DCE4"/>
            <w:vAlign w:val="center"/>
            <w:hideMark/>
          </w:tcPr>
          <w:p w14:paraId="37A3EAF2" w14:textId="77777777" w:rsidR="00DA4D0A" w:rsidRPr="001541D8" w:rsidRDefault="00DA4D0A" w:rsidP="009B381B">
            <w:pPr>
              <w:pStyle w:val="Tabletext"/>
              <w:spacing w:line="230" w:lineRule="exact"/>
              <w:jc w:val="center"/>
            </w:pPr>
            <w:r w:rsidRPr="001541D8">
              <w:t>growth rate</w:t>
            </w:r>
          </w:p>
        </w:tc>
      </w:tr>
      <w:tr w:rsidR="00DA4D0A" w:rsidRPr="003C15B8" w14:paraId="106DD97C" w14:textId="77777777" w:rsidTr="00817900">
        <w:trPr>
          <w:trHeight w:val="284"/>
          <w:jc w:val="center"/>
        </w:trPr>
        <w:tc>
          <w:tcPr>
            <w:tcW w:w="3828" w:type="dxa"/>
            <w:tcBorders>
              <w:top w:val="nil"/>
              <w:left w:val="nil"/>
              <w:bottom w:val="single" w:sz="4" w:space="0" w:color="FFFFFF"/>
              <w:right w:val="single" w:sz="4" w:space="0" w:color="FFFFFF" w:themeColor="background1"/>
            </w:tcBorders>
            <w:shd w:val="clear" w:color="000000" w:fill="F2F2F2"/>
            <w:vAlign w:val="center"/>
            <w:hideMark/>
          </w:tcPr>
          <w:p w14:paraId="1064F98C" w14:textId="77777777" w:rsidR="00DA4D0A" w:rsidRPr="003C15B8" w:rsidRDefault="00DA4D0A" w:rsidP="009B381B">
            <w:pPr>
              <w:pStyle w:val="Tabletext"/>
              <w:spacing w:line="230" w:lineRule="exact"/>
            </w:pPr>
            <w:r w:rsidRPr="003C15B8">
              <w:t>13. Private consumption deflator</w:t>
            </w:r>
          </w:p>
        </w:tc>
        <w:tc>
          <w:tcPr>
            <w:tcW w:w="903" w:type="dxa"/>
            <w:tcBorders>
              <w:top w:val="nil"/>
              <w:left w:val="single" w:sz="4" w:space="0" w:color="FFFFFF" w:themeColor="background1"/>
              <w:bottom w:val="single" w:sz="4" w:space="0" w:color="FFFFFF"/>
              <w:right w:val="single" w:sz="4" w:space="0" w:color="FFFFFF" w:themeColor="background1"/>
            </w:tcBorders>
            <w:shd w:val="clear" w:color="000000" w:fill="F2F2F2"/>
            <w:vAlign w:val="center"/>
            <w:hideMark/>
          </w:tcPr>
          <w:p w14:paraId="0CC6224A" w14:textId="77777777" w:rsidR="00DA4D0A" w:rsidRPr="003C15B8" w:rsidRDefault="00DA4D0A" w:rsidP="009B381B">
            <w:pPr>
              <w:pStyle w:val="Tabletext"/>
              <w:spacing w:line="230" w:lineRule="exact"/>
            </w:pPr>
            <w:r w:rsidRPr="003C15B8">
              <w:t> </w:t>
            </w:r>
          </w:p>
        </w:tc>
        <w:tc>
          <w:tcPr>
            <w:tcW w:w="656" w:type="dxa"/>
            <w:tcBorders>
              <w:top w:val="nil"/>
              <w:left w:val="single" w:sz="4" w:space="0" w:color="FFFFFF" w:themeColor="background1"/>
              <w:bottom w:val="single" w:sz="4" w:space="0" w:color="FFFFFF"/>
              <w:right w:val="single" w:sz="4" w:space="0" w:color="FFFFFF" w:themeColor="background1"/>
            </w:tcBorders>
            <w:shd w:val="clear" w:color="000000" w:fill="F2F2F2"/>
            <w:vAlign w:val="center"/>
            <w:hideMark/>
          </w:tcPr>
          <w:p w14:paraId="281E2DBA" w14:textId="77777777" w:rsidR="00DA4D0A" w:rsidRPr="003C15B8" w:rsidRDefault="00DA4D0A" w:rsidP="009B381B">
            <w:pPr>
              <w:pStyle w:val="Tabletext"/>
              <w:spacing w:line="230" w:lineRule="exact"/>
              <w:jc w:val="center"/>
            </w:pPr>
          </w:p>
        </w:tc>
        <w:tc>
          <w:tcPr>
            <w:tcW w:w="897" w:type="dxa"/>
            <w:tcBorders>
              <w:top w:val="nil"/>
              <w:left w:val="single" w:sz="4" w:space="0" w:color="FFFFFF" w:themeColor="background1"/>
              <w:bottom w:val="single" w:sz="4" w:space="0" w:color="FFFFFF"/>
              <w:right w:val="nil"/>
            </w:tcBorders>
            <w:shd w:val="clear" w:color="000000" w:fill="F2F2F2"/>
            <w:vAlign w:val="center"/>
            <w:hideMark/>
          </w:tcPr>
          <w:p w14:paraId="28CCFEEE" w14:textId="77777777" w:rsidR="00DA4D0A" w:rsidRPr="003C15B8" w:rsidRDefault="00DA4D0A" w:rsidP="009B381B">
            <w:pPr>
              <w:pStyle w:val="Tabletext"/>
              <w:spacing w:line="230" w:lineRule="exact"/>
              <w:jc w:val="center"/>
            </w:pPr>
            <w:r w:rsidRPr="003C15B8">
              <w:t>3.5</w:t>
            </w:r>
          </w:p>
        </w:tc>
        <w:tc>
          <w:tcPr>
            <w:tcW w:w="897" w:type="dxa"/>
            <w:tcBorders>
              <w:top w:val="nil"/>
              <w:left w:val="nil"/>
              <w:bottom w:val="single" w:sz="4" w:space="0" w:color="FFFFFF"/>
              <w:right w:val="nil"/>
            </w:tcBorders>
            <w:shd w:val="clear" w:color="000000" w:fill="F2F2F2"/>
            <w:vAlign w:val="center"/>
            <w:hideMark/>
          </w:tcPr>
          <w:p w14:paraId="5B5CB971" w14:textId="77777777" w:rsidR="00DA4D0A" w:rsidRPr="003C15B8" w:rsidRDefault="00DA4D0A" w:rsidP="009B381B">
            <w:pPr>
              <w:pStyle w:val="Tabletext"/>
              <w:spacing w:line="230" w:lineRule="exact"/>
              <w:jc w:val="center"/>
            </w:pPr>
            <w:r w:rsidRPr="003C15B8">
              <w:t>2.1</w:t>
            </w:r>
          </w:p>
        </w:tc>
        <w:tc>
          <w:tcPr>
            <w:tcW w:w="897" w:type="dxa"/>
            <w:tcBorders>
              <w:top w:val="nil"/>
              <w:left w:val="nil"/>
              <w:bottom w:val="single" w:sz="4" w:space="0" w:color="FFFFFF"/>
              <w:right w:val="nil"/>
            </w:tcBorders>
            <w:shd w:val="clear" w:color="000000" w:fill="F2F2F2"/>
            <w:vAlign w:val="center"/>
            <w:hideMark/>
          </w:tcPr>
          <w:p w14:paraId="0F42FABF" w14:textId="77777777" w:rsidR="00DA4D0A" w:rsidRPr="003C15B8" w:rsidRDefault="00DA4D0A" w:rsidP="009B381B">
            <w:pPr>
              <w:pStyle w:val="Tabletext"/>
              <w:spacing w:line="230" w:lineRule="exact"/>
              <w:jc w:val="center"/>
            </w:pPr>
            <w:r w:rsidRPr="003C15B8">
              <w:t>3.4</w:t>
            </w:r>
          </w:p>
        </w:tc>
        <w:tc>
          <w:tcPr>
            <w:tcW w:w="897" w:type="dxa"/>
            <w:tcBorders>
              <w:top w:val="nil"/>
              <w:left w:val="nil"/>
              <w:bottom w:val="single" w:sz="4" w:space="0" w:color="FFFFFF"/>
              <w:right w:val="nil"/>
            </w:tcBorders>
            <w:shd w:val="clear" w:color="000000" w:fill="F2F2F2"/>
            <w:vAlign w:val="center"/>
            <w:hideMark/>
          </w:tcPr>
          <w:p w14:paraId="179A2AEF" w14:textId="77777777" w:rsidR="00DA4D0A" w:rsidRPr="003C15B8" w:rsidRDefault="00DA4D0A" w:rsidP="009B381B">
            <w:pPr>
              <w:pStyle w:val="Tabletext"/>
              <w:spacing w:line="230" w:lineRule="exact"/>
              <w:jc w:val="center"/>
            </w:pPr>
            <w:r w:rsidRPr="003C15B8">
              <w:t>3.3</w:t>
            </w:r>
          </w:p>
        </w:tc>
      </w:tr>
      <w:tr w:rsidR="00DA4D0A" w:rsidRPr="003C15B8" w14:paraId="65DDB72E" w14:textId="77777777" w:rsidTr="00817900">
        <w:trPr>
          <w:trHeight w:val="284"/>
          <w:jc w:val="center"/>
        </w:trPr>
        <w:tc>
          <w:tcPr>
            <w:tcW w:w="3828" w:type="dxa"/>
            <w:tcBorders>
              <w:top w:val="nil"/>
              <w:left w:val="nil"/>
              <w:bottom w:val="single" w:sz="4" w:space="0" w:color="FFFFFF"/>
              <w:right w:val="single" w:sz="4" w:space="0" w:color="FFFFFF" w:themeColor="background1"/>
            </w:tcBorders>
            <w:shd w:val="clear" w:color="000000" w:fill="D9D9D9"/>
            <w:vAlign w:val="center"/>
            <w:hideMark/>
          </w:tcPr>
          <w:p w14:paraId="613D2889" w14:textId="77777777" w:rsidR="00DA4D0A" w:rsidRPr="003C15B8" w:rsidRDefault="00DA4D0A" w:rsidP="009B381B">
            <w:pPr>
              <w:pStyle w:val="Tabletext"/>
              <w:spacing w:line="230" w:lineRule="exact"/>
            </w:pPr>
            <w:r w:rsidRPr="003C15B8">
              <w:t>14.    p.m. HICP</w:t>
            </w:r>
          </w:p>
        </w:tc>
        <w:tc>
          <w:tcPr>
            <w:tcW w:w="903" w:type="dxa"/>
            <w:tcBorders>
              <w:top w:val="nil"/>
              <w:left w:val="single" w:sz="4" w:space="0" w:color="FFFFFF" w:themeColor="background1"/>
              <w:bottom w:val="single" w:sz="4" w:space="0" w:color="FFFFFF"/>
              <w:right w:val="single" w:sz="4" w:space="0" w:color="FFFFFF" w:themeColor="background1"/>
            </w:tcBorders>
            <w:shd w:val="clear" w:color="000000" w:fill="D9D9D9"/>
            <w:vAlign w:val="center"/>
            <w:hideMark/>
          </w:tcPr>
          <w:p w14:paraId="0248FC58" w14:textId="77777777" w:rsidR="00DA4D0A" w:rsidRPr="003C15B8" w:rsidRDefault="00DA4D0A" w:rsidP="009B381B">
            <w:pPr>
              <w:pStyle w:val="Tabletext"/>
              <w:spacing w:line="230" w:lineRule="exact"/>
            </w:pPr>
            <w:r w:rsidRPr="003C15B8">
              <w:t> </w:t>
            </w:r>
          </w:p>
        </w:tc>
        <w:tc>
          <w:tcPr>
            <w:tcW w:w="656" w:type="dxa"/>
            <w:tcBorders>
              <w:top w:val="nil"/>
              <w:left w:val="single" w:sz="4" w:space="0" w:color="FFFFFF" w:themeColor="background1"/>
              <w:bottom w:val="single" w:sz="4" w:space="0" w:color="FFFFFF"/>
              <w:right w:val="single" w:sz="4" w:space="0" w:color="FFFFFF" w:themeColor="background1"/>
            </w:tcBorders>
            <w:shd w:val="clear" w:color="000000" w:fill="D9D9D9"/>
            <w:vAlign w:val="center"/>
            <w:hideMark/>
          </w:tcPr>
          <w:p w14:paraId="45057703" w14:textId="77777777" w:rsidR="00DA4D0A" w:rsidRPr="003C15B8" w:rsidRDefault="00DA4D0A" w:rsidP="009B381B">
            <w:pPr>
              <w:pStyle w:val="Tabletext"/>
              <w:spacing w:line="230" w:lineRule="exact"/>
              <w:jc w:val="center"/>
            </w:pPr>
          </w:p>
        </w:tc>
        <w:tc>
          <w:tcPr>
            <w:tcW w:w="897" w:type="dxa"/>
            <w:tcBorders>
              <w:top w:val="nil"/>
              <w:left w:val="single" w:sz="4" w:space="0" w:color="FFFFFF" w:themeColor="background1"/>
              <w:bottom w:val="single" w:sz="4" w:space="0" w:color="FFFFFF"/>
              <w:right w:val="nil"/>
            </w:tcBorders>
            <w:shd w:val="clear" w:color="000000" w:fill="D9D9D9"/>
            <w:vAlign w:val="center"/>
            <w:hideMark/>
          </w:tcPr>
          <w:p w14:paraId="7DB38D06" w14:textId="77777777" w:rsidR="00DA4D0A" w:rsidRPr="003C15B8" w:rsidRDefault="00DA4D0A" w:rsidP="009B381B">
            <w:pPr>
              <w:pStyle w:val="Tabletext"/>
              <w:spacing w:line="230" w:lineRule="exact"/>
              <w:jc w:val="center"/>
            </w:pPr>
            <w:r w:rsidRPr="003C15B8">
              <w:t>4.2</w:t>
            </w:r>
          </w:p>
        </w:tc>
        <w:tc>
          <w:tcPr>
            <w:tcW w:w="897" w:type="dxa"/>
            <w:tcBorders>
              <w:top w:val="nil"/>
              <w:left w:val="nil"/>
              <w:bottom w:val="single" w:sz="4" w:space="0" w:color="FFFFFF"/>
              <w:right w:val="nil"/>
            </w:tcBorders>
            <w:shd w:val="clear" w:color="000000" w:fill="D9D9D9"/>
            <w:vAlign w:val="center"/>
            <w:hideMark/>
          </w:tcPr>
          <w:p w14:paraId="6C361557" w14:textId="77777777" w:rsidR="00DA4D0A" w:rsidRPr="003C15B8" w:rsidRDefault="00DA4D0A" w:rsidP="009B381B">
            <w:pPr>
              <w:pStyle w:val="Tabletext"/>
              <w:spacing w:line="230" w:lineRule="exact"/>
              <w:jc w:val="center"/>
            </w:pPr>
            <w:r w:rsidRPr="003C15B8">
              <w:t>3.0</w:t>
            </w:r>
          </w:p>
        </w:tc>
        <w:tc>
          <w:tcPr>
            <w:tcW w:w="897" w:type="dxa"/>
            <w:tcBorders>
              <w:top w:val="nil"/>
              <w:left w:val="nil"/>
              <w:bottom w:val="single" w:sz="4" w:space="0" w:color="FFFFFF"/>
              <w:right w:val="nil"/>
            </w:tcBorders>
            <w:shd w:val="clear" w:color="000000" w:fill="D9D9D9"/>
            <w:vAlign w:val="center"/>
            <w:hideMark/>
          </w:tcPr>
          <w:p w14:paraId="71DD95AD" w14:textId="77777777" w:rsidR="00DA4D0A" w:rsidRPr="003C15B8" w:rsidRDefault="00DA4D0A" w:rsidP="009B381B">
            <w:pPr>
              <w:pStyle w:val="Tabletext"/>
              <w:spacing w:line="230" w:lineRule="exact"/>
              <w:jc w:val="center"/>
            </w:pPr>
            <w:r w:rsidRPr="003C15B8">
              <w:t>2.9</w:t>
            </w:r>
          </w:p>
        </w:tc>
        <w:tc>
          <w:tcPr>
            <w:tcW w:w="897" w:type="dxa"/>
            <w:tcBorders>
              <w:top w:val="nil"/>
              <w:left w:val="nil"/>
              <w:bottom w:val="single" w:sz="4" w:space="0" w:color="FFFFFF"/>
              <w:right w:val="nil"/>
            </w:tcBorders>
            <w:shd w:val="clear" w:color="000000" w:fill="D9D9D9"/>
            <w:vAlign w:val="center"/>
            <w:hideMark/>
          </w:tcPr>
          <w:p w14:paraId="5CC3FD6A" w14:textId="77777777" w:rsidR="00DA4D0A" w:rsidRPr="003C15B8" w:rsidRDefault="00DA4D0A" w:rsidP="009B381B">
            <w:pPr>
              <w:pStyle w:val="Tabletext"/>
              <w:spacing w:line="230" w:lineRule="exact"/>
              <w:jc w:val="center"/>
            </w:pPr>
            <w:r w:rsidRPr="003C15B8">
              <w:t>3.2</w:t>
            </w:r>
          </w:p>
        </w:tc>
      </w:tr>
      <w:tr w:rsidR="00DA4D0A" w:rsidRPr="003C15B8" w14:paraId="29B279CA" w14:textId="77777777" w:rsidTr="00817900">
        <w:trPr>
          <w:trHeight w:val="284"/>
          <w:jc w:val="center"/>
        </w:trPr>
        <w:tc>
          <w:tcPr>
            <w:tcW w:w="3828" w:type="dxa"/>
            <w:tcBorders>
              <w:top w:val="nil"/>
              <w:left w:val="nil"/>
              <w:bottom w:val="single" w:sz="4" w:space="0" w:color="FFFFFF"/>
              <w:right w:val="single" w:sz="4" w:space="0" w:color="FFFFFF" w:themeColor="background1"/>
            </w:tcBorders>
            <w:shd w:val="clear" w:color="000000" w:fill="F2F2F2"/>
            <w:vAlign w:val="center"/>
            <w:hideMark/>
          </w:tcPr>
          <w:p w14:paraId="05C93A3A" w14:textId="77777777" w:rsidR="00DA4D0A" w:rsidRPr="003C15B8" w:rsidRDefault="00DA4D0A" w:rsidP="009B381B">
            <w:pPr>
              <w:pStyle w:val="Tabletext"/>
              <w:spacing w:line="230" w:lineRule="exact"/>
            </w:pPr>
            <w:r w:rsidRPr="003C15B8">
              <w:t>15. Government consumption deflator</w:t>
            </w:r>
          </w:p>
        </w:tc>
        <w:tc>
          <w:tcPr>
            <w:tcW w:w="903" w:type="dxa"/>
            <w:tcBorders>
              <w:top w:val="nil"/>
              <w:left w:val="single" w:sz="4" w:space="0" w:color="FFFFFF" w:themeColor="background1"/>
              <w:bottom w:val="single" w:sz="4" w:space="0" w:color="FFFFFF"/>
              <w:right w:val="single" w:sz="4" w:space="0" w:color="FFFFFF" w:themeColor="background1"/>
            </w:tcBorders>
            <w:shd w:val="clear" w:color="000000" w:fill="F2F2F2"/>
            <w:vAlign w:val="center"/>
            <w:hideMark/>
          </w:tcPr>
          <w:p w14:paraId="13CB86BC" w14:textId="77777777" w:rsidR="00DA4D0A" w:rsidRPr="003C15B8" w:rsidRDefault="00DA4D0A" w:rsidP="009B381B">
            <w:pPr>
              <w:pStyle w:val="Tabletext"/>
              <w:spacing w:line="230" w:lineRule="exact"/>
            </w:pPr>
            <w:r w:rsidRPr="003C15B8">
              <w:t> </w:t>
            </w:r>
          </w:p>
        </w:tc>
        <w:tc>
          <w:tcPr>
            <w:tcW w:w="656" w:type="dxa"/>
            <w:tcBorders>
              <w:top w:val="nil"/>
              <w:left w:val="single" w:sz="4" w:space="0" w:color="FFFFFF" w:themeColor="background1"/>
              <w:bottom w:val="single" w:sz="4" w:space="0" w:color="FFFFFF"/>
              <w:right w:val="single" w:sz="4" w:space="0" w:color="FFFFFF" w:themeColor="background1"/>
            </w:tcBorders>
            <w:shd w:val="clear" w:color="000000" w:fill="F2F2F2"/>
            <w:vAlign w:val="center"/>
            <w:hideMark/>
          </w:tcPr>
          <w:p w14:paraId="01FC8E9A" w14:textId="77777777" w:rsidR="00DA4D0A" w:rsidRPr="003C15B8" w:rsidRDefault="00DA4D0A" w:rsidP="009B381B">
            <w:pPr>
              <w:pStyle w:val="Tabletext"/>
              <w:spacing w:line="230" w:lineRule="exact"/>
              <w:jc w:val="center"/>
            </w:pPr>
          </w:p>
        </w:tc>
        <w:tc>
          <w:tcPr>
            <w:tcW w:w="897" w:type="dxa"/>
            <w:tcBorders>
              <w:top w:val="nil"/>
              <w:left w:val="single" w:sz="4" w:space="0" w:color="FFFFFF" w:themeColor="background1"/>
              <w:bottom w:val="single" w:sz="4" w:space="0" w:color="FFFFFF"/>
              <w:right w:val="nil"/>
            </w:tcBorders>
            <w:shd w:val="clear" w:color="000000" w:fill="F2F2F2"/>
            <w:vAlign w:val="center"/>
            <w:hideMark/>
          </w:tcPr>
          <w:p w14:paraId="50F7552E" w14:textId="77777777" w:rsidR="00DA4D0A" w:rsidRPr="003C15B8" w:rsidRDefault="00DA4D0A" w:rsidP="009B381B">
            <w:pPr>
              <w:pStyle w:val="Tabletext"/>
              <w:spacing w:line="230" w:lineRule="exact"/>
              <w:jc w:val="center"/>
            </w:pPr>
            <w:r w:rsidRPr="003C15B8">
              <w:t>3.2</w:t>
            </w:r>
          </w:p>
        </w:tc>
        <w:tc>
          <w:tcPr>
            <w:tcW w:w="897" w:type="dxa"/>
            <w:tcBorders>
              <w:top w:val="nil"/>
              <w:left w:val="nil"/>
              <w:bottom w:val="single" w:sz="4" w:space="0" w:color="FFFFFF"/>
              <w:right w:val="nil"/>
            </w:tcBorders>
            <w:shd w:val="clear" w:color="000000" w:fill="F2F2F2"/>
            <w:vAlign w:val="center"/>
            <w:hideMark/>
          </w:tcPr>
          <w:p w14:paraId="3B8B9823" w14:textId="77777777" w:rsidR="00DA4D0A" w:rsidRPr="003C15B8" w:rsidRDefault="00DA4D0A" w:rsidP="009B381B">
            <w:pPr>
              <w:pStyle w:val="Tabletext"/>
              <w:spacing w:line="230" w:lineRule="exact"/>
              <w:jc w:val="center"/>
            </w:pPr>
            <w:r w:rsidRPr="003C15B8">
              <w:t>3.4</w:t>
            </w:r>
          </w:p>
        </w:tc>
        <w:tc>
          <w:tcPr>
            <w:tcW w:w="897" w:type="dxa"/>
            <w:tcBorders>
              <w:top w:val="nil"/>
              <w:left w:val="nil"/>
              <w:bottom w:val="single" w:sz="4" w:space="0" w:color="FFFFFF"/>
              <w:right w:val="nil"/>
            </w:tcBorders>
            <w:shd w:val="clear" w:color="000000" w:fill="F2F2F2"/>
            <w:vAlign w:val="center"/>
            <w:hideMark/>
          </w:tcPr>
          <w:p w14:paraId="755839B3" w14:textId="77777777" w:rsidR="00DA4D0A" w:rsidRPr="003C15B8" w:rsidRDefault="00DA4D0A" w:rsidP="009B381B">
            <w:pPr>
              <w:pStyle w:val="Tabletext"/>
              <w:spacing w:line="230" w:lineRule="exact"/>
              <w:jc w:val="center"/>
            </w:pPr>
            <w:r w:rsidRPr="003C15B8">
              <w:t>2.6</w:t>
            </w:r>
          </w:p>
        </w:tc>
        <w:tc>
          <w:tcPr>
            <w:tcW w:w="897" w:type="dxa"/>
            <w:tcBorders>
              <w:top w:val="nil"/>
              <w:left w:val="nil"/>
              <w:bottom w:val="single" w:sz="4" w:space="0" w:color="FFFFFF"/>
              <w:right w:val="nil"/>
            </w:tcBorders>
            <w:shd w:val="clear" w:color="000000" w:fill="F2F2F2"/>
            <w:vAlign w:val="center"/>
            <w:hideMark/>
          </w:tcPr>
          <w:p w14:paraId="54AA70B4" w14:textId="77777777" w:rsidR="00DA4D0A" w:rsidRPr="003C15B8" w:rsidRDefault="00DA4D0A" w:rsidP="009B381B">
            <w:pPr>
              <w:pStyle w:val="Tabletext"/>
              <w:spacing w:line="230" w:lineRule="exact"/>
              <w:jc w:val="center"/>
            </w:pPr>
            <w:r w:rsidRPr="003C15B8">
              <w:t>3.0</w:t>
            </w:r>
          </w:p>
        </w:tc>
      </w:tr>
      <w:tr w:rsidR="00DA4D0A" w:rsidRPr="003C15B8" w14:paraId="101F4A36" w14:textId="77777777" w:rsidTr="00817900">
        <w:trPr>
          <w:trHeight w:val="284"/>
          <w:jc w:val="center"/>
        </w:trPr>
        <w:tc>
          <w:tcPr>
            <w:tcW w:w="3828" w:type="dxa"/>
            <w:tcBorders>
              <w:top w:val="nil"/>
              <w:left w:val="nil"/>
              <w:bottom w:val="single" w:sz="4" w:space="0" w:color="FFFFFF"/>
              <w:right w:val="single" w:sz="4" w:space="0" w:color="FFFFFF" w:themeColor="background1"/>
            </w:tcBorders>
            <w:shd w:val="clear" w:color="000000" w:fill="D9D9D9"/>
            <w:vAlign w:val="center"/>
            <w:hideMark/>
          </w:tcPr>
          <w:p w14:paraId="3EF71067" w14:textId="77777777" w:rsidR="00DA4D0A" w:rsidRPr="003C15B8" w:rsidRDefault="00DA4D0A" w:rsidP="009B381B">
            <w:pPr>
              <w:pStyle w:val="Tabletext"/>
              <w:spacing w:line="230" w:lineRule="exact"/>
            </w:pPr>
            <w:r w:rsidRPr="003C15B8">
              <w:t>16. Investment deflator</w:t>
            </w:r>
          </w:p>
        </w:tc>
        <w:tc>
          <w:tcPr>
            <w:tcW w:w="903" w:type="dxa"/>
            <w:tcBorders>
              <w:top w:val="nil"/>
              <w:left w:val="single" w:sz="4" w:space="0" w:color="FFFFFF" w:themeColor="background1"/>
              <w:bottom w:val="single" w:sz="4" w:space="0" w:color="FFFFFF"/>
              <w:right w:val="single" w:sz="4" w:space="0" w:color="FFFFFF" w:themeColor="background1"/>
            </w:tcBorders>
            <w:shd w:val="clear" w:color="000000" w:fill="D9D9D9"/>
            <w:vAlign w:val="center"/>
            <w:hideMark/>
          </w:tcPr>
          <w:p w14:paraId="273D06FA" w14:textId="77777777" w:rsidR="00DA4D0A" w:rsidRPr="003C15B8" w:rsidRDefault="00DA4D0A" w:rsidP="009B381B">
            <w:pPr>
              <w:pStyle w:val="Tabletext"/>
              <w:spacing w:line="230" w:lineRule="exact"/>
            </w:pPr>
            <w:r w:rsidRPr="003C15B8">
              <w:t> </w:t>
            </w:r>
          </w:p>
        </w:tc>
        <w:tc>
          <w:tcPr>
            <w:tcW w:w="656" w:type="dxa"/>
            <w:tcBorders>
              <w:top w:val="nil"/>
              <w:left w:val="single" w:sz="4" w:space="0" w:color="FFFFFF" w:themeColor="background1"/>
              <w:bottom w:val="single" w:sz="4" w:space="0" w:color="FFFFFF"/>
              <w:right w:val="single" w:sz="4" w:space="0" w:color="FFFFFF" w:themeColor="background1"/>
            </w:tcBorders>
            <w:shd w:val="clear" w:color="000000" w:fill="D9D9D9"/>
            <w:vAlign w:val="center"/>
            <w:hideMark/>
          </w:tcPr>
          <w:p w14:paraId="6B416A34" w14:textId="77777777" w:rsidR="00DA4D0A" w:rsidRPr="003C15B8" w:rsidRDefault="00DA4D0A" w:rsidP="009B381B">
            <w:pPr>
              <w:pStyle w:val="Tabletext"/>
              <w:spacing w:line="230" w:lineRule="exact"/>
              <w:jc w:val="center"/>
            </w:pPr>
          </w:p>
        </w:tc>
        <w:tc>
          <w:tcPr>
            <w:tcW w:w="897" w:type="dxa"/>
            <w:tcBorders>
              <w:top w:val="nil"/>
              <w:left w:val="single" w:sz="4" w:space="0" w:color="FFFFFF" w:themeColor="background1"/>
              <w:bottom w:val="single" w:sz="4" w:space="0" w:color="FFFFFF"/>
              <w:right w:val="nil"/>
            </w:tcBorders>
            <w:shd w:val="clear" w:color="000000" w:fill="D9D9D9"/>
            <w:vAlign w:val="center"/>
            <w:hideMark/>
          </w:tcPr>
          <w:p w14:paraId="47942E5F" w14:textId="77777777" w:rsidR="00DA4D0A" w:rsidRPr="003C15B8" w:rsidRDefault="00DA4D0A" w:rsidP="009B381B">
            <w:pPr>
              <w:pStyle w:val="Tabletext"/>
              <w:spacing w:line="230" w:lineRule="exact"/>
              <w:jc w:val="center"/>
            </w:pPr>
            <w:r w:rsidRPr="003C15B8">
              <w:t>2.9</w:t>
            </w:r>
          </w:p>
        </w:tc>
        <w:tc>
          <w:tcPr>
            <w:tcW w:w="897" w:type="dxa"/>
            <w:tcBorders>
              <w:top w:val="nil"/>
              <w:left w:val="nil"/>
              <w:bottom w:val="single" w:sz="4" w:space="0" w:color="FFFFFF"/>
              <w:right w:val="nil"/>
            </w:tcBorders>
            <w:shd w:val="clear" w:color="000000" w:fill="D9D9D9"/>
            <w:vAlign w:val="center"/>
            <w:hideMark/>
          </w:tcPr>
          <w:p w14:paraId="1AC3D87E" w14:textId="77777777" w:rsidR="00DA4D0A" w:rsidRPr="003C15B8" w:rsidRDefault="00DA4D0A" w:rsidP="009B381B">
            <w:pPr>
              <w:pStyle w:val="Tabletext"/>
              <w:spacing w:line="230" w:lineRule="exact"/>
              <w:jc w:val="center"/>
            </w:pPr>
            <w:r w:rsidRPr="003C15B8">
              <w:t>1.9</w:t>
            </w:r>
          </w:p>
        </w:tc>
        <w:tc>
          <w:tcPr>
            <w:tcW w:w="897" w:type="dxa"/>
            <w:tcBorders>
              <w:top w:val="nil"/>
              <w:left w:val="nil"/>
              <w:bottom w:val="single" w:sz="4" w:space="0" w:color="FFFFFF"/>
              <w:right w:val="nil"/>
            </w:tcBorders>
            <w:shd w:val="clear" w:color="000000" w:fill="D9D9D9"/>
            <w:vAlign w:val="center"/>
            <w:hideMark/>
          </w:tcPr>
          <w:p w14:paraId="6655156A" w14:textId="77777777" w:rsidR="00DA4D0A" w:rsidRPr="003C15B8" w:rsidRDefault="00DA4D0A" w:rsidP="009B381B">
            <w:pPr>
              <w:pStyle w:val="Tabletext"/>
              <w:spacing w:line="230" w:lineRule="exact"/>
              <w:jc w:val="center"/>
            </w:pPr>
            <w:r w:rsidRPr="003C15B8">
              <w:t>1.4</w:t>
            </w:r>
          </w:p>
        </w:tc>
        <w:tc>
          <w:tcPr>
            <w:tcW w:w="897" w:type="dxa"/>
            <w:tcBorders>
              <w:top w:val="nil"/>
              <w:left w:val="nil"/>
              <w:bottom w:val="single" w:sz="4" w:space="0" w:color="FFFFFF"/>
              <w:right w:val="nil"/>
            </w:tcBorders>
            <w:shd w:val="clear" w:color="000000" w:fill="D9D9D9"/>
            <w:vAlign w:val="center"/>
            <w:hideMark/>
          </w:tcPr>
          <w:p w14:paraId="692373D3" w14:textId="77777777" w:rsidR="00DA4D0A" w:rsidRPr="003C15B8" w:rsidRDefault="00DA4D0A" w:rsidP="009B381B">
            <w:pPr>
              <w:pStyle w:val="Tabletext"/>
              <w:spacing w:line="230" w:lineRule="exact"/>
              <w:jc w:val="center"/>
            </w:pPr>
            <w:r w:rsidRPr="003C15B8">
              <w:t>3.2</w:t>
            </w:r>
          </w:p>
        </w:tc>
      </w:tr>
      <w:tr w:rsidR="00DA4D0A" w:rsidRPr="003C15B8" w14:paraId="6697371F" w14:textId="77777777" w:rsidTr="00817900">
        <w:trPr>
          <w:trHeight w:val="284"/>
          <w:jc w:val="center"/>
        </w:trPr>
        <w:tc>
          <w:tcPr>
            <w:tcW w:w="3828" w:type="dxa"/>
            <w:tcBorders>
              <w:top w:val="nil"/>
              <w:left w:val="nil"/>
              <w:bottom w:val="single" w:sz="4" w:space="0" w:color="FFFFFF"/>
              <w:right w:val="single" w:sz="4" w:space="0" w:color="FFFFFF" w:themeColor="background1"/>
            </w:tcBorders>
            <w:shd w:val="clear" w:color="000000" w:fill="F2F2F2"/>
            <w:vAlign w:val="center"/>
            <w:hideMark/>
          </w:tcPr>
          <w:p w14:paraId="1B6EA3F4" w14:textId="77777777" w:rsidR="00DA4D0A" w:rsidRPr="003C15B8" w:rsidRDefault="00DA4D0A" w:rsidP="009B381B">
            <w:pPr>
              <w:pStyle w:val="Tabletext"/>
              <w:spacing w:line="230" w:lineRule="exact"/>
            </w:pPr>
            <w:r w:rsidRPr="003C15B8">
              <w:t xml:space="preserve">17. Export price deflator </w:t>
            </w:r>
            <w:r>
              <w:br/>
            </w:r>
            <w:r w:rsidRPr="003C15B8">
              <w:t>(goods and services)</w:t>
            </w:r>
          </w:p>
        </w:tc>
        <w:tc>
          <w:tcPr>
            <w:tcW w:w="903" w:type="dxa"/>
            <w:tcBorders>
              <w:top w:val="nil"/>
              <w:left w:val="single" w:sz="4" w:space="0" w:color="FFFFFF" w:themeColor="background1"/>
              <w:bottom w:val="single" w:sz="4" w:space="0" w:color="FFFFFF"/>
              <w:right w:val="single" w:sz="4" w:space="0" w:color="FFFFFF" w:themeColor="background1"/>
            </w:tcBorders>
            <w:shd w:val="clear" w:color="000000" w:fill="F2F2F2"/>
            <w:vAlign w:val="center"/>
            <w:hideMark/>
          </w:tcPr>
          <w:p w14:paraId="7E94932A" w14:textId="77777777" w:rsidR="00DA4D0A" w:rsidRPr="003C15B8" w:rsidRDefault="00DA4D0A" w:rsidP="009B381B">
            <w:pPr>
              <w:pStyle w:val="Tabletext"/>
              <w:spacing w:line="230" w:lineRule="exact"/>
            </w:pPr>
            <w:r w:rsidRPr="003C15B8">
              <w:t> </w:t>
            </w:r>
          </w:p>
        </w:tc>
        <w:tc>
          <w:tcPr>
            <w:tcW w:w="656" w:type="dxa"/>
            <w:tcBorders>
              <w:top w:val="nil"/>
              <w:left w:val="single" w:sz="4" w:space="0" w:color="FFFFFF" w:themeColor="background1"/>
              <w:bottom w:val="single" w:sz="4" w:space="0" w:color="FFFFFF"/>
              <w:right w:val="single" w:sz="4" w:space="0" w:color="FFFFFF" w:themeColor="background1"/>
            </w:tcBorders>
            <w:shd w:val="clear" w:color="000000" w:fill="F2F2F2"/>
            <w:vAlign w:val="center"/>
            <w:hideMark/>
          </w:tcPr>
          <w:p w14:paraId="24DEB60F" w14:textId="77777777" w:rsidR="00DA4D0A" w:rsidRPr="003C15B8" w:rsidRDefault="00DA4D0A" w:rsidP="009B381B">
            <w:pPr>
              <w:pStyle w:val="Tabletext"/>
              <w:spacing w:line="230" w:lineRule="exact"/>
              <w:jc w:val="center"/>
            </w:pPr>
          </w:p>
        </w:tc>
        <w:tc>
          <w:tcPr>
            <w:tcW w:w="897" w:type="dxa"/>
            <w:tcBorders>
              <w:top w:val="nil"/>
              <w:left w:val="single" w:sz="4" w:space="0" w:color="FFFFFF" w:themeColor="background1"/>
              <w:bottom w:val="single" w:sz="4" w:space="0" w:color="FFFFFF"/>
              <w:right w:val="nil"/>
            </w:tcBorders>
            <w:shd w:val="clear" w:color="000000" w:fill="F2F2F2"/>
            <w:vAlign w:val="center"/>
            <w:hideMark/>
          </w:tcPr>
          <w:p w14:paraId="0EFB2469" w14:textId="77777777" w:rsidR="00DA4D0A" w:rsidRPr="003C15B8" w:rsidRDefault="00DA4D0A" w:rsidP="009B381B">
            <w:pPr>
              <w:pStyle w:val="Tabletext"/>
              <w:spacing w:line="230" w:lineRule="exact"/>
              <w:jc w:val="center"/>
            </w:pPr>
            <w:r w:rsidRPr="003C15B8">
              <w:t>-5.4</w:t>
            </w:r>
          </w:p>
        </w:tc>
        <w:tc>
          <w:tcPr>
            <w:tcW w:w="897" w:type="dxa"/>
            <w:tcBorders>
              <w:top w:val="nil"/>
              <w:left w:val="nil"/>
              <w:bottom w:val="single" w:sz="4" w:space="0" w:color="FFFFFF"/>
              <w:right w:val="nil"/>
            </w:tcBorders>
            <w:shd w:val="clear" w:color="000000" w:fill="F2F2F2"/>
            <w:vAlign w:val="center"/>
            <w:hideMark/>
          </w:tcPr>
          <w:p w14:paraId="53B08425" w14:textId="77777777" w:rsidR="00DA4D0A" w:rsidRPr="003C15B8" w:rsidRDefault="00DA4D0A" w:rsidP="009B381B">
            <w:pPr>
              <w:pStyle w:val="Tabletext"/>
              <w:spacing w:line="230" w:lineRule="exact"/>
              <w:jc w:val="center"/>
            </w:pPr>
            <w:r w:rsidRPr="003C15B8">
              <w:t>0.2</w:t>
            </w:r>
          </w:p>
        </w:tc>
        <w:tc>
          <w:tcPr>
            <w:tcW w:w="897" w:type="dxa"/>
            <w:tcBorders>
              <w:top w:val="nil"/>
              <w:left w:val="nil"/>
              <w:bottom w:val="single" w:sz="4" w:space="0" w:color="FFFFFF"/>
              <w:right w:val="nil"/>
            </w:tcBorders>
            <w:shd w:val="clear" w:color="000000" w:fill="F2F2F2"/>
            <w:vAlign w:val="center"/>
            <w:hideMark/>
          </w:tcPr>
          <w:p w14:paraId="35CA5B87" w14:textId="77777777" w:rsidR="00DA4D0A" w:rsidRPr="003C15B8" w:rsidRDefault="00DA4D0A" w:rsidP="009B381B">
            <w:pPr>
              <w:pStyle w:val="Tabletext"/>
              <w:spacing w:line="230" w:lineRule="exact"/>
              <w:jc w:val="center"/>
            </w:pPr>
            <w:r w:rsidRPr="003C15B8">
              <w:t>-3.3</w:t>
            </w:r>
          </w:p>
        </w:tc>
        <w:tc>
          <w:tcPr>
            <w:tcW w:w="897" w:type="dxa"/>
            <w:tcBorders>
              <w:top w:val="nil"/>
              <w:left w:val="nil"/>
              <w:bottom w:val="single" w:sz="4" w:space="0" w:color="FFFFFF"/>
              <w:right w:val="nil"/>
            </w:tcBorders>
            <w:shd w:val="clear" w:color="000000" w:fill="F2F2F2"/>
            <w:vAlign w:val="center"/>
            <w:hideMark/>
          </w:tcPr>
          <w:p w14:paraId="2F262CF3" w14:textId="77777777" w:rsidR="00DA4D0A" w:rsidRPr="003C15B8" w:rsidRDefault="00DA4D0A" w:rsidP="009B381B">
            <w:pPr>
              <w:pStyle w:val="Tabletext"/>
              <w:spacing w:line="230" w:lineRule="exact"/>
              <w:jc w:val="center"/>
            </w:pPr>
            <w:r w:rsidRPr="003C15B8">
              <w:t>2.1</w:t>
            </w:r>
          </w:p>
        </w:tc>
      </w:tr>
      <w:tr w:rsidR="00DA4D0A" w:rsidRPr="003C15B8" w14:paraId="1225AF8E" w14:textId="77777777" w:rsidTr="00817900">
        <w:trPr>
          <w:trHeight w:val="284"/>
          <w:jc w:val="center"/>
        </w:trPr>
        <w:tc>
          <w:tcPr>
            <w:tcW w:w="3828" w:type="dxa"/>
            <w:tcBorders>
              <w:top w:val="nil"/>
              <w:left w:val="nil"/>
              <w:bottom w:val="single" w:sz="4" w:space="0" w:color="FFFFFF"/>
              <w:right w:val="single" w:sz="4" w:space="0" w:color="FFFFFF" w:themeColor="background1"/>
            </w:tcBorders>
            <w:shd w:val="clear" w:color="000000" w:fill="D9D9D9"/>
            <w:vAlign w:val="center"/>
            <w:hideMark/>
          </w:tcPr>
          <w:p w14:paraId="522AA017" w14:textId="77777777" w:rsidR="00DA4D0A" w:rsidRPr="003C15B8" w:rsidRDefault="00DA4D0A" w:rsidP="009B381B">
            <w:pPr>
              <w:pStyle w:val="Tabletext"/>
              <w:spacing w:line="230" w:lineRule="exact"/>
            </w:pPr>
            <w:r w:rsidRPr="003C15B8">
              <w:t xml:space="preserve">18. Import price deflator </w:t>
            </w:r>
            <w:r>
              <w:br/>
            </w:r>
            <w:r w:rsidRPr="003C15B8">
              <w:t>(goods and services)</w:t>
            </w:r>
          </w:p>
        </w:tc>
        <w:tc>
          <w:tcPr>
            <w:tcW w:w="903" w:type="dxa"/>
            <w:tcBorders>
              <w:top w:val="nil"/>
              <w:left w:val="single" w:sz="4" w:space="0" w:color="FFFFFF" w:themeColor="background1"/>
              <w:bottom w:val="single" w:sz="4" w:space="0" w:color="FFFFFF"/>
              <w:right w:val="single" w:sz="4" w:space="0" w:color="FFFFFF" w:themeColor="background1"/>
            </w:tcBorders>
            <w:shd w:val="clear" w:color="000000" w:fill="D9D9D9"/>
            <w:vAlign w:val="center"/>
            <w:hideMark/>
          </w:tcPr>
          <w:p w14:paraId="484C678C" w14:textId="77777777" w:rsidR="00DA4D0A" w:rsidRPr="003C15B8" w:rsidRDefault="00DA4D0A" w:rsidP="009B381B">
            <w:pPr>
              <w:pStyle w:val="Tabletext"/>
              <w:spacing w:line="230" w:lineRule="exact"/>
            </w:pPr>
            <w:r w:rsidRPr="003C15B8">
              <w:t> </w:t>
            </w:r>
          </w:p>
        </w:tc>
        <w:tc>
          <w:tcPr>
            <w:tcW w:w="656" w:type="dxa"/>
            <w:tcBorders>
              <w:top w:val="nil"/>
              <w:left w:val="single" w:sz="4" w:space="0" w:color="FFFFFF" w:themeColor="background1"/>
              <w:bottom w:val="single" w:sz="4" w:space="0" w:color="FFFFFF"/>
              <w:right w:val="single" w:sz="4" w:space="0" w:color="FFFFFF" w:themeColor="background1"/>
            </w:tcBorders>
            <w:shd w:val="clear" w:color="000000" w:fill="D9D9D9"/>
            <w:vAlign w:val="center"/>
            <w:hideMark/>
          </w:tcPr>
          <w:p w14:paraId="362D53DB" w14:textId="77777777" w:rsidR="00DA4D0A" w:rsidRPr="003C15B8" w:rsidRDefault="00DA4D0A" w:rsidP="009B381B">
            <w:pPr>
              <w:pStyle w:val="Tabletext"/>
              <w:spacing w:line="230" w:lineRule="exact"/>
              <w:jc w:val="center"/>
            </w:pPr>
          </w:p>
        </w:tc>
        <w:tc>
          <w:tcPr>
            <w:tcW w:w="897" w:type="dxa"/>
            <w:tcBorders>
              <w:top w:val="nil"/>
              <w:left w:val="single" w:sz="4" w:space="0" w:color="FFFFFF" w:themeColor="background1"/>
              <w:bottom w:val="single" w:sz="4" w:space="0" w:color="FFFFFF"/>
              <w:right w:val="nil"/>
            </w:tcBorders>
            <w:shd w:val="clear" w:color="000000" w:fill="D9D9D9"/>
            <w:vAlign w:val="center"/>
            <w:hideMark/>
          </w:tcPr>
          <w:p w14:paraId="03F6C4EA" w14:textId="77777777" w:rsidR="00DA4D0A" w:rsidRPr="003C15B8" w:rsidRDefault="00DA4D0A" w:rsidP="009B381B">
            <w:pPr>
              <w:pStyle w:val="Tabletext"/>
              <w:spacing w:line="230" w:lineRule="exact"/>
              <w:jc w:val="center"/>
            </w:pPr>
            <w:r w:rsidRPr="003C15B8">
              <w:t>-10.4</w:t>
            </w:r>
          </w:p>
        </w:tc>
        <w:tc>
          <w:tcPr>
            <w:tcW w:w="897" w:type="dxa"/>
            <w:tcBorders>
              <w:top w:val="nil"/>
              <w:left w:val="nil"/>
              <w:bottom w:val="single" w:sz="4" w:space="0" w:color="FFFFFF"/>
              <w:right w:val="nil"/>
            </w:tcBorders>
            <w:shd w:val="clear" w:color="000000" w:fill="D9D9D9"/>
            <w:vAlign w:val="center"/>
            <w:hideMark/>
          </w:tcPr>
          <w:p w14:paraId="2CECFC02" w14:textId="77777777" w:rsidR="00DA4D0A" w:rsidRPr="003C15B8" w:rsidRDefault="00DA4D0A" w:rsidP="009B381B">
            <w:pPr>
              <w:pStyle w:val="Tabletext"/>
              <w:spacing w:line="230" w:lineRule="exact"/>
              <w:jc w:val="center"/>
            </w:pPr>
            <w:r w:rsidRPr="003C15B8">
              <w:t>-1.4</w:t>
            </w:r>
          </w:p>
        </w:tc>
        <w:tc>
          <w:tcPr>
            <w:tcW w:w="897" w:type="dxa"/>
            <w:tcBorders>
              <w:top w:val="nil"/>
              <w:left w:val="nil"/>
              <w:bottom w:val="single" w:sz="4" w:space="0" w:color="FFFFFF"/>
              <w:right w:val="nil"/>
            </w:tcBorders>
            <w:shd w:val="clear" w:color="000000" w:fill="D9D9D9"/>
            <w:vAlign w:val="center"/>
            <w:hideMark/>
          </w:tcPr>
          <w:p w14:paraId="1A8C98A5" w14:textId="77777777" w:rsidR="00DA4D0A" w:rsidRPr="003C15B8" w:rsidRDefault="00DA4D0A" w:rsidP="009B381B">
            <w:pPr>
              <w:pStyle w:val="Tabletext"/>
              <w:spacing w:line="230" w:lineRule="exact"/>
              <w:jc w:val="center"/>
            </w:pPr>
            <w:r w:rsidRPr="003C15B8">
              <w:t>-1.9</w:t>
            </w:r>
          </w:p>
        </w:tc>
        <w:tc>
          <w:tcPr>
            <w:tcW w:w="897" w:type="dxa"/>
            <w:tcBorders>
              <w:top w:val="nil"/>
              <w:left w:val="nil"/>
              <w:bottom w:val="single" w:sz="4" w:space="0" w:color="FFFFFF"/>
              <w:right w:val="nil"/>
            </w:tcBorders>
            <w:shd w:val="clear" w:color="000000" w:fill="D9D9D9"/>
            <w:vAlign w:val="center"/>
            <w:hideMark/>
          </w:tcPr>
          <w:p w14:paraId="1EC8A319" w14:textId="77777777" w:rsidR="00DA4D0A" w:rsidRPr="003C15B8" w:rsidRDefault="00DA4D0A" w:rsidP="009B381B">
            <w:pPr>
              <w:pStyle w:val="Tabletext"/>
              <w:spacing w:line="230" w:lineRule="exact"/>
              <w:jc w:val="center"/>
            </w:pPr>
            <w:r w:rsidRPr="003C15B8">
              <w:t>2.5</w:t>
            </w:r>
          </w:p>
        </w:tc>
      </w:tr>
      <w:tr w:rsidR="00DA4D0A" w:rsidRPr="003C15B8" w14:paraId="00E5DAE9" w14:textId="77777777" w:rsidTr="00817900">
        <w:trPr>
          <w:trHeight w:val="284"/>
          <w:jc w:val="center"/>
        </w:trPr>
        <w:tc>
          <w:tcPr>
            <w:tcW w:w="3828" w:type="dxa"/>
            <w:tcBorders>
              <w:top w:val="nil"/>
              <w:left w:val="nil"/>
              <w:bottom w:val="nil"/>
              <w:right w:val="single" w:sz="4" w:space="0" w:color="FFFFFF" w:themeColor="background1"/>
            </w:tcBorders>
            <w:shd w:val="clear" w:color="000000" w:fill="D6DCE4"/>
            <w:vAlign w:val="center"/>
            <w:hideMark/>
          </w:tcPr>
          <w:p w14:paraId="4ACC9A46" w14:textId="77777777" w:rsidR="00DA4D0A" w:rsidRPr="003C15B8" w:rsidRDefault="00DA4D0A" w:rsidP="009B381B">
            <w:pPr>
              <w:pStyle w:val="Tabletext"/>
              <w:spacing w:line="230" w:lineRule="exact"/>
              <w:rPr>
                <w:b/>
              </w:rPr>
            </w:pPr>
            <w:r w:rsidRPr="003C15B8">
              <w:rPr>
                <w:b/>
              </w:rPr>
              <w:t>Labour market</w:t>
            </w:r>
          </w:p>
        </w:tc>
        <w:tc>
          <w:tcPr>
            <w:tcW w:w="903" w:type="dxa"/>
            <w:tcBorders>
              <w:top w:val="nil"/>
              <w:left w:val="single" w:sz="4" w:space="0" w:color="FFFFFF" w:themeColor="background1"/>
              <w:bottom w:val="nil"/>
              <w:right w:val="single" w:sz="4" w:space="0" w:color="FFFFFF" w:themeColor="background1"/>
            </w:tcBorders>
            <w:shd w:val="clear" w:color="000000" w:fill="D6DCE4"/>
            <w:vAlign w:val="center"/>
            <w:hideMark/>
          </w:tcPr>
          <w:p w14:paraId="26475868" w14:textId="77777777" w:rsidR="00DA4D0A" w:rsidRPr="003C15B8" w:rsidRDefault="00DA4D0A" w:rsidP="009B381B">
            <w:pPr>
              <w:pStyle w:val="Tabletext"/>
              <w:spacing w:line="230" w:lineRule="exact"/>
              <w:rPr>
                <w:b/>
              </w:rPr>
            </w:pPr>
            <w:r w:rsidRPr="003C15B8">
              <w:rPr>
                <w:b/>
              </w:rPr>
              <w:t> </w:t>
            </w:r>
          </w:p>
        </w:tc>
        <w:tc>
          <w:tcPr>
            <w:tcW w:w="656" w:type="dxa"/>
            <w:tcBorders>
              <w:top w:val="nil"/>
              <w:left w:val="single" w:sz="4" w:space="0" w:color="FFFFFF" w:themeColor="background1"/>
              <w:bottom w:val="nil"/>
              <w:right w:val="single" w:sz="4" w:space="0" w:color="FFFFFF" w:themeColor="background1"/>
            </w:tcBorders>
            <w:shd w:val="clear" w:color="000000" w:fill="D6DCE4"/>
            <w:vAlign w:val="center"/>
            <w:hideMark/>
          </w:tcPr>
          <w:p w14:paraId="1A17539E" w14:textId="77777777" w:rsidR="00DA4D0A" w:rsidRPr="001541D8" w:rsidRDefault="00DA4D0A" w:rsidP="009B381B">
            <w:pPr>
              <w:pStyle w:val="Tabletext"/>
              <w:spacing w:line="230" w:lineRule="exact"/>
              <w:jc w:val="center"/>
            </w:pPr>
            <w:r w:rsidRPr="001541D8">
              <w:t>level</w:t>
            </w:r>
          </w:p>
        </w:tc>
        <w:tc>
          <w:tcPr>
            <w:tcW w:w="3588" w:type="dxa"/>
            <w:gridSpan w:val="4"/>
            <w:tcBorders>
              <w:top w:val="nil"/>
              <w:left w:val="single" w:sz="4" w:space="0" w:color="FFFFFF" w:themeColor="background1"/>
              <w:bottom w:val="nil"/>
              <w:right w:val="nil"/>
            </w:tcBorders>
            <w:shd w:val="clear" w:color="000000" w:fill="D6DCE4"/>
            <w:vAlign w:val="center"/>
            <w:hideMark/>
          </w:tcPr>
          <w:p w14:paraId="0BEF92F8" w14:textId="77777777" w:rsidR="00DA4D0A" w:rsidRPr="001541D8" w:rsidRDefault="00DA4D0A" w:rsidP="009B381B">
            <w:pPr>
              <w:pStyle w:val="Tabletext"/>
              <w:spacing w:line="230" w:lineRule="exact"/>
              <w:jc w:val="center"/>
            </w:pPr>
            <w:r w:rsidRPr="001541D8">
              <w:t>growth rate</w:t>
            </w:r>
          </w:p>
        </w:tc>
      </w:tr>
      <w:tr w:rsidR="00DA4D0A" w:rsidRPr="003C15B8" w14:paraId="3F6A29A7" w14:textId="77777777" w:rsidTr="00817900">
        <w:trPr>
          <w:trHeight w:val="284"/>
          <w:jc w:val="center"/>
        </w:trPr>
        <w:tc>
          <w:tcPr>
            <w:tcW w:w="3828" w:type="dxa"/>
            <w:tcBorders>
              <w:top w:val="nil"/>
              <w:left w:val="nil"/>
              <w:bottom w:val="single" w:sz="4" w:space="0" w:color="FFFFFF"/>
              <w:right w:val="single" w:sz="4" w:space="0" w:color="FFFFFF" w:themeColor="background1"/>
            </w:tcBorders>
            <w:shd w:val="clear" w:color="000000" w:fill="F2F2F2"/>
            <w:vAlign w:val="center"/>
            <w:hideMark/>
          </w:tcPr>
          <w:p w14:paraId="0D0BD392" w14:textId="77777777" w:rsidR="00DA4D0A" w:rsidRPr="003C15B8" w:rsidRDefault="00DA4D0A" w:rsidP="009B381B">
            <w:pPr>
              <w:pStyle w:val="Tabletext"/>
              <w:spacing w:line="230" w:lineRule="exact"/>
            </w:pPr>
            <w:r w:rsidRPr="003C15B8">
              <w:t xml:space="preserve">19. Domestic employment </w:t>
            </w:r>
            <w:r>
              <w:br/>
            </w:r>
            <w:r w:rsidRPr="003C15B8">
              <w:t>(1000 persons, national accounts)</w:t>
            </w:r>
          </w:p>
        </w:tc>
        <w:tc>
          <w:tcPr>
            <w:tcW w:w="903" w:type="dxa"/>
            <w:tcBorders>
              <w:top w:val="nil"/>
              <w:left w:val="single" w:sz="4" w:space="0" w:color="FFFFFF" w:themeColor="background1"/>
              <w:bottom w:val="single" w:sz="4" w:space="0" w:color="FFFFFF"/>
              <w:right w:val="single" w:sz="4" w:space="0" w:color="FFFFFF" w:themeColor="background1"/>
            </w:tcBorders>
            <w:shd w:val="clear" w:color="000000" w:fill="F2F2F2"/>
            <w:vAlign w:val="center"/>
            <w:hideMark/>
          </w:tcPr>
          <w:p w14:paraId="19C040FD" w14:textId="77777777" w:rsidR="00DA4D0A" w:rsidRPr="003C15B8" w:rsidRDefault="00DA4D0A" w:rsidP="009B381B">
            <w:pPr>
              <w:pStyle w:val="Tabletext"/>
              <w:spacing w:line="230" w:lineRule="exact"/>
            </w:pPr>
            <w:r w:rsidRPr="003C15B8">
              <w:t> </w:t>
            </w:r>
          </w:p>
        </w:tc>
        <w:tc>
          <w:tcPr>
            <w:tcW w:w="656" w:type="dxa"/>
            <w:tcBorders>
              <w:top w:val="nil"/>
              <w:left w:val="single" w:sz="4" w:space="0" w:color="FFFFFF" w:themeColor="background1"/>
              <w:bottom w:val="single" w:sz="4" w:space="0" w:color="FFFFFF"/>
              <w:right w:val="single" w:sz="4" w:space="0" w:color="FFFFFF" w:themeColor="background1"/>
            </w:tcBorders>
            <w:shd w:val="clear" w:color="000000" w:fill="F2F2F2"/>
            <w:vAlign w:val="center"/>
            <w:hideMark/>
          </w:tcPr>
          <w:p w14:paraId="7F89EAAF" w14:textId="77777777" w:rsidR="00DA4D0A" w:rsidRPr="001541D8" w:rsidRDefault="00DA4D0A" w:rsidP="009B381B">
            <w:pPr>
              <w:pStyle w:val="Tabletext"/>
              <w:spacing w:line="230" w:lineRule="exact"/>
              <w:jc w:val="center"/>
            </w:pPr>
            <w:r w:rsidRPr="001541D8">
              <w:t>3,760.0</w:t>
            </w:r>
          </w:p>
        </w:tc>
        <w:tc>
          <w:tcPr>
            <w:tcW w:w="897" w:type="dxa"/>
            <w:tcBorders>
              <w:top w:val="nil"/>
              <w:left w:val="single" w:sz="4" w:space="0" w:color="FFFFFF" w:themeColor="background1"/>
              <w:bottom w:val="single" w:sz="4" w:space="0" w:color="FFFFFF"/>
              <w:right w:val="nil"/>
            </w:tcBorders>
            <w:shd w:val="clear" w:color="000000" w:fill="F2F2F2"/>
            <w:vAlign w:val="center"/>
            <w:hideMark/>
          </w:tcPr>
          <w:p w14:paraId="68FD29AE" w14:textId="77777777" w:rsidR="00DA4D0A" w:rsidRPr="001541D8" w:rsidRDefault="00DA4D0A" w:rsidP="009B381B">
            <w:pPr>
              <w:pStyle w:val="Tabletext"/>
              <w:spacing w:line="230" w:lineRule="exact"/>
              <w:jc w:val="center"/>
            </w:pPr>
            <w:r w:rsidRPr="001541D8">
              <w:t>2.0</w:t>
            </w:r>
          </w:p>
        </w:tc>
        <w:tc>
          <w:tcPr>
            <w:tcW w:w="897" w:type="dxa"/>
            <w:tcBorders>
              <w:top w:val="nil"/>
              <w:left w:val="nil"/>
              <w:bottom w:val="single" w:sz="4" w:space="0" w:color="FFFFFF"/>
              <w:right w:val="nil"/>
            </w:tcBorders>
            <w:shd w:val="clear" w:color="000000" w:fill="F2F2F2"/>
            <w:vAlign w:val="center"/>
            <w:hideMark/>
          </w:tcPr>
          <w:p w14:paraId="5334E23C" w14:textId="77777777" w:rsidR="00DA4D0A" w:rsidRPr="001541D8" w:rsidRDefault="00DA4D0A" w:rsidP="009B381B">
            <w:pPr>
              <w:pStyle w:val="Tabletext"/>
              <w:spacing w:line="230" w:lineRule="exact"/>
              <w:jc w:val="center"/>
            </w:pPr>
            <w:r w:rsidRPr="001541D8">
              <w:t>1.5</w:t>
            </w:r>
          </w:p>
        </w:tc>
        <w:tc>
          <w:tcPr>
            <w:tcW w:w="897" w:type="dxa"/>
            <w:tcBorders>
              <w:top w:val="nil"/>
              <w:left w:val="nil"/>
              <w:bottom w:val="single" w:sz="4" w:space="0" w:color="FFFFFF"/>
              <w:right w:val="nil"/>
            </w:tcBorders>
            <w:shd w:val="clear" w:color="000000" w:fill="F2F2F2"/>
            <w:vAlign w:val="center"/>
            <w:hideMark/>
          </w:tcPr>
          <w:p w14:paraId="2ED7F276" w14:textId="77777777" w:rsidR="00DA4D0A" w:rsidRPr="001541D8" w:rsidRDefault="00DA4D0A" w:rsidP="009B381B">
            <w:pPr>
              <w:pStyle w:val="Tabletext"/>
              <w:spacing w:line="230" w:lineRule="exact"/>
              <w:jc w:val="center"/>
            </w:pPr>
            <w:r w:rsidRPr="001541D8">
              <w:t>3.0</w:t>
            </w:r>
          </w:p>
        </w:tc>
        <w:tc>
          <w:tcPr>
            <w:tcW w:w="897" w:type="dxa"/>
            <w:tcBorders>
              <w:top w:val="nil"/>
              <w:left w:val="nil"/>
              <w:bottom w:val="single" w:sz="4" w:space="0" w:color="FFFFFF"/>
              <w:right w:val="nil"/>
            </w:tcBorders>
            <w:shd w:val="clear" w:color="000000" w:fill="F2F2F2"/>
            <w:vAlign w:val="center"/>
            <w:hideMark/>
          </w:tcPr>
          <w:p w14:paraId="2D7D6A77" w14:textId="77777777" w:rsidR="00DA4D0A" w:rsidRPr="001541D8" w:rsidRDefault="00DA4D0A" w:rsidP="009B381B">
            <w:pPr>
              <w:pStyle w:val="Tabletext"/>
              <w:spacing w:line="230" w:lineRule="exact"/>
              <w:jc w:val="center"/>
            </w:pPr>
            <w:r w:rsidRPr="001541D8">
              <w:t>0.6</w:t>
            </w:r>
          </w:p>
        </w:tc>
      </w:tr>
      <w:tr w:rsidR="00DA4D0A" w:rsidRPr="003C15B8" w14:paraId="28D93C86" w14:textId="77777777" w:rsidTr="00817900">
        <w:trPr>
          <w:trHeight w:val="284"/>
          <w:jc w:val="center"/>
        </w:trPr>
        <w:tc>
          <w:tcPr>
            <w:tcW w:w="3828" w:type="dxa"/>
            <w:tcBorders>
              <w:top w:val="nil"/>
              <w:left w:val="nil"/>
              <w:bottom w:val="single" w:sz="4" w:space="0" w:color="FFFFFF"/>
              <w:right w:val="single" w:sz="4" w:space="0" w:color="FFFFFF" w:themeColor="background1"/>
            </w:tcBorders>
            <w:shd w:val="clear" w:color="000000" w:fill="D9D9D9"/>
            <w:vAlign w:val="center"/>
            <w:hideMark/>
          </w:tcPr>
          <w:p w14:paraId="66CCBE03" w14:textId="77777777" w:rsidR="00DA4D0A" w:rsidRPr="003C15B8" w:rsidRDefault="00DA4D0A" w:rsidP="009B381B">
            <w:pPr>
              <w:pStyle w:val="Tabletext"/>
              <w:spacing w:line="230" w:lineRule="exact"/>
            </w:pPr>
            <w:r w:rsidRPr="003C15B8">
              <w:t>20. Average annual hours worked per person employed</w:t>
            </w:r>
          </w:p>
        </w:tc>
        <w:tc>
          <w:tcPr>
            <w:tcW w:w="903" w:type="dxa"/>
            <w:tcBorders>
              <w:top w:val="nil"/>
              <w:left w:val="single" w:sz="4" w:space="0" w:color="FFFFFF" w:themeColor="background1"/>
              <w:bottom w:val="single" w:sz="4" w:space="0" w:color="FFFFFF"/>
              <w:right w:val="single" w:sz="4" w:space="0" w:color="FFFFFF" w:themeColor="background1"/>
            </w:tcBorders>
            <w:shd w:val="clear" w:color="000000" w:fill="D9D9D9"/>
            <w:vAlign w:val="center"/>
            <w:hideMark/>
          </w:tcPr>
          <w:p w14:paraId="57A26AD4" w14:textId="77777777" w:rsidR="00DA4D0A" w:rsidRPr="003C15B8" w:rsidRDefault="00DA4D0A" w:rsidP="009B381B">
            <w:pPr>
              <w:pStyle w:val="Tabletext"/>
              <w:spacing w:line="230" w:lineRule="exact"/>
            </w:pPr>
            <w:r w:rsidRPr="003C15B8">
              <w:t> </w:t>
            </w:r>
          </w:p>
        </w:tc>
        <w:tc>
          <w:tcPr>
            <w:tcW w:w="656" w:type="dxa"/>
            <w:tcBorders>
              <w:top w:val="nil"/>
              <w:left w:val="single" w:sz="4" w:space="0" w:color="FFFFFF" w:themeColor="background1"/>
              <w:bottom w:val="single" w:sz="4" w:space="0" w:color="FFFFFF"/>
              <w:right w:val="single" w:sz="4" w:space="0" w:color="FFFFFF" w:themeColor="background1"/>
            </w:tcBorders>
            <w:shd w:val="clear" w:color="000000" w:fill="D9D9D9"/>
            <w:vAlign w:val="center"/>
            <w:hideMark/>
          </w:tcPr>
          <w:p w14:paraId="0CE93CE2" w14:textId="77777777" w:rsidR="00DA4D0A" w:rsidRPr="001541D8" w:rsidRDefault="00DA4D0A" w:rsidP="009B381B">
            <w:pPr>
              <w:pStyle w:val="Tabletext"/>
              <w:spacing w:line="230" w:lineRule="exact"/>
              <w:jc w:val="center"/>
            </w:pPr>
            <w:r w:rsidRPr="001541D8">
              <w:t>1,909.0</w:t>
            </w:r>
          </w:p>
        </w:tc>
        <w:tc>
          <w:tcPr>
            <w:tcW w:w="897" w:type="dxa"/>
            <w:tcBorders>
              <w:top w:val="nil"/>
              <w:left w:val="single" w:sz="4" w:space="0" w:color="FFFFFF" w:themeColor="background1"/>
              <w:bottom w:val="single" w:sz="4" w:space="0" w:color="FFFFFF"/>
              <w:right w:val="nil"/>
            </w:tcBorders>
            <w:shd w:val="clear" w:color="000000" w:fill="D9D9D9"/>
            <w:vAlign w:val="center"/>
            <w:hideMark/>
          </w:tcPr>
          <w:p w14:paraId="6AD152DC" w14:textId="77777777" w:rsidR="00DA4D0A" w:rsidRPr="001541D8" w:rsidRDefault="00DA4D0A" w:rsidP="009B381B">
            <w:pPr>
              <w:pStyle w:val="Tabletext"/>
              <w:spacing w:line="230" w:lineRule="exact"/>
              <w:jc w:val="center"/>
            </w:pPr>
            <w:r w:rsidRPr="001541D8">
              <w:t>1.2</w:t>
            </w:r>
          </w:p>
        </w:tc>
        <w:tc>
          <w:tcPr>
            <w:tcW w:w="897" w:type="dxa"/>
            <w:tcBorders>
              <w:top w:val="nil"/>
              <w:left w:val="nil"/>
              <w:bottom w:val="single" w:sz="4" w:space="0" w:color="FFFFFF"/>
              <w:right w:val="nil"/>
            </w:tcBorders>
            <w:shd w:val="clear" w:color="000000" w:fill="D9D9D9"/>
            <w:vAlign w:val="center"/>
            <w:hideMark/>
          </w:tcPr>
          <w:p w14:paraId="7B64BAEE" w14:textId="77777777" w:rsidR="00DA4D0A" w:rsidRPr="001541D8" w:rsidRDefault="00DA4D0A" w:rsidP="009B381B">
            <w:pPr>
              <w:pStyle w:val="Tabletext"/>
              <w:spacing w:line="230" w:lineRule="exact"/>
              <w:jc w:val="center"/>
            </w:pPr>
            <w:r w:rsidRPr="001541D8">
              <w:t>-0.5</w:t>
            </w:r>
          </w:p>
        </w:tc>
        <w:tc>
          <w:tcPr>
            <w:tcW w:w="897" w:type="dxa"/>
            <w:tcBorders>
              <w:top w:val="nil"/>
              <w:left w:val="nil"/>
              <w:bottom w:val="single" w:sz="4" w:space="0" w:color="FFFFFF"/>
              <w:right w:val="nil"/>
            </w:tcBorders>
            <w:shd w:val="clear" w:color="000000" w:fill="D9D9D9"/>
            <w:vAlign w:val="center"/>
            <w:hideMark/>
          </w:tcPr>
          <w:p w14:paraId="626423C9" w14:textId="77777777" w:rsidR="00DA4D0A" w:rsidRPr="001541D8" w:rsidRDefault="00DA4D0A" w:rsidP="009B381B">
            <w:pPr>
              <w:pStyle w:val="Tabletext"/>
              <w:spacing w:line="230" w:lineRule="exact"/>
              <w:jc w:val="center"/>
            </w:pPr>
            <w:r w:rsidRPr="001541D8">
              <w:t>-0.8</w:t>
            </w:r>
          </w:p>
        </w:tc>
        <w:tc>
          <w:tcPr>
            <w:tcW w:w="897" w:type="dxa"/>
            <w:tcBorders>
              <w:top w:val="nil"/>
              <w:left w:val="nil"/>
              <w:bottom w:val="single" w:sz="4" w:space="0" w:color="FFFFFF"/>
              <w:right w:val="nil"/>
            </w:tcBorders>
            <w:shd w:val="clear" w:color="000000" w:fill="D9D9D9"/>
            <w:vAlign w:val="center"/>
            <w:hideMark/>
          </w:tcPr>
          <w:p w14:paraId="36BDC271" w14:textId="77777777" w:rsidR="00DA4D0A" w:rsidRPr="001541D8" w:rsidRDefault="00DA4D0A" w:rsidP="009B381B">
            <w:pPr>
              <w:pStyle w:val="Tabletext"/>
              <w:spacing w:line="230" w:lineRule="exact"/>
              <w:jc w:val="center"/>
            </w:pPr>
            <w:r w:rsidRPr="001541D8">
              <w:t>-0.2</w:t>
            </w:r>
          </w:p>
        </w:tc>
      </w:tr>
      <w:tr w:rsidR="00DA4D0A" w:rsidRPr="003C15B8" w14:paraId="3589E900" w14:textId="77777777" w:rsidTr="00817900">
        <w:trPr>
          <w:trHeight w:val="284"/>
          <w:jc w:val="center"/>
        </w:trPr>
        <w:tc>
          <w:tcPr>
            <w:tcW w:w="3828" w:type="dxa"/>
            <w:tcBorders>
              <w:top w:val="nil"/>
              <w:left w:val="nil"/>
              <w:bottom w:val="single" w:sz="4" w:space="0" w:color="FFFFFF"/>
              <w:right w:val="single" w:sz="4" w:space="0" w:color="FFFFFF" w:themeColor="background1"/>
            </w:tcBorders>
            <w:shd w:val="clear" w:color="000000" w:fill="F2F2F2"/>
            <w:vAlign w:val="center"/>
            <w:hideMark/>
          </w:tcPr>
          <w:p w14:paraId="30F3A17E" w14:textId="77777777" w:rsidR="00DA4D0A" w:rsidRPr="003C15B8" w:rsidRDefault="00DA4D0A" w:rsidP="009B381B">
            <w:pPr>
              <w:pStyle w:val="Tabletext"/>
              <w:spacing w:line="230" w:lineRule="exact"/>
            </w:pPr>
            <w:r w:rsidRPr="003C15B8">
              <w:t>21. Real GDP per person employed</w:t>
            </w:r>
          </w:p>
        </w:tc>
        <w:tc>
          <w:tcPr>
            <w:tcW w:w="903" w:type="dxa"/>
            <w:tcBorders>
              <w:top w:val="nil"/>
              <w:left w:val="single" w:sz="4" w:space="0" w:color="FFFFFF" w:themeColor="background1"/>
              <w:bottom w:val="single" w:sz="4" w:space="0" w:color="FFFFFF"/>
              <w:right w:val="single" w:sz="4" w:space="0" w:color="FFFFFF" w:themeColor="background1"/>
            </w:tcBorders>
            <w:shd w:val="clear" w:color="000000" w:fill="F2F2F2"/>
            <w:vAlign w:val="center"/>
            <w:hideMark/>
          </w:tcPr>
          <w:p w14:paraId="0D873D30" w14:textId="77777777" w:rsidR="00DA4D0A" w:rsidRPr="003C15B8" w:rsidRDefault="00DA4D0A" w:rsidP="009B381B">
            <w:pPr>
              <w:pStyle w:val="Tabletext"/>
              <w:spacing w:line="230" w:lineRule="exact"/>
            </w:pPr>
            <w:r w:rsidRPr="003C15B8">
              <w:t> </w:t>
            </w:r>
          </w:p>
        </w:tc>
        <w:tc>
          <w:tcPr>
            <w:tcW w:w="656" w:type="dxa"/>
            <w:tcBorders>
              <w:top w:val="nil"/>
              <w:left w:val="single" w:sz="4" w:space="0" w:color="FFFFFF" w:themeColor="background1"/>
              <w:bottom w:val="single" w:sz="4" w:space="0" w:color="FFFFFF"/>
              <w:right w:val="single" w:sz="4" w:space="0" w:color="FFFFFF" w:themeColor="background1"/>
            </w:tcBorders>
            <w:shd w:val="clear" w:color="000000" w:fill="F2F2F2"/>
            <w:vAlign w:val="center"/>
            <w:hideMark/>
          </w:tcPr>
          <w:p w14:paraId="184308D2" w14:textId="77777777" w:rsidR="00DA4D0A" w:rsidRPr="001541D8" w:rsidRDefault="00DA4D0A" w:rsidP="009B381B">
            <w:pPr>
              <w:pStyle w:val="Tabletext"/>
              <w:spacing w:line="230" w:lineRule="exact"/>
              <w:jc w:val="center"/>
            </w:pPr>
          </w:p>
        </w:tc>
        <w:tc>
          <w:tcPr>
            <w:tcW w:w="897" w:type="dxa"/>
            <w:tcBorders>
              <w:top w:val="nil"/>
              <w:left w:val="single" w:sz="4" w:space="0" w:color="FFFFFF" w:themeColor="background1"/>
              <w:bottom w:val="single" w:sz="4" w:space="0" w:color="FFFFFF"/>
              <w:right w:val="nil"/>
            </w:tcBorders>
            <w:shd w:val="clear" w:color="000000" w:fill="F2F2F2"/>
            <w:vAlign w:val="center"/>
            <w:hideMark/>
          </w:tcPr>
          <w:p w14:paraId="5EB62479" w14:textId="77777777" w:rsidR="00DA4D0A" w:rsidRPr="001541D8" w:rsidRDefault="00DA4D0A" w:rsidP="009B381B">
            <w:pPr>
              <w:pStyle w:val="Tabletext"/>
              <w:spacing w:line="230" w:lineRule="exact"/>
              <w:jc w:val="center"/>
            </w:pPr>
            <w:r w:rsidRPr="001541D8">
              <w:t>0.1</w:t>
            </w:r>
          </w:p>
        </w:tc>
        <w:tc>
          <w:tcPr>
            <w:tcW w:w="897" w:type="dxa"/>
            <w:tcBorders>
              <w:top w:val="nil"/>
              <w:left w:val="nil"/>
              <w:bottom w:val="single" w:sz="4" w:space="0" w:color="FFFFFF"/>
              <w:right w:val="nil"/>
            </w:tcBorders>
            <w:shd w:val="clear" w:color="000000" w:fill="F2F2F2"/>
            <w:vAlign w:val="center"/>
            <w:hideMark/>
          </w:tcPr>
          <w:p w14:paraId="0CA21B0A" w14:textId="77777777" w:rsidR="00DA4D0A" w:rsidRPr="001541D8" w:rsidRDefault="00DA4D0A" w:rsidP="009B381B">
            <w:pPr>
              <w:pStyle w:val="Tabletext"/>
              <w:spacing w:line="230" w:lineRule="exact"/>
              <w:jc w:val="center"/>
            </w:pPr>
            <w:r w:rsidRPr="001541D8">
              <w:t>0.6</w:t>
            </w:r>
          </w:p>
        </w:tc>
        <w:tc>
          <w:tcPr>
            <w:tcW w:w="897" w:type="dxa"/>
            <w:tcBorders>
              <w:top w:val="nil"/>
              <w:left w:val="nil"/>
              <w:bottom w:val="single" w:sz="4" w:space="0" w:color="FFFFFF"/>
              <w:right w:val="nil"/>
            </w:tcBorders>
            <w:shd w:val="clear" w:color="000000" w:fill="F2F2F2"/>
            <w:vAlign w:val="center"/>
            <w:hideMark/>
          </w:tcPr>
          <w:p w14:paraId="41F40362" w14:textId="77777777" w:rsidR="00DA4D0A" w:rsidRPr="001541D8" w:rsidRDefault="00DA4D0A" w:rsidP="009B381B">
            <w:pPr>
              <w:pStyle w:val="Tabletext"/>
              <w:spacing w:line="230" w:lineRule="exact"/>
              <w:jc w:val="center"/>
            </w:pPr>
            <w:r w:rsidRPr="001541D8">
              <w:t>-0.9</w:t>
            </w:r>
          </w:p>
        </w:tc>
        <w:tc>
          <w:tcPr>
            <w:tcW w:w="897" w:type="dxa"/>
            <w:tcBorders>
              <w:top w:val="nil"/>
              <w:left w:val="nil"/>
              <w:bottom w:val="single" w:sz="4" w:space="0" w:color="FFFFFF"/>
              <w:right w:val="nil"/>
            </w:tcBorders>
            <w:shd w:val="clear" w:color="000000" w:fill="F2F2F2"/>
            <w:vAlign w:val="center"/>
            <w:hideMark/>
          </w:tcPr>
          <w:p w14:paraId="49329BA5" w14:textId="77777777" w:rsidR="00DA4D0A" w:rsidRPr="001541D8" w:rsidRDefault="00DA4D0A" w:rsidP="009B381B">
            <w:pPr>
              <w:pStyle w:val="Tabletext"/>
              <w:spacing w:line="230" w:lineRule="exact"/>
              <w:jc w:val="center"/>
            </w:pPr>
            <w:r w:rsidRPr="001541D8">
              <w:t>1.3</w:t>
            </w:r>
          </w:p>
        </w:tc>
      </w:tr>
      <w:tr w:rsidR="00DA4D0A" w:rsidRPr="003C15B8" w14:paraId="5BA0AFB8" w14:textId="77777777" w:rsidTr="00817900">
        <w:trPr>
          <w:trHeight w:val="284"/>
          <w:jc w:val="center"/>
        </w:trPr>
        <w:tc>
          <w:tcPr>
            <w:tcW w:w="3828" w:type="dxa"/>
            <w:tcBorders>
              <w:top w:val="nil"/>
              <w:left w:val="nil"/>
              <w:bottom w:val="single" w:sz="4" w:space="0" w:color="FFFFFF"/>
              <w:right w:val="single" w:sz="4" w:space="0" w:color="FFFFFF" w:themeColor="background1"/>
            </w:tcBorders>
            <w:shd w:val="clear" w:color="000000" w:fill="D9D9D9"/>
            <w:vAlign w:val="center"/>
            <w:hideMark/>
          </w:tcPr>
          <w:p w14:paraId="06BC7999" w14:textId="77777777" w:rsidR="00DA4D0A" w:rsidRPr="003C15B8" w:rsidRDefault="00DA4D0A" w:rsidP="009B381B">
            <w:pPr>
              <w:pStyle w:val="Tabletext"/>
              <w:spacing w:line="230" w:lineRule="exact"/>
            </w:pPr>
            <w:r w:rsidRPr="003C15B8">
              <w:t>22. Real GDP per hour worked</w:t>
            </w:r>
          </w:p>
        </w:tc>
        <w:tc>
          <w:tcPr>
            <w:tcW w:w="903" w:type="dxa"/>
            <w:tcBorders>
              <w:top w:val="nil"/>
              <w:left w:val="single" w:sz="4" w:space="0" w:color="FFFFFF" w:themeColor="background1"/>
              <w:bottom w:val="single" w:sz="4" w:space="0" w:color="FFFFFF"/>
              <w:right w:val="single" w:sz="4" w:space="0" w:color="FFFFFF" w:themeColor="background1"/>
            </w:tcBorders>
            <w:shd w:val="clear" w:color="000000" w:fill="D9D9D9"/>
            <w:vAlign w:val="center"/>
            <w:hideMark/>
          </w:tcPr>
          <w:p w14:paraId="079198D5" w14:textId="77777777" w:rsidR="00DA4D0A" w:rsidRPr="003C15B8" w:rsidRDefault="00DA4D0A" w:rsidP="009B381B">
            <w:pPr>
              <w:pStyle w:val="Tabletext"/>
              <w:spacing w:line="230" w:lineRule="exact"/>
            </w:pPr>
            <w:r w:rsidRPr="003C15B8">
              <w:t> </w:t>
            </w:r>
          </w:p>
        </w:tc>
        <w:tc>
          <w:tcPr>
            <w:tcW w:w="656" w:type="dxa"/>
            <w:tcBorders>
              <w:top w:val="nil"/>
              <w:left w:val="single" w:sz="4" w:space="0" w:color="FFFFFF" w:themeColor="background1"/>
              <w:bottom w:val="single" w:sz="4" w:space="0" w:color="FFFFFF"/>
              <w:right w:val="single" w:sz="4" w:space="0" w:color="FFFFFF" w:themeColor="background1"/>
            </w:tcBorders>
            <w:shd w:val="clear" w:color="000000" w:fill="D9D9D9"/>
            <w:vAlign w:val="center"/>
            <w:hideMark/>
          </w:tcPr>
          <w:p w14:paraId="77A0EA55" w14:textId="77777777" w:rsidR="00DA4D0A" w:rsidRPr="001541D8" w:rsidRDefault="00DA4D0A" w:rsidP="009B381B">
            <w:pPr>
              <w:pStyle w:val="Tabletext"/>
              <w:spacing w:line="230" w:lineRule="exact"/>
              <w:jc w:val="center"/>
            </w:pPr>
          </w:p>
        </w:tc>
        <w:tc>
          <w:tcPr>
            <w:tcW w:w="897" w:type="dxa"/>
            <w:tcBorders>
              <w:top w:val="nil"/>
              <w:left w:val="single" w:sz="4" w:space="0" w:color="FFFFFF" w:themeColor="background1"/>
              <w:bottom w:val="single" w:sz="4" w:space="0" w:color="FFFFFF"/>
              <w:right w:val="nil"/>
            </w:tcBorders>
            <w:shd w:val="clear" w:color="000000" w:fill="D9D9D9"/>
            <w:vAlign w:val="center"/>
            <w:hideMark/>
          </w:tcPr>
          <w:p w14:paraId="734ABF9A" w14:textId="77777777" w:rsidR="00DA4D0A" w:rsidRPr="001541D8" w:rsidRDefault="00DA4D0A" w:rsidP="009B381B">
            <w:pPr>
              <w:pStyle w:val="Tabletext"/>
              <w:spacing w:line="230" w:lineRule="exact"/>
              <w:jc w:val="center"/>
            </w:pPr>
            <w:r w:rsidRPr="001541D8">
              <w:t>-1.1</w:t>
            </w:r>
          </w:p>
        </w:tc>
        <w:tc>
          <w:tcPr>
            <w:tcW w:w="897" w:type="dxa"/>
            <w:tcBorders>
              <w:top w:val="nil"/>
              <w:left w:val="nil"/>
              <w:bottom w:val="single" w:sz="4" w:space="0" w:color="FFFFFF"/>
              <w:right w:val="nil"/>
            </w:tcBorders>
            <w:shd w:val="clear" w:color="000000" w:fill="D9D9D9"/>
            <w:vAlign w:val="center"/>
            <w:hideMark/>
          </w:tcPr>
          <w:p w14:paraId="15A5798C" w14:textId="77777777" w:rsidR="00DA4D0A" w:rsidRPr="001541D8" w:rsidRDefault="00DA4D0A" w:rsidP="009B381B">
            <w:pPr>
              <w:pStyle w:val="Tabletext"/>
              <w:spacing w:line="230" w:lineRule="exact"/>
              <w:jc w:val="center"/>
            </w:pPr>
            <w:r w:rsidRPr="001541D8">
              <w:t>1.1</w:t>
            </w:r>
          </w:p>
        </w:tc>
        <w:tc>
          <w:tcPr>
            <w:tcW w:w="897" w:type="dxa"/>
            <w:tcBorders>
              <w:top w:val="nil"/>
              <w:left w:val="nil"/>
              <w:bottom w:val="single" w:sz="4" w:space="0" w:color="FFFFFF"/>
              <w:right w:val="nil"/>
            </w:tcBorders>
            <w:shd w:val="clear" w:color="000000" w:fill="D9D9D9"/>
            <w:vAlign w:val="center"/>
            <w:hideMark/>
          </w:tcPr>
          <w:p w14:paraId="0834BA6B" w14:textId="77777777" w:rsidR="00DA4D0A" w:rsidRPr="001541D8" w:rsidRDefault="00DA4D0A" w:rsidP="009B381B">
            <w:pPr>
              <w:pStyle w:val="Tabletext"/>
              <w:spacing w:line="230" w:lineRule="exact"/>
              <w:jc w:val="center"/>
            </w:pPr>
            <w:r w:rsidRPr="001541D8">
              <w:t>-0.1</w:t>
            </w:r>
          </w:p>
        </w:tc>
        <w:tc>
          <w:tcPr>
            <w:tcW w:w="897" w:type="dxa"/>
            <w:tcBorders>
              <w:top w:val="nil"/>
              <w:left w:val="nil"/>
              <w:bottom w:val="single" w:sz="4" w:space="0" w:color="FFFFFF"/>
              <w:right w:val="nil"/>
            </w:tcBorders>
            <w:shd w:val="clear" w:color="000000" w:fill="D9D9D9"/>
            <w:vAlign w:val="center"/>
            <w:hideMark/>
          </w:tcPr>
          <w:p w14:paraId="69E04414" w14:textId="77777777" w:rsidR="00DA4D0A" w:rsidRPr="001541D8" w:rsidRDefault="00DA4D0A" w:rsidP="009B381B">
            <w:pPr>
              <w:pStyle w:val="Tabletext"/>
              <w:spacing w:line="230" w:lineRule="exact"/>
              <w:jc w:val="center"/>
            </w:pPr>
            <w:r w:rsidRPr="001541D8">
              <w:t>1.5</w:t>
            </w:r>
          </w:p>
        </w:tc>
      </w:tr>
      <w:tr w:rsidR="00DA4D0A" w:rsidRPr="003C15B8" w14:paraId="501C0100" w14:textId="77777777" w:rsidTr="00817900">
        <w:trPr>
          <w:trHeight w:val="284"/>
          <w:jc w:val="center"/>
        </w:trPr>
        <w:tc>
          <w:tcPr>
            <w:tcW w:w="3828" w:type="dxa"/>
            <w:tcBorders>
              <w:top w:val="nil"/>
              <w:left w:val="nil"/>
              <w:bottom w:val="single" w:sz="4" w:space="0" w:color="FFFFFF"/>
              <w:right w:val="single" w:sz="4" w:space="0" w:color="FFFFFF" w:themeColor="background1"/>
            </w:tcBorders>
            <w:shd w:val="clear" w:color="000000" w:fill="F2F2F2"/>
            <w:vAlign w:val="center"/>
            <w:hideMark/>
          </w:tcPr>
          <w:p w14:paraId="3E821ABB" w14:textId="77777777" w:rsidR="00DA4D0A" w:rsidRPr="003C15B8" w:rsidRDefault="00DA4D0A" w:rsidP="009B381B">
            <w:pPr>
              <w:pStyle w:val="Tabletext"/>
              <w:spacing w:line="230" w:lineRule="exact"/>
            </w:pPr>
            <w:r w:rsidRPr="003C15B8">
              <w:t xml:space="preserve">23. Compensation of employees </w:t>
            </w:r>
            <w:r>
              <w:br/>
            </w:r>
            <w:r w:rsidRPr="003C15B8">
              <w:t>(bn NAC)</w:t>
            </w:r>
          </w:p>
        </w:tc>
        <w:tc>
          <w:tcPr>
            <w:tcW w:w="903" w:type="dxa"/>
            <w:tcBorders>
              <w:top w:val="nil"/>
              <w:left w:val="single" w:sz="4" w:space="0" w:color="FFFFFF" w:themeColor="background1"/>
              <w:bottom w:val="single" w:sz="4" w:space="0" w:color="FFFFFF"/>
              <w:right w:val="single" w:sz="4" w:space="0" w:color="FFFFFF" w:themeColor="background1"/>
            </w:tcBorders>
            <w:shd w:val="clear" w:color="000000" w:fill="F2F2F2"/>
            <w:vAlign w:val="center"/>
            <w:hideMark/>
          </w:tcPr>
          <w:p w14:paraId="20485F90" w14:textId="77777777" w:rsidR="00DA4D0A" w:rsidRPr="003C15B8" w:rsidRDefault="00DA4D0A" w:rsidP="009B381B">
            <w:pPr>
              <w:pStyle w:val="Tabletext"/>
              <w:spacing w:line="230" w:lineRule="exact"/>
            </w:pPr>
            <w:r w:rsidRPr="003C15B8">
              <w:t>D.1</w:t>
            </w:r>
          </w:p>
        </w:tc>
        <w:tc>
          <w:tcPr>
            <w:tcW w:w="656" w:type="dxa"/>
            <w:tcBorders>
              <w:top w:val="nil"/>
              <w:left w:val="single" w:sz="4" w:space="0" w:color="FFFFFF" w:themeColor="background1"/>
              <w:bottom w:val="single" w:sz="4" w:space="0" w:color="FFFFFF"/>
              <w:right w:val="single" w:sz="4" w:space="0" w:color="FFFFFF" w:themeColor="background1"/>
            </w:tcBorders>
            <w:shd w:val="clear" w:color="000000" w:fill="F2F2F2"/>
            <w:vAlign w:val="center"/>
            <w:hideMark/>
          </w:tcPr>
          <w:p w14:paraId="1386D2CF" w14:textId="77777777" w:rsidR="00DA4D0A" w:rsidRPr="001541D8" w:rsidRDefault="00DA4D0A" w:rsidP="009B381B">
            <w:pPr>
              <w:pStyle w:val="Tabletext"/>
              <w:spacing w:line="230" w:lineRule="exact"/>
              <w:jc w:val="center"/>
            </w:pPr>
            <w:r w:rsidRPr="001541D8">
              <w:t>78.6</w:t>
            </w:r>
          </w:p>
        </w:tc>
        <w:tc>
          <w:tcPr>
            <w:tcW w:w="897" w:type="dxa"/>
            <w:tcBorders>
              <w:top w:val="nil"/>
              <w:left w:val="single" w:sz="4" w:space="0" w:color="FFFFFF" w:themeColor="background1"/>
              <w:bottom w:val="single" w:sz="4" w:space="0" w:color="FFFFFF"/>
              <w:right w:val="nil"/>
            </w:tcBorders>
            <w:shd w:val="clear" w:color="000000" w:fill="F2F2F2"/>
            <w:vAlign w:val="center"/>
            <w:hideMark/>
          </w:tcPr>
          <w:p w14:paraId="36520B38" w14:textId="77777777" w:rsidR="00DA4D0A" w:rsidRPr="001541D8" w:rsidRDefault="00DA4D0A" w:rsidP="009B381B">
            <w:pPr>
              <w:pStyle w:val="Tabletext"/>
              <w:spacing w:line="230" w:lineRule="exact"/>
              <w:jc w:val="center"/>
            </w:pPr>
            <w:r w:rsidRPr="001541D8">
              <w:t>5.4</w:t>
            </w:r>
          </w:p>
        </w:tc>
        <w:tc>
          <w:tcPr>
            <w:tcW w:w="897" w:type="dxa"/>
            <w:tcBorders>
              <w:top w:val="nil"/>
              <w:left w:val="nil"/>
              <w:bottom w:val="single" w:sz="4" w:space="0" w:color="FFFFFF"/>
              <w:right w:val="nil"/>
            </w:tcBorders>
            <w:shd w:val="clear" w:color="000000" w:fill="F2F2F2"/>
            <w:vAlign w:val="center"/>
            <w:hideMark/>
          </w:tcPr>
          <w:p w14:paraId="048529C8" w14:textId="77777777" w:rsidR="00DA4D0A" w:rsidRPr="001541D8" w:rsidRDefault="00DA4D0A" w:rsidP="009B381B">
            <w:pPr>
              <w:pStyle w:val="Tabletext"/>
              <w:spacing w:line="230" w:lineRule="exact"/>
              <w:jc w:val="center"/>
            </w:pPr>
            <w:r w:rsidRPr="001541D8">
              <w:t>7.3</w:t>
            </w:r>
          </w:p>
        </w:tc>
        <w:tc>
          <w:tcPr>
            <w:tcW w:w="897" w:type="dxa"/>
            <w:tcBorders>
              <w:top w:val="nil"/>
              <w:left w:val="nil"/>
              <w:bottom w:val="single" w:sz="4" w:space="0" w:color="FFFFFF"/>
              <w:right w:val="nil"/>
            </w:tcBorders>
            <w:shd w:val="clear" w:color="000000" w:fill="F2F2F2"/>
            <w:vAlign w:val="center"/>
            <w:hideMark/>
          </w:tcPr>
          <w:p w14:paraId="03A0873F" w14:textId="77777777" w:rsidR="00DA4D0A" w:rsidRPr="001541D8" w:rsidRDefault="00DA4D0A" w:rsidP="009B381B">
            <w:pPr>
              <w:pStyle w:val="Tabletext"/>
              <w:spacing w:line="230" w:lineRule="exact"/>
              <w:jc w:val="center"/>
            </w:pPr>
            <w:r w:rsidRPr="001541D8">
              <w:t>6.6</w:t>
            </w:r>
          </w:p>
        </w:tc>
        <w:tc>
          <w:tcPr>
            <w:tcW w:w="897" w:type="dxa"/>
            <w:tcBorders>
              <w:top w:val="nil"/>
              <w:left w:val="nil"/>
              <w:bottom w:val="single" w:sz="4" w:space="0" w:color="FFFFFF"/>
              <w:right w:val="nil"/>
            </w:tcBorders>
            <w:shd w:val="clear" w:color="000000" w:fill="F2F2F2"/>
            <w:vAlign w:val="center"/>
            <w:hideMark/>
          </w:tcPr>
          <w:p w14:paraId="40712818" w14:textId="77777777" w:rsidR="00DA4D0A" w:rsidRPr="001541D8" w:rsidRDefault="00DA4D0A" w:rsidP="009B381B">
            <w:pPr>
              <w:pStyle w:val="Tabletext"/>
              <w:spacing w:line="230" w:lineRule="exact"/>
              <w:jc w:val="center"/>
            </w:pPr>
            <w:r w:rsidRPr="001541D8">
              <w:t>4.4</w:t>
            </w:r>
          </w:p>
        </w:tc>
      </w:tr>
      <w:tr w:rsidR="00DA4D0A" w:rsidRPr="003C15B8" w14:paraId="06F849FA" w14:textId="77777777" w:rsidTr="00817900">
        <w:trPr>
          <w:trHeight w:val="284"/>
          <w:jc w:val="center"/>
        </w:trPr>
        <w:tc>
          <w:tcPr>
            <w:tcW w:w="3828" w:type="dxa"/>
            <w:tcBorders>
              <w:top w:val="nil"/>
              <w:left w:val="nil"/>
              <w:bottom w:val="single" w:sz="4" w:space="0" w:color="FFFFFF"/>
              <w:right w:val="single" w:sz="4" w:space="0" w:color="FFFFFF" w:themeColor="background1"/>
            </w:tcBorders>
            <w:shd w:val="clear" w:color="000000" w:fill="D9D9D9"/>
            <w:vAlign w:val="center"/>
            <w:hideMark/>
          </w:tcPr>
          <w:p w14:paraId="5D5F467F" w14:textId="77777777" w:rsidR="00DA4D0A" w:rsidRPr="003C15B8" w:rsidRDefault="00DA4D0A" w:rsidP="009B381B">
            <w:pPr>
              <w:pStyle w:val="Tabletext"/>
              <w:spacing w:line="230" w:lineRule="exact"/>
            </w:pPr>
            <w:r w:rsidRPr="003C15B8">
              <w:t xml:space="preserve">24. Compensation per employee </w:t>
            </w:r>
            <w:r>
              <w:br/>
            </w:r>
            <w:r w:rsidRPr="003C15B8">
              <w:t>(= 23 / 19)</w:t>
            </w:r>
          </w:p>
        </w:tc>
        <w:tc>
          <w:tcPr>
            <w:tcW w:w="903" w:type="dxa"/>
            <w:tcBorders>
              <w:top w:val="nil"/>
              <w:left w:val="single" w:sz="4" w:space="0" w:color="FFFFFF" w:themeColor="background1"/>
              <w:bottom w:val="single" w:sz="4" w:space="0" w:color="FFFFFF"/>
              <w:right w:val="single" w:sz="4" w:space="0" w:color="FFFFFF" w:themeColor="background1"/>
            </w:tcBorders>
            <w:shd w:val="clear" w:color="000000" w:fill="D9D9D9"/>
            <w:vAlign w:val="center"/>
            <w:hideMark/>
          </w:tcPr>
          <w:p w14:paraId="2B206CC0" w14:textId="77777777" w:rsidR="00DA4D0A" w:rsidRPr="003C15B8" w:rsidRDefault="00DA4D0A" w:rsidP="009B381B">
            <w:pPr>
              <w:pStyle w:val="Tabletext"/>
              <w:spacing w:line="230" w:lineRule="exact"/>
            </w:pPr>
            <w:r w:rsidRPr="003C15B8">
              <w:t> </w:t>
            </w:r>
          </w:p>
        </w:tc>
        <w:tc>
          <w:tcPr>
            <w:tcW w:w="656" w:type="dxa"/>
            <w:tcBorders>
              <w:top w:val="nil"/>
              <w:left w:val="single" w:sz="4" w:space="0" w:color="FFFFFF" w:themeColor="background1"/>
              <w:bottom w:val="single" w:sz="4" w:space="0" w:color="FFFFFF"/>
              <w:right w:val="single" w:sz="4" w:space="0" w:color="FFFFFF" w:themeColor="background1"/>
            </w:tcBorders>
            <w:shd w:val="clear" w:color="000000" w:fill="D9D9D9"/>
            <w:vAlign w:val="center"/>
            <w:hideMark/>
          </w:tcPr>
          <w:p w14:paraId="15F8C9D5" w14:textId="77777777" w:rsidR="00DA4D0A" w:rsidRPr="001541D8" w:rsidRDefault="00DA4D0A" w:rsidP="009B381B">
            <w:pPr>
              <w:pStyle w:val="Tabletext"/>
              <w:spacing w:line="230" w:lineRule="exact"/>
              <w:jc w:val="center"/>
            </w:pPr>
            <w:r w:rsidRPr="001541D8">
              <w:t>20.9</w:t>
            </w:r>
          </w:p>
        </w:tc>
        <w:tc>
          <w:tcPr>
            <w:tcW w:w="897" w:type="dxa"/>
            <w:tcBorders>
              <w:top w:val="nil"/>
              <w:left w:val="single" w:sz="4" w:space="0" w:color="FFFFFF" w:themeColor="background1"/>
              <w:bottom w:val="single" w:sz="4" w:space="0" w:color="FFFFFF"/>
              <w:right w:val="nil"/>
            </w:tcBorders>
            <w:shd w:val="clear" w:color="000000" w:fill="D9D9D9"/>
            <w:vAlign w:val="center"/>
            <w:hideMark/>
          </w:tcPr>
          <w:p w14:paraId="0463C02E" w14:textId="77777777" w:rsidR="00DA4D0A" w:rsidRPr="001541D8" w:rsidRDefault="00DA4D0A" w:rsidP="009B381B">
            <w:pPr>
              <w:pStyle w:val="Tabletext"/>
              <w:spacing w:line="230" w:lineRule="exact"/>
              <w:jc w:val="center"/>
            </w:pPr>
            <w:r w:rsidRPr="001541D8">
              <w:t>3.3</w:t>
            </w:r>
          </w:p>
        </w:tc>
        <w:tc>
          <w:tcPr>
            <w:tcW w:w="897" w:type="dxa"/>
            <w:tcBorders>
              <w:top w:val="nil"/>
              <w:left w:val="nil"/>
              <w:bottom w:val="single" w:sz="4" w:space="0" w:color="FFFFFF"/>
              <w:right w:val="nil"/>
            </w:tcBorders>
            <w:shd w:val="clear" w:color="000000" w:fill="D9D9D9"/>
            <w:vAlign w:val="center"/>
            <w:hideMark/>
          </w:tcPr>
          <w:p w14:paraId="01D06959" w14:textId="77777777" w:rsidR="00DA4D0A" w:rsidRPr="001541D8" w:rsidRDefault="00DA4D0A" w:rsidP="009B381B">
            <w:pPr>
              <w:pStyle w:val="Tabletext"/>
              <w:spacing w:line="230" w:lineRule="exact"/>
              <w:jc w:val="center"/>
            </w:pPr>
            <w:r w:rsidRPr="001541D8">
              <w:t>5.8</w:t>
            </w:r>
          </w:p>
        </w:tc>
        <w:tc>
          <w:tcPr>
            <w:tcW w:w="897" w:type="dxa"/>
            <w:tcBorders>
              <w:top w:val="nil"/>
              <w:left w:val="nil"/>
              <w:bottom w:val="single" w:sz="4" w:space="0" w:color="FFFFFF"/>
              <w:right w:val="nil"/>
            </w:tcBorders>
            <w:shd w:val="clear" w:color="000000" w:fill="D9D9D9"/>
            <w:vAlign w:val="center"/>
            <w:hideMark/>
          </w:tcPr>
          <w:p w14:paraId="33663D7F" w14:textId="77777777" w:rsidR="00DA4D0A" w:rsidRPr="001541D8" w:rsidRDefault="00DA4D0A" w:rsidP="009B381B">
            <w:pPr>
              <w:pStyle w:val="Tabletext"/>
              <w:spacing w:line="230" w:lineRule="exact"/>
              <w:jc w:val="center"/>
            </w:pPr>
            <w:r w:rsidRPr="001541D8">
              <w:t>3.5</w:t>
            </w:r>
          </w:p>
        </w:tc>
        <w:tc>
          <w:tcPr>
            <w:tcW w:w="897" w:type="dxa"/>
            <w:tcBorders>
              <w:top w:val="nil"/>
              <w:left w:val="nil"/>
              <w:bottom w:val="single" w:sz="4" w:space="0" w:color="FFFFFF"/>
              <w:right w:val="nil"/>
            </w:tcBorders>
            <w:shd w:val="clear" w:color="000000" w:fill="D9D9D9"/>
            <w:vAlign w:val="center"/>
            <w:hideMark/>
          </w:tcPr>
          <w:p w14:paraId="7451F386" w14:textId="77777777" w:rsidR="00DA4D0A" w:rsidRPr="001541D8" w:rsidRDefault="00DA4D0A" w:rsidP="009B381B">
            <w:pPr>
              <w:pStyle w:val="Tabletext"/>
              <w:spacing w:line="230" w:lineRule="exact"/>
              <w:jc w:val="center"/>
            </w:pPr>
            <w:r w:rsidRPr="001541D8">
              <w:t>3.7</w:t>
            </w:r>
          </w:p>
        </w:tc>
      </w:tr>
      <w:tr w:rsidR="00DA4D0A" w:rsidRPr="003C15B8" w14:paraId="4F735A5F" w14:textId="77777777" w:rsidTr="00817900">
        <w:trPr>
          <w:trHeight w:val="284"/>
          <w:jc w:val="center"/>
        </w:trPr>
        <w:tc>
          <w:tcPr>
            <w:tcW w:w="3828" w:type="dxa"/>
            <w:tcBorders>
              <w:top w:val="nil"/>
              <w:left w:val="nil"/>
              <w:bottom w:val="nil"/>
              <w:right w:val="single" w:sz="4" w:space="0" w:color="FFFFFF" w:themeColor="background1"/>
            </w:tcBorders>
            <w:shd w:val="clear" w:color="000000" w:fill="D6DCE4"/>
            <w:vAlign w:val="center"/>
            <w:hideMark/>
          </w:tcPr>
          <w:p w14:paraId="7E3ABDAE" w14:textId="77777777" w:rsidR="00DA4D0A" w:rsidRPr="003C15B8" w:rsidRDefault="00DA4D0A" w:rsidP="009B381B">
            <w:pPr>
              <w:pStyle w:val="Tabletext"/>
              <w:spacing w:line="230" w:lineRule="exact"/>
            </w:pPr>
            <w:r w:rsidRPr="003C15B8">
              <w:t xml:space="preserve"> </w:t>
            </w:r>
          </w:p>
        </w:tc>
        <w:tc>
          <w:tcPr>
            <w:tcW w:w="903" w:type="dxa"/>
            <w:tcBorders>
              <w:top w:val="nil"/>
              <w:left w:val="single" w:sz="4" w:space="0" w:color="FFFFFF" w:themeColor="background1"/>
              <w:bottom w:val="nil"/>
              <w:right w:val="single" w:sz="4" w:space="0" w:color="FFFFFF" w:themeColor="background1"/>
            </w:tcBorders>
            <w:shd w:val="clear" w:color="000000" w:fill="D6DCE4"/>
            <w:vAlign w:val="center"/>
            <w:hideMark/>
          </w:tcPr>
          <w:p w14:paraId="2E8BAF74" w14:textId="77777777" w:rsidR="00DA4D0A" w:rsidRPr="003C15B8" w:rsidRDefault="00DA4D0A" w:rsidP="009B381B">
            <w:pPr>
              <w:pStyle w:val="Tabletext"/>
              <w:spacing w:line="230" w:lineRule="exact"/>
            </w:pPr>
            <w:r w:rsidRPr="003C15B8">
              <w:t> </w:t>
            </w:r>
          </w:p>
        </w:tc>
        <w:tc>
          <w:tcPr>
            <w:tcW w:w="656" w:type="dxa"/>
            <w:tcBorders>
              <w:top w:val="nil"/>
              <w:left w:val="single" w:sz="4" w:space="0" w:color="FFFFFF" w:themeColor="background1"/>
              <w:bottom w:val="nil"/>
              <w:right w:val="single" w:sz="4" w:space="0" w:color="FFFFFF" w:themeColor="background1"/>
            </w:tcBorders>
            <w:shd w:val="clear" w:color="000000" w:fill="D6DCE4"/>
            <w:vAlign w:val="center"/>
            <w:hideMark/>
          </w:tcPr>
          <w:p w14:paraId="3FD6B6B4" w14:textId="77777777" w:rsidR="00DA4D0A" w:rsidRPr="001541D8" w:rsidRDefault="00DA4D0A" w:rsidP="009B381B">
            <w:pPr>
              <w:pStyle w:val="Tabletext"/>
              <w:spacing w:line="230" w:lineRule="exact"/>
              <w:jc w:val="center"/>
            </w:pPr>
          </w:p>
        </w:tc>
        <w:tc>
          <w:tcPr>
            <w:tcW w:w="3588" w:type="dxa"/>
            <w:gridSpan w:val="4"/>
            <w:tcBorders>
              <w:top w:val="nil"/>
              <w:left w:val="single" w:sz="4" w:space="0" w:color="FFFFFF" w:themeColor="background1"/>
              <w:bottom w:val="nil"/>
              <w:right w:val="nil"/>
            </w:tcBorders>
            <w:shd w:val="clear" w:color="000000" w:fill="D6DCE4"/>
            <w:vAlign w:val="center"/>
            <w:hideMark/>
          </w:tcPr>
          <w:p w14:paraId="2B2BEEC2" w14:textId="77777777" w:rsidR="00DA4D0A" w:rsidRPr="001541D8" w:rsidRDefault="00DA4D0A" w:rsidP="009B381B">
            <w:pPr>
              <w:pStyle w:val="Tabletext"/>
              <w:spacing w:line="230" w:lineRule="exact"/>
              <w:jc w:val="center"/>
            </w:pPr>
            <w:r w:rsidRPr="001541D8">
              <w:t>%</w:t>
            </w:r>
          </w:p>
        </w:tc>
      </w:tr>
      <w:tr w:rsidR="00DA4D0A" w:rsidRPr="003C15B8" w14:paraId="2A8E1B00" w14:textId="77777777" w:rsidTr="00817900">
        <w:trPr>
          <w:trHeight w:val="284"/>
          <w:jc w:val="center"/>
        </w:trPr>
        <w:tc>
          <w:tcPr>
            <w:tcW w:w="3828" w:type="dxa"/>
            <w:tcBorders>
              <w:top w:val="nil"/>
              <w:left w:val="nil"/>
              <w:bottom w:val="single" w:sz="4" w:space="0" w:color="FFFFFF"/>
              <w:right w:val="single" w:sz="4" w:space="0" w:color="FFFFFF" w:themeColor="background1"/>
            </w:tcBorders>
            <w:shd w:val="clear" w:color="000000" w:fill="F2F2F2"/>
            <w:vAlign w:val="center"/>
            <w:hideMark/>
          </w:tcPr>
          <w:p w14:paraId="175EDCCF" w14:textId="77777777" w:rsidR="00DA4D0A" w:rsidRPr="003C15B8" w:rsidRDefault="00DA4D0A" w:rsidP="009B381B">
            <w:pPr>
              <w:pStyle w:val="Tabletext"/>
              <w:spacing w:line="230" w:lineRule="exact"/>
            </w:pPr>
            <w:r w:rsidRPr="003C15B8">
              <w:t>25. Unemployment rate (%)</w:t>
            </w:r>
          </w:p>
        </w:tc>
        <w:tc>
          <w:tcPr>
            <w:tcW w:w="903" w:type="dxa"/>
            <w:tcBorders>
              <w:top w:val="nil"/>
              <w:left w:val="single" w:sz="4" w:space="0" w:color="FFFFFF" w:themeColor="background1"/>
              <w:bottom w:val="single" w:sz="4" w:space="0" w:color="FFFFFF"/>
              <w:right w:val="single" w:sz="4" w:space="0" w:color="FFFFFF" w:themeColor="background1"/>
            </w:tcBorders>
            <w:shd w:val="clear" w:color="000000" w:fill="F2F2F2"/>
            <w:vAlign w:val="center"/>
            <w:hideMark/>
          </w:tcPr>
          <w:p w14:paraId="2D49B310" w14:textId="77777777" w:rsidR="00DA4D0A" w:rsidRPr="003C15B8" w:rsidRDefault="00DA4D0A" w:rsidP="009B381B">
            <w:pPr>
              <w:pStyle w:val="Tabletext"/>
              <w:spacing w:line="230" w:lineRule="exact"/>
            </w:pPr>
            <w:r w:rsidRPr="003C15B8">
              <w:t> </w:t>
            </w:r>
          </w:p>
        </w:tc>
        <w:tc>
          <w:tcPr>
            <w:tcW w:w="656" w:type="dxa"/>
            <w:tcBorders>
              <w:top w:val="nil"/>
              <w:left w:val="single" w:sz="4" w:space="0" w:color="FFFFFF" w:themeColor="background1"/>
              <w:bottom w:val="single" w:sz="4" w:space="0" w:color="FFFFFF"/>
              <w:right w:val="single" w:sz="4" w:space="0" w:color="FFFFFF" w:themeColor="background1"/>
            </w:tcBorders>
            <w:shd w:val="clear" w:color="000000" w:fill="F2F2F2"/>
            <w:vAlign w:val="center"/>
            <w:hideMark/>
          </w:tcPr>
          <w:p w14:paraId="7F6739AF" w14:textId="77777777" w:rsidR="00DA4D0A" w:rsidRPr="001541D8" w:rsidRDefault="00DA4D0A" w:rsidP="009B381B">
            <w:pPr>
              <w:pStyle w:val="Tabletext"/>
              <w:spacing w:line="230" w:lineRule="exact"/>
              <w:jc w:val="center"/>
            </w:pPr>
          </w:p>
        </w:tc>
        <w:tc>
          <w:tcPr>
            <w:tcW w:w="897" w:type="dxa"/>
            <w:tcBorders>
              <w:top w:val="nil"/>
              <w:left w:val="single" w:sz="4" w:space="0" w:color="FFFFFF" w:themeColor="background1"/>
              <w:bottom w:val="single" w:sz="4" w:space="0" w:color="FFFFFF"/>
              <w:right w:val="nil"/>
            </w:tcBorders>
            <w:shd w:val="clear" w:color="000000" w:fill="F2F2F2"/>
            <w:vAlign w:val="center"/>
            <w:hideMark/>
          </w:tcPr>
          <w:p w14:paraId="361CFCB7" w14:textId="77777777" w:rsidR="00DA4D0A" w:rsidRPr="001541D8" w:rsidRDefault="00DA4D0A" w:rsidP="009B381B">
            <w:pPr>
              <w:pStyle w:val="Tabletext"/>
              <w:spacing w:line="230" w:lineRule="exact"/>
              <w:jc w:val="center"/>
            </w:pPr>
            <w:r w:rsidRPr="001541D8">
              <w:t>11.1</w:t>
            </w:r>
          </w:p>
        </w:tc>
        <w:tc>
          <w:tcPr>
            <w:tcW w:w="897" w:type="dxa"/>
            <w:tcBorders>
              <w:top w:val="nil"/>
              <w:left w:val="nil"/>
              <w:bottom w:val="single" w:sz="4" w:space="0" w:color="FFFFFF"/>
              <w:right w:val="nil"/>
            </w:tcBorders>
            <w:shd w:val="clear" w:color="000000" w:fill="F2F2F2"/>
            <w:vAlign w:val="center"/>
            <w:hideMark/>
          </w:tcPr>
          <w:p w14:paraId="1117C1FD" w14:textId="77777777" w:rsidR="00DA4D0A" w:rsidRPr="001541D8" w:rsidRDefault="00DA4D0A" w:rsidP="009B381B">
            <w:pPr>
              <w:pStyle w:val="Tabletext"/>
              <w:spacing w:line="230" w:lineRule="exact"/>
              <w:jc w:val="center"/>
            </w:pPr>
            <w:r w:rsidRPr="001541D8">
              <w:t>10.1</w:t>
            </w:r>
          </w:p>
        </w:tc>
        <w:tc>
          <w:tcPr>
            <w:tcW w:w="897" w:type="dxa"/>
            <w:tcBorders>
              <w:top w:val="nil"/>
              <w:left w:val="nil"/>
              <w:bottom w:val="single" w:sz="4" w:space="0" w:color="FFFFFF"/>
              <w:right w:val="nil"/>
            </w:tcBorders>
            <w:shd w:val="clear" w:color="000000" w:fill="F2F2F2"/>
            <w:vAlign w:val="center"/>
            <w:hideMark/>
          </w:tcPr>
          <w:p w14:paraId="5779C1A7" w14:textId="77777777" w:rsidR="00DA4D0A" w:rsidRPr="001541D8" w:rsidRDefault="00DA4D0A" w:rsidP="009B381B">
            <w:pPr>
              <w:pStyle w:val="Tabletext"/>
              <w:spacing w:line="230" w:lineRule="exact"/>
              <w:jc w:val="center"/>
            </w:pPr>
            <w:r w:rsidRPr="001541D8">
              <w:t>8.9</w:t>
            </w:r>
          </w:p>
        </w:tc>
        <w:tc>
          <w:tcPr>
            <w:tcW w:w="897" w:type="dxa"/>
            <w:tcBorders>
              <w:top w:val="nil"/>
              <w:left w:val="nil"/>
              <w:bottom w:val="single" w:sz="4" w:space="0" w:color="FFFFFF"/>
              <w:right w:val="nil"/>
            </w:tcBorders>
            <w:shd w:val="clear" w:color="000000" w:fill="F2F2F2"/>
            <w:vAlign w:val="center"/>
            <w:hideMark/>
          </w:tcPr>
          <w:p w14:paraId="75070D17" w14:textId="77777777" w:rsidR="00DA4D0A" w:rsidRPr="001541D8" w:rsidRDefault="00DA4D0A" w:rsidP="009B381B">
            <w:pPr>
              <w:pStyle w:val="Tabletext"/>
              <w:spacing w:line="230" w:lineRule="exact"/>
              <w:jc w:val="center"/>
            </w:pPr>
            <w:r w:rsidRPr="001541D8">
              <w:t>8.4</w:t>
            </w:r>
          </w:p>
        </w:tc>
      </w:tr>
      <w:tr w:rsidR="00DA4D0A" w:rsidRPr="003C15B8" w14:paraId="222338CF" w14:textId="77777777" w:rsidTr="00817900">
        <w:trPr>
          <w:trHeight w:val="284"/>
          <w:jc w:val="center"/>
        </w:trPr>
        <w:tc>
          <w:tcPr>
            <w:tcW w:w="3828" w:type="dxa"/>
            <w:tcBorders>
              <w:top w:val="nil"/>
              <w:left w:val="nil"/>
              <w:bottom w:val="nil"/>
              <w:right w:val="single" w:sz="4" w:space="0" w:color="FFFFFF" w:themeColor="background1"/>
            </w:tcBorders>
            <w:shd w:val="clear" w:color="000000" w:fill="D6DCE4"/>
            <w:vAlign w:val="center"/>
            <w:hideMark/>
          </w:tcPr>
          <w:p w14:paraId="28AE9B5B" w14:textId="77777777" w:rsidR="00DA4D0A" w:rsidRPr="003C15B8" w:rsidRDefault="00DA4D0A" w:rsidP="009B381B">
            <w:pPr>
              <w:pStyle w:val="Tabletext"/>
              <w:spacing w:line="230" w:lineRule="exact"/>
              <w:rPr>
                <w:b/>
              </w:rPr>
            </w:pPr>
            <w:r w:rsidRPr="003C15B8">
              <w:rPr>
                <w:b/>
              </w:rPr>
              <w:t>Potential GDP and components</w:t>
            </w:r>
          </w:p>
        </w:tc>
        <w:tc>
          <w:tcPr>
            <w:tcW w:w="903" w:type="dxa"/>
            <w:tcBorders>
              <w:top w:val="nil"/>
              <w:left w:val="single" w:sz="4" w:space="0" w:color="FFFFFF" w:themeColor="background1"/>
              <w:bottom w:val="nil"/>
              <w:right w:val="single" w:sz="4" w:space="0" w:color="FFFFFF" w:themeColor="background1"/>
            </w:tcBorders>
            <w:shd w:val="clear" w:color="000000" w:fill="D6DCE4"/>
            <w:vAlign w:val="center"/>
            <w:hideMark/>
          </w:tcPr>
          <w:p w14:paraId="4D8AA90E" w14:textId="77777777" w:rsidR="00DA4D0A" w:rsidRPr="003C15B8" w:rsidRDefault="00DA4D0A" w:rsidP="009B381B">
            <w:pPr>
              <w:pStyle w:val="Tabletext"/>
              <w:spacing w:line="230" w:lineRule="exact"/>
              <w:rPr>
                <w:b/>
              </w:rPr>
            </w:pPr>
            <w:r w:rsidRPr="003C15B8">
              <w:rPr>
                <w:b/>
              </w:rPr>
              <w:t> </w:t>
            </w:r>
          </w:p>
        </w:tc>
        <w:tc>
          <w:tcPr>
            <w:tcW w:w="656" w:type="dxa"/>
            <w:tcBorders>
              <w:top w:val="nil"/>
              <w:left w:val="single" w:sz="4" w:space="0" w:color="FFFFFF" w:themeColor="background1"/>
              <w:bottom w:val="nil"/>
              <w:right w:val="single" w:sz="4" w:space="0" w:color="FFFFFF" w:themeColor="background1"/>
            </w:tcBorders>
            <w:shd w:val="clear" w:color="000000" w:fill="D6DCE4"/>
            <w:vAlign w:val="center"/>
            <w:hideMark/>
          </w:tcPr>
          <w:p w14:paraId="5B84645D" w14:textId="77777777" w:rsidR="00DA4D0A" w:rsidRPr="001541D8" w:rsidRDefault="00DA4D0A" w:rsidP="009B381B">
            <w:pPr>
              <w:pStyle w:val="Tabletext"/>
              <w:spacing w:line="230" w:lineRule="exact"/>
              <w:jc w:val="center"/>
            </w:pPr>
          </w:p>
        </w:tc>
        <w:tc>
          <w:tcPr>
            <w:tcW w:w="3588" w:type="dxa"/>
            <w:gridSpan w:val="4"/>
            <w:tcBorders>
              <w:top w:val="nil"/>
              <w:left w:val="single" w:sz="4" w:space="0" w:color="FFFFFF" w:themeColor="background1"/>
              <w:bottom w:val="nil"/>
              <w:right w:val="nil"/>
            </w:tcBorders>
            <w:shd w:val="clear" w:color="000000" w:fill="D6DCE4"/>
            <w:vAlign w:val="center"/>
            <w:hideMark/>
          </w:tcPr>
          <w:p w14:paraId="010B1B4E" w14:textId="77777777" w:rsidR="00DA4D0A" w:rsidRPr="001541D8" w:rsidRDefault="00DA4D0A" w:rsidP="009B381B">
            <w:pPr>
              <w:pStyle w:val="Tabletext"/>
              <w:spacing w:line="230" w:lineRule="exact"/>
              <w:jc w:val="center"/>
            </w:pPr>
            <w:r w:rsidRPr="001541D8">
              <w:t>growth rate</w:t>
            </w:r>
          </w:p>
        </w:tc>
      </w:tr>
      <w:tr w:rsidR="00DA4D0A" w:rsidRPr="003C15B8" w14:paraId="0189623B" w14:textId="77777777" w:rsidTr="00817900">
        <w:trPr>
          <w:trHeight w:val="284"/>
          <w:jc w:val="center"/>
        </w:trPr>
        <w:tc>
          <w:tcPr>
            <w:tcW w:w="3828" w:type="dxa"/>
            <w:tcBorders>
              <w:top w:val="nil"/>
              <w:left w:val="nil"/>
              <w:bottom w:val="single" w:sz="4" w:space="0" w:color="FFFFFF"/>
              <w:right w:val="single" w:sz="4" w:space="0" w:color="FFFFFF" w:themeColor="background1"/>
            </w:tcBorders>
            <w:shd w:val="clear" w:color="000000" w:fill="F2F2F2"/>
            <w:vAlign w:val="center"/>
            <w:hideMark/>
          </w:tcPr>
          <w:p w14:paraId="3C471CE4" w14:textId="77777777" w:rsidR="00DA4D0A" w:rsidRPr="003C15B8" w:rsidRDefault="00DA4D0A" w:rsidP="009B381B">
            <w:pPr>
              <w:pStyle w:val="Tabletext"/>
              <w:spacing w:line="230" w:lineRule="exact"/>
            </w:pPr>
            <w:r w:rsidRPr="003C15B8">
              <w:t>26. Potential GDP</w:t>
            </w:r>
          </w:p>
        </w:tc>
        <w:tc>
          <w:tcPr>
            <w:tcW w:w="903" w:type="dxa"/>
            <w:tcBorders>
              <w:top w:val="nil"/>
              <w:left w:val="single" w:sz="4" w:space="0" w:color="FFFFFF" w:themeColor="background1"/>
              <w:bottom w:val="single" w:sz="4" w:space="0" w:color="FFFFFF"/>
              <w:right w:val="single" w:sz="4" w:space="0" w:color="FFFFFF" w:themeColor="background1"/>
            </w:tcBorders>
            <w:shd w:val="clear" w:color="000000" w:fill="F2F2F2"/>
            <w:vAlign w:val="center"/>
            <w:hideMark/>
          </w:tcPr>
          <w:p w14:paraId="0F2C24F2" w14:textId="77777777" w:rsidR="00DA4D0A" w:rsidRPr="003C15B8" w:rsidRDefault="00DA4D0A" w:rsidP="009B381B">
            <w:pPr>
              <w:pStyle w:val="Tabletext"/>
              <w:spacing w:line="230" w:lineRule="exact"/>
            </w:pPr>
            <w:r w:rsidRPr="003C15B8">
              <w:t> </w:t>
            </w:r>
          </w:p>
        </w:tc>
        <w:tc>
          <w:tcPr>
            <w:tcW w:w="656" w:type="dxa"/>
            <w:tcBorders>
              <w:top w:val="nil"/>
              <w:left w:val="single" w:sz="4" w:space="0" w:color="FFFFFF" w:themeColor="background1"/>
              <w:bottom w:val="single" w:sz="4" w:space="0" w:color="FFFFFF"/>
              <w:right w:val="single" w:sz="4" w:space="0" w:color="FFFFFF" w:themeColor="background1"/>
            </w:tcBorders>
            <w:shd w:val="clear" w:color="000000" w:fill="F2F2F2"/>
            <w:vAlign w:val="center"/>
            <w:hideMark/>
          </w:tcPr>
          <w:p w14:paraId="2B920612" w14:textId="77777777" w:rsidR="00DA4D0A" w:rsidRPr="001541D8" w:rsidRDefault="00DA4D0A" w:rsidP="009B381B">
            <w:pPr>
              <w:pStyle w:val="Tabletext"/>
              <w:spacing w:line="230" w:lineRule="exact"/>
              <w:jc w:val="center"/>
            </w:pPr>
          </w:p>
        </w:tc>
        <w:tc>
          <w:tcPr>
            <w:tcW w:w="897" w:type="dxa"/>
            <w:tcBorders>
              <w:top w:val="nil"/>
              <w:left w:val="single" w:sz="4" w:space="0" w:color="FFFFFF" w:themeColor="background1"/>
              <w:bottom w:val="single" w:sz="4" w:space="0" w:color="FFFFFF"/>
              <w:right w:val="nil"/>
            </w:tcBorders>
            <w:shd w:val="clear" w:color="000000" w:fill="F2F2F2"/>
            <w:vAlign w:val="center"/>
            <w:hideMark/>
          </w:tcPr>
          <w:p w14:paraId="1BFFB62F" w14:textId="77777777" w:rsidR="00DA4D0A" w:rsidRPr="001541D8" w:rsidRDefault="00DA4D0A" w:rsidP="009B381B">
            <w:pPr>
              <w:pStyle w:val="Tabletext"/>
              <w:spacing w:line="230" w:lineRule="exact"/>
              <w:jc w:val="center"/>
            </w:pPr>
            <w:r w:rsidRPr="001541D8">
              <w:t>0.5</w:t>
            </w:r>
          </w:p>
        </w:tc>
        <w:tc>
          <w:tcPr>
            <w:tcW w:w="897" w:type="dxa"/>
            <w:tcBorders>
              <w:top w:val="nil"/>
              <w:left w:val="nil"/>
              <w:bottom w:val="single" w:sz="4" w:space="0" w:color="FFFFFF"/>
              <w:right w:val="nil"/>
            </w:tcBorders>
            <w:shd w:val="clear" w:color="000000" w:fill="F2F2F2"/>
            <w:vAlign w:val="center"/>
            <w:hideMark/>
          </w:tcPr>
          <w:p w14:paraId="3BFCF427" w14:textId="77777777" w:rsidR="00DA4D0A" w:rsidRPr="001541D8" w:rsidRDefault="00DA4D0A" w:rsidP="009B381B">
            <w:pPr>
              <w:pStyle w:val="Tabletext"/>
              <w:spacing w:line="230" w:lineRule="exact"/>
              <w:jc w:val="center"/>
            </w:pPr>
            <w:r w:rsidRPr="001541D8">
              <w:t>1.0</w:t>
            </w:r>
          </w:p>
        </w:tc>
        <w:tc>
          <w:tcPr>
            <w:tcW w:w="897" w:type="dxa"/>
            <w:tcBorders>
              <w:top w:val="nil"/>
              <w:left w:val="nil"/>
              <w:bottom w:val="single" w:sz="4" w:space="0" w:color="FFFFFF"/>
              <w:right w:val="nil"/>
            </w:tcBorders>
            <w:shd w:val="clear" w:color="000000" w:fill="F2F2F2"/>
            <w:vAlign w:val="center"/>
            <w:hideMark/>
          </w:tcPr>
          <w:p w14:paraId="722F5627" w14:textId="77777777" w:rsidR="00DA4D0A" w:rsidRPr="001541D8" w:rsidRDefault="00DA4D0A" w:rsidP="009B381B">
            <w:pPr>
              <w:pStyle w:val="Tabletext"/>
              <w:spacing w:line="230" w:lineRule="exact"/>
              <w:jc w:val="center"/>
            </w:pPr>
            <w:r w:rsidRPr="001541D8">
              <w:t>1.5</w:t>
            </w:r>
          </w:p>
        </w:tc>
        <w:tc>
          <w:tcPr>
            <w:tcW w:w="897" w:type="dxa"/>
            <w:tcBorders>
              <w:top w:val="nil"/>
              <w:left w:val="nil"/>
              <w:bottom w:val="single" w:sz="4" w:space="0" w:color="FFFFFF"/>
              <w:right w:val="nil"/>
            </w:tcBorders>
            <w:shd w:val="clear" w:color="000000" w:fill="F2F2F2"/>
            <w:vAlign w:val="center"/>
            <w:hideMark/>
          </w:tcPr>
          <w:p w14:paraId="1D091C24" w14:textId="77777777" w:rsidR="00DA4D0A" w:rsidRPr="001541D8" w:rsidRDefault="00DA4D0A" w:rsidP="009B381B">
            <w:pPr>
              <w:pStyle w:val="Tabletext"/>
              <w:spacing w:line="230" w:lineRule="exact"/>
              <w:jc w:val="center"/>
            </w:pPr>
            <w:r w:rsidRPr="001541D8">
              <w:t>1.9</w:t>
            </w:r>
          </w:p>
        </w:tc>
      </w:tr>
      <w:tr w:rsidR="00DA4D0A" w:rsidRPr="003C15B8" w14:paraId="5BB341B2" w14:textId="77777777" w:rsidTr="00817900">
        <w:trPr>
          <w:trHeight w:val="284"/>
          <w:jc w:val="center"/>
        </w:trPr>
        <w:tc>
          <w:tcPr>
            <w:tcW w:w="3828" w:type="dxa"/>
            <w:tcBorders>
              <w:top w:val="nil"/>
              <w:left w:val="nil"/>
              <w:bottom w:val="nil"/>
              <w:right w:val="single" w:sz="4" w:space="0" w:color="FFFFFF" w:themeColor="background1"/>
            </w:tcBorders>
            <w:shd w:val="clear" w:color="000000" w:fill="D6DCE4"/>
            <w:vAlign w:val="center"/>
            <w:hideMark/>
          </w:tcPr>
          <w:p w14:paraId="0E8A1A0C" w14:textId="43CF89A7" w:rsidR="00DA4D0A" w:rsidRPr="003C15B8" w:rsidRDefault="00C949A0" w:rsidP="009B381B">
            <w:pPr>
              <w:pStyle w:val="Tabletext"/>
              <w:spacing w:line="230" w:lineRule="exact"/>
              <w:rPr>
                <w:b/>
              </w:rPr>
            </w:pPr>
            <w:r w:rsidRPr="003C15B8">
              <w:rPr>
                <w:b/>
              </w:rPr>
              <w:t>Contribution</w:t>
            </w:r>
            <w:r w:rsidR="00DA4D0A" w:rsidRPr="003C15B8">
              <w:rPr>
                <w:b/>
              </w:rPr>
              <w:t xml:space="preserve"> to potential growth</w:t>
            </w:r>
          </w:p>
        </w:tc>
        <w:tc>
          <w:tcPr>
            <w:tcW w:w="903" w:type="dxa"/>
            <w:tcBorders>
              <w:top w:val="nil"/>
              <w:left w:val="single" w:sz="4" w:space="0" w:color="FFFFFF" w:themeColor="background1"/>
              <w:bottom w:val="nil"/>
              <w:right w:val="single" w:sz="4" w:space="0" w:color="FFFFFF" w:themeColor="background1"/>
            </w:tcBorders>
            <w:shd w:val="clear" w:color="000000" w:fill="D6DCE4"/>
            <w:vAlign w:val="center"/>
            <w:hideMark/>
          </w:tcPr>
          <w:p w14:paraId="63160311" w14:textId="77777777" w:rsidR="00DA4D0A" w:rsidRPr="003C15B8" w:rsidRDefault="00DA4D0A" w:rsidP="009B381B">
            <w:pPr>
              <w:pStyle w:val="Tabletext"/>
              <w:spacing w:line="230" w:lineRule="exact"/>
              <w:rPr>
                <w:b/>
              </w:rPr>
            </w:pPr>
            <w:r w:rsidRPr="003C15B8">
              <w:rPr>
                <w:b/>
              </w:rPr>
              <w:t> </w:t>
            </w:r>
          </w:p>
        </w:tc>
        <w:tc>
          <w:tcPr>
            <w:tcW w:w="656" w:type="dxa"/>
            <w:tcBorders>
              <w:top w:val="nil"/>
              <w:left w:val="single" w:sz="4" w:space="0" w:color="FFFFFF" w:themeColor="background1"/>
              <w:bottom w:val="nil"/>
              <w:right w:val="single" w:sz="4" w:space="0" w:color="FFFFFF" w:themeColor="background1"/>
            </w:tcBorders>
            <w:shd w:val="clear" w:color="000000" w:fill="D6DCE4"/>
            <w:vAlign w:val="center"/>
            <w:hideMark/>
          </w:tcPr>
          <w:p w14:paraId="5E809E2B" w14:textId="77777777" w:rsidR="00DA4D0A" w:rsidRPr="001541D8" w:rsidRDefault="00DA4D0A" w:rsidP="009B381B">
            <w:pPr>
              <w:pStyle w:val="Tabletext"/>
              <w:spacing w:line="230" w:lineRule="exact"/>
              <w:jc w:val="center"/>
            </w:pPr>
          </w:p>
        </w:tc>
        <w:tc>
          <w:tcPr>
            <w:tcW w:w="3588" w:type="dxa"/>
            <w:gridSpan w:val="4"/>
            <w:tcBorders>
              <w:top w:val="nil"/>
              <w:left w:val="single" w:sz="4" w:space="0" w:color="FFFFFF" w:themeColor="background1"/>
              <w:bottom w:val="nil"/>
              <w:right w:val="nil"/>
            </w:tcBorders>
            <w:shd w:val="clear" w:color="000000" w:fill="D6DCE4"/>
            <w:vAlign w:val="center"/>
            <w:hideMark/>
          </w:tcPr>
          <w:p w14:paraId="0740CADD" w14:textId="77777777" w:rsidR="00DA4D0A" w:rsidRPr="001541D8" w:rsidRDefault="00DA4D0A" w:rsidP="009B381B">
            <w:pPr>
              <w:pStyle w:val="Tabletext"/>
              <w:spacing w:line="230" w:lineRule="exact"/>
              <w:jc w:val="center"/>
            </w:pPr>
          </w:p>
        </w:tc>
      </w:tr>
      <w:tr w:rsidR="00DA4D0A" w:rsidRPr="003C15B8" w14:paraId="1CB4D09C" w14:textId="77777777" w:rsidTr="00817900">
        <w:trPr>
          <w:trHeight w:val="284"/>
          <w:jc w:val="center"/>
        </w:trPr>
        <w:tc>
          <w:tcPr>
            <w:tcW w:w="3828" w:type="dxa"/>
            <w:tcBorders>
              <w:top w:val="nil"/>
              <w:left w:val="nil"/>
              <w:bottom w:val="single" w:sz="4" w:space="0" w:color="FFFFFF"/>
              <w:right w:val="single" w:sz="4" w:space="0" w:color="FFFFFF" w:themeColor="background1"/>
            </w:tcBorders>
            <w:shd w:val="clear" w:color="000000" w:fill="F2F2F2"/>
            <w:vAlign w:val="center"/>
            <w:hideMark/>
          </w:tcPr>
          <w:p w14:paraId="06EC3976" w14:textId="77777777" w:rsidR="00DA4D0A" w:rsidRPr="003C15B8" w:rsidRDefault="00DA4D0A" w:rsidP="009B381B">
            <w:pPr>
              <w:pStyle w:val="Tabletext"/>
              <w:spacing w:line="230" w:lineRule="exact"/>
            </w:pPr>
            <w:r w:rsidRPr="003C15B8">
              <w:t>27.    Labour</w:t>
            </w:r>
          </w:p>
        </w:tc>
        <w:tc>
          <w:tcPr>
            <w:tcW w:w="903" w:type="dxa"/>
            <w:tcBorders>
              <w:top w:val="nil"/>
              <w:left w:val="single" w:sz="4" w:space="0" w:color="FFFFFF" w:themeColor="background1"/>
              <w:bottom w:val="single" w:sz="4" w:space="0" w:color="FFFFFF"/>
              <w:right w:val="single" w:sz="4" w:space="0" w:color="FFFFFF" w:themeColor="background1"/>
            </w:tcBorders>
            <w:shd w:val="clear" w:color="000000" w:fill="F2F2F2"/>
            <w:vAlign w:val="center"/>
            <w:hideMark/>
          </w:tcPr>
          <w:p w14:paraId="2F6517A5" w14:textId="77777777" w:rsidR="00DA4D0A" w:rsidRPr="003C15B8" w:rsidRDefault="00DA4D0A" w:rsidP="009B381B">
            <w:pPr>
              <w:pStyle w:val="Tabletext"/>
              <w:spacing w:line="230" w:lineRule="exact"/>
            </w:pPr>
            <w:r w:rsidRPr="003C15B8">
              <w:t> </w:t>
            </w:r>
          </w:p>
        </w:tc>
        <w:tc>
          <w:tcPr>
            <w:tcW w:w="656" w:type="dxa"/>
            <w:tcBorders>
              <w:top w:val="nil"/>
              <w:left w:val="single" w:sz="4" w:space="0" w:color="FFFFFF" w:themeColor="background1"/>
              <w:bottom w:val="single" w:sz="4" w:space="0" w:color="FFFFFF"/>
              <w:right w:val="single" w:sz="4" w:space="0" w:color="FFFFFF" w:themeColor="background1"/>
            </w:tcBorders>
            <w:shd w:val="clear" w:color="000000" w:fill="F2F2F2"/>
            <w:vAlign w:val="center"/>
            <w:hideMark/>
          </w:tcPr>
          <w:p w14:paraId="5448DC1F" w14:textId="77777777" w:rsidR="00DA4D0A" w:rsidRPr="001541D8" w:rsidRDefault="00DA4D0A" w:rsidP="009B381B">
            <w:pPr>
              <w:pStyle w:val="Tabletext"/>
              <w:spacing w:line="230" w:lineRule="exact"/>
              <w:jc w:val="center"/>
            </w:pPr>
          </w:p>
        </w:tc>
        <w:tc>
          <w:tcPr>
            <w:tcW w:w="897" w:type="dxa"/>
            <w:tcBorders>
              <w:top w:val="nil"/>
              <w:left w:val="single" w:sz="4" w:space="0" w:color="FFFFFF" w:themeColor="background1"/>
              <w:bottom w:val="single" w:sz="4" w:space="0" w:color="FFFFFF"/>
              <w:right w:val="nil"/>
            </w:tcBorders>
            <w:shd w:val="clear" w:color="000000" w:fill="F2F2F2"/>
            <w:vAlign w:val="center"/>
            <w:hideMark/>
          </w:tcPr>
          <w:p w14:paraId="0A318089" w14:textId="77777777" w:rsidR="00DA4D0A" w:rsidRPr="001541D8" w:rsidRDefault="00DA4D0A" w:rsidP="009B381B">
            <w:pPr>
              <w:pStyle w:val="Tabletext"/>
              <w:spacing w:line="230" w:lineRule="exact"/>
              <w:jc w:val="center"/>
            </w:pPr>
            <w:r w:rsidRPr="001541D8">
              <w:t>0.1</w:t>
            </w:r>
          </w:p>
        </w:tc>
        <w:tc>
          <w:tcPr>
            <w:tcW w:w="897" w:type="dxa"/>
            <w:tcBorders>
              <w:top w:val="nil"/>
              <w:left w:val="nil"/>
              <w:bottom w:val="single" w:sz="4" w:space="0" w:color="FFFFFF"/>
              <w:right w:val="nil"/>
            </w:tcBorders>
            <w:shd w:val="clear" w:color="000000" w:fill="F2F2F2"/>
            <w:vAlign w:val="center"/>
            <w:hideMark/>
          </w:tcPr>
          <w:p w14:paraId="281CB122" w14:textId="77777777" w:rsidR="00DA4D0A" w:rsidRPr="001541D8" w:rsidRDefault="00DA4D0A" w:rsidP="009B381B">
            <w:pPr>
              <w:pStyle w:val="Tabletext"/>
              <w:spacing w:line="230" w:lineRule="exact"/>
              <w:jc w:val="center"/>
            </w:pPr>
            <w:r w:rsidRPr="001541D8">
              <w:t>0.1</w:t>
            </w:r>
          </w:p>
        </w:tc>
        <w:tc>
          <w:tcPr>
            <w:tcW w:w="897" w:type="dxa"/>
            <w:tcBorders>
              <w:top w:val="nil"/>
              <w:left w:val="nil"/>
              <w:bottom w:val="single" w:sz="4" w:space="0" w:color="FFFFFF"/>
              <w:right w:val="nil"/>
            </w:tcBorders>
            <w:shd w:val="clear" w:color="000000" w:fill="F2F2F2"/>
            <w:vAlign w:val="center"/>
            <w:hideMark/>
          </w:tcPr>
          <w:p w14:paraId="6FC42304" w14:textId="77777777" w:rsidR="00DA4D0A" w:rsidRPr="001541D8" w:rsidRDefault="00DA4D0A" w:rsidP="009B381B">
            <w:pPr>
              <w:pStyle w:val="Tabletext"/>
              <w:spacing w:line="230" w:lineRule="exact"/>
              <w:jc w:val="center"/>
            </w:pPr>
            <w:r w:rsidRPr="001541D8">
              <w:t>0.2</w:t>
            </w:r>
          </w:p>
        </w:tc>
        <w:tc>
          <w:tcPr>
            <w:tcW w:w="897" w:type="dxa"/>
            <w:tcBorders>
              <w:top w:val="nil"/>
              <w:left w:val="nil"/>
              <w:bottom w:val="single" w:sz="4" w:space="0" w:color="FFFFFF"/>
              <w:right w:val="nil"/>
            </w:tcBorders>
            <w:shd w:val="clear" w:color="000000" w:fill="F2F2F2"/>
            <w:vAlign w:val="center"/>
            <w:hideMark/>
          </w:tcPr>
          <w:p w14:paraId="52803D19" w14:textId="77777777" w:rsidR="00DA4D0A" w:rsidRPr="001541D8" w:rsidRDefault="00DA4D0A" w:rsidP="009B381B">
            <w:pPr>
              <w:pStyle w:val="Tabletext"/>
              <w:spacing w:line="230" w:lineRule="exact"/>
              <w:jc w:val="center"/>
            </w:pPr>
            <w:r w:rsidRPr="001541D8">
              <w:t>0.2</w:t>
            </w:r>
          </w:p>
        </w:tc>
      </w:tr>
      <w:tr w:rsidR="00DA4D0A" w:rsidRPr="003C15B8" w14:paraId="2583CA39" w14:textId="77777777" w:rsidTr="00817900">
        <w:trPr>
          <w:trHeight w:val="284"/>
          <w:jc w:val="center"/>
        </w:trPr>
        <w:tc>
          <w:tcPr>
            <w:tcW w:w="3828" w:type="dxa"/>
            <w:tcBorders>
              <w:top w:val="nil"/>
              <w:left w:val="nil"/>
              <w:bottom w:val="single" w:sz="4" w:space="0" w:color="FFFFFF"/>
              <w:right w:val="single" w:sz="4" w:space="0" w:color="FFFFFF" w:themeColor="background1"/>
            </w:tcBorders>
            <w:shd w:val="clear" w:color="000000" w:fill="D9D9D9"/>
            <w:vAlign w:val="center"/>
            <w:hideMark/>
          </w:tcPr>
          <w:p w14:paraId="5FB3B30F" w14:textId="77777777" w:rsidR="00DA4D0A" w:rsidRPr="003C15B8" w:rsidRDefault="00DA4D0A" w:rsidP="009B381B">
            <w:pPr>
              <w:pStyle w:val="Tabletext"/>
              <w:spacing w:line="230" w:lineRule="exact"/>
            </w:pPr>
            <w:r w:rsidRPr="003C15B8">
              <w:t>28.    Capital</w:t>
            </w:r>
          </w:p>
        </w:tc>
        <w:tc>
          <w:tcPr>
            <w:tcW w:w="903" w:type="dxa"/>
            <w:tcBorders>
              <w:top w:val="nil"/>
              <w:left w:val="single" w:sz="4" w:space="0" w:color="FFFFFF" w:themeColor="background1"/>
              <w:bottom w:val="single" w:sz="4" w:space="0" w:color="FFFFFF"/>
              <w:right w:val="single" w:sz="4" w:space="0" w:color="FFFFFF" w:themeColor="background1"/>
            </w:tcBorders>
            <w:shd w:val="clear" w:color="000000" w:fill="D9D9D9"/>
            <w:vAlign w:val="center"/>
            <w:hideMark/>
          </w:tcPr>
          <w:p w14:paraId="0BE91DBF" w14:textId="77777777" w:rsidR="00DA4D0A" w:rsidRPr="003C15B8" w:rsidRDefault="00DA4D0A" w:rsidP="009B381B">
            <w:pPr>
              <w:pStyle w:val="Tabletext"/>
              <w:spacing w:line="230" w:lineRule="exact"/>
            </w:pPr>
            <w:r w:rsidRPr="003C15B8">
              <w:t> </w:t>
            </w:r>
          </w:p>
        </w:tc>
        <w:tc>
          <w:tcPr>
            <w:tcW w:w="656" w:type="dxa"/>
            <w:tcBorders>
              <w:top w:val="nil"/>
              <w:left w:val="single" w:sz="4" w:space="0" w:color="FFFFFF" w:themeColor="background1"/>
              <w:bottom w:val="single" w:sz="4" w:space="0" w:color="FFFFFF"/>
              <w:right w:val="single" w:sz="4" w:space="0" w:color="FFFFFF" w:themeColor="background1"/>
            </w:tcBorders>
            <w:shd w:val="clear" w:color="000000" w:fill="D9D9D9"/>
            <w:vAlign w:val="center"/>
            <w:hideMark/>
          </w:tcPr>
          <w:p w14:paraId="0926CCF5" w14:textId="77777777" w:rsidR="00DA4D0A" w:rsidRPr="001541D8" w:rsidRDefault="00DA4D0A" w:rsidP="009B381B">
            <w:pPr>
              <w:pStyle w:val="Tabletext"/>
              <w:spacing w:line="230" w:lineRule="exact"/>
              <w:jc w:val="center"/>
            </w:pPr>
          </w:p>
        </w:tc>
        <w:tc>
          <w:tcPr>
            <w:tcW w:w="897" w:type="dxa"/>
            <w:tcBorders>
              <w:top w:val="nil"/>
              <w:left w:val="single" w:sz="4" w:space="0" w:color="FFFFFF" w:themeColor="background1"/>
              <w:bottom w:val="single" w:sz="4" w:space="0" w:color="FFFFFF"/>
              <w:right w:val="nil"/>
            </w:tcBorders>
            <w:shd w:val="clear" w:color="000000" w:fill="D9D9D9"/>
            <w:vAlign w:val="center"/>
            <w:hideMark/>
          </w:tcPr>
          <w:p w14:paraId="309178B2" w14:textId="77777777" w:rsidR="00DA4D0A" w:rsidRPr="001541D8" w:rsidRDefault="00DA4D0A" w:rsidP="009B381B">
            <w:pPr>
              <w:pStyle w:val="Tabletext"/>
              <w:spacing w:line="230" w:lineRule="exact"/>
              <w:jc w:val="center"/>
            </w:pPr>
            <w:r w:rsidRPr="001541D8">
              <w:t>0.1</w:t>
            </w:r>
          </w:p>
        </w:tc>
        <w:tc>
          <w:tcPr>
            <w:tcW w:w="897" w:type="dxa"/>
            <w:tcBorders>
              <w:top w:val="nil"/>
              <w:left w:val="nil"/>
              <w:bottom w:val="single" w:sz="4" w:space="0" w:color="FFFFFF"/>
              <w:right w:val="nil"/>
            </w:tcBorders>
            <w:shd w:val="clear" w:color="000000" w:fill="D9D9D9"/>
            <w:vAlign w:val="center"/>
            <w:hideMark/>
          </w:tcPr>
          <w:p w14:paraId="57D00626" w14:textId="77777777" w:rsidR="00DA4D0A" w:rsidRPr="001541D8" w:rsidRDefault="00DA4D0A" w:rsidP="009B381B">
            <w:pPr>
              <w:pStyle w:val="Tabletext"/>
              <w:spacing w:line="230" w:lineRule="exact"/>
              <w:jc w:val="center"/>
            </w:pPr>
            <w:r w:rsidRPr="001541D8">
              <w:t>0.1</w:t>
            </w:r>
          </w:p>
        </w:tc>
        <w:tc>
          <w:tcPr>
            <w:tcW w:w="897" w:type="dxa"/>
            <w:tcBorders>
              <w:top w:val="nil"/>
              <w:left w:val="nil"/>
              <w:bottom w:val="single" w:sz="4" w:space="0" w:color="FFFFFF"/>
              <w:right w:val="nil"/>
            </w:tcBorders>
            <w:shd w:val="clear" w:color="000000" w:fill="D9D9D9"/>
            <w:vAlign w:val="center"/>
            <w:hideMark/>
          </w:tcPr>
          <w:p w14:paraId="6288D690" w14:textId="77777777" w:rsidR="00DA4D0A" w:rsidRPr="001541D8" w:rsidRDefault="00DA4D0A" w:rsidP="009B381B">
            <w:pPr>
              <w:pStyle w:val="Tabletext"/>
              <w:spacing w:line="230" w:lineRule="exact"/>
              <w:jc w:val="center"/>
            </w:pPr>
            <w:r w:rsidRPr="001541D8">
              <w:t>0.2</w:t>
            </w:r>
          </w:p>
        </w:tc>
        <w:tc>
          <w:tcPr>
            <w:tcW w:w="897" w:type="dxa"/>
            <w:tcBorders>
              <w:top w:val="nil"/>
              <w:left w:val="nil"/>
              <w:bottom w:val="single" w:sz="4" w:space="0" w:color="FFFFFF"/>
              <w:right w:val="nil"/>
            </w:tcBorders>
            <w:shd w:val="clear" w:color="000000" w:fill="D9D9D9"/>
            <w:vAlign w:val="center"/>
            <w:hideMark/>
          </w:tcPr>
          <w:p w14:paraId="369C4EB2" w14:textId="77777777" w:rsidR="00DA4D0A" w:rsidRPr="001541D8" w:rsidRDefault="00DA4D0A" w:rsidP="009B381B">
            <w:pPr>
              <w:pStyle w:val="Tabletext"/>
              <w:spacing w:line="230" w:lineRule="exact"/>
              <w:jc w:val="center"/>
            </w:pPr>
            <w:r w:rsidRPr="001541D8">
              <w:t>0.3</w:t>
            </w:r>
          </w:p>
        </w:tc>
      </w:tr>
      <w:tr w:rsidR="00DA4D0A" w:rsidRPr="003C15B8" w14:paraId="575342E2" w14:textId="77777777" w:rsidTr="00817900">
        <w:trPr>
          <w:trHeight w:val="284"/>
          <w:jc w:val="center"/>
        </w:trPr>
        <w:tc>
          <w:tcPr>
            <w:tcW w:w="3828" w:type="dxa"/>
            <w:tcBorders>
              <w:top w:val="nil"/>
              <w:left w:val="nil"/>
              <w:bottom w:val="single" w:sz="4" w:space="0" w:color="FFFFFF"/>
              <w:right w:val="single" w:sz="4" w:space="0" w:color="FFFFFF" w:themeColor="background1"/>
            </w:tcBorders>
            <w:shd w:val="clear" w:color="000000" w:fill="F2F2F2"/>
            <w:vAlign w:val="center"/>
            <w:hideMark/>
          </w:tcPr>
          <w:p w14:paraId="4BF1B217" w14:textId="77777777" w:rsidR="00DA4D0A" w:rsidRPr="003C15B8" w:rsidRDefault="00DA4D0A" w:rsidP="009B381B">
            <w:pPr>
              <w:pStyle w:val="Tabletext"/>
              <w:spacing w:line="230" w:lineRule="exact"/>
            </w:pPr>
            <w:r w:rsidRPr="003C15B8">
              <w:t>29.    Total factor productivity</w:t>
            </w:r>
          </w:p>
        </w:tc>
        <w:tc>
          <w:tcPr>
            <w:tcW w:w="903" w:type="dxa"/>
            <w:tcBorders>
              <w:top w:val="nil"/>
              <w:left w:val="single" w:sz="4" w:space="0" w:color="FFFFFF" w:themeColor="background1"/>
              <w:bottom w:val="single" w:sz="4" w:space="0" w:color="FFFFFF"/>
              <w:right w:val="single" w:sz="4" w:space="0" w:color="FFFFFF" w:themeColor="background1"/>
            </w:tcBorders>
            <w:shd w:val="clear" w:color="000000" w:fill="F2F2F2"/>
            <w:vAlign w:val="center"/>
            <w:hideMark/>
          </w:tcPr>
          <w:p w14:paraId="1249FDD7" w14:textId="77777777" w:rsidR="00DA4D0A" w:rsidRPr="003C15B8" w:rsidRDefault="00DA4D0A" w:rsidP="009B381B">
            <w:pPr>
              <w:pStyle w:val="Tabletext"/>
              <w:spacing w:line="230" w:lineRule="exact"/>
            </w:pPr>
            <w:r w:rsidRPr="003C15B8">
              <w:t> </w:t>
            </w:r>
          </w:p>
        </w:tc>
        <w:tc>
          <w:tcPr>
            <w:tcW w:w="656" w:type="dxa"/>
            <w:tcBorders>
              <w:top w:val="nil"/>
              <w:left w:val="single" w:sz="4" w:space="0" w:color="FFFFFF" w:themeColor="background1"/>
              <w:bottom w:val="single" w:sz="4" w:space="0" w:color="FFFFFF"/>
              <w:right w:val="single" w:sz="4" w:space="0" w:color="FFFFFF" w:themeColor="background1"/>
            </w:tcBorders>
            <w:shd w:val="clear" w:color="000000" w:fill="F2F2F2"/>
            <w:vAlign w:val="center"/>
            <w:hideMark/>
          </w:tcPr>
          <w:p w14:paraId="3B9BE0A5" w14:textId="77777777" w:rsidR="00DA4D0A" w:rsidRPr="001541D8" w:rsidRDefault="00DA4D0A" w:rsidP="009B381B">
            <w:pPr>
              <w:pStyle w:val="Tabletext"/>
              <w:spacing w:line="230" w:lineRule="exact"/>
              <w:jc w:val="center"/>
            </w:pPr>
          </w:p>
        </w:tc>
        <w:tc>
          <w:tcPr>
            <w:tcW w:w="897" w:type="dxa"/>
            <w:tcBorders>
              <w:top w:val="nil"/>
              <w:left w:val="single" w:sz="4" w:space="0" w:color="FFFFFF" w:themeColor="background1"/>
              <w:bottom w:val="single" w:sz="4" w:space="0" w:color="FFFFFF"/>
              <w:right w:val="nil"/>
            </w:tcBorders>
            <w:shd w:val="clear" w:color="000000" w:fill="F2F2F2"/>
            <w:vAlign w:val="center"/>
            <w:hideMark/>
          </w:tcPr>
          <w:p w14:paraId="6605F4FA" w14:textId="77777777" w:rsidR="00DA4D0A" w:rsidRPr="001541D8" w:rsidRDefault="00DA4D0A" w:rsidP="009B381B">
            <w:pPr>
              <w:pStyle w:val="Tabletext"/>
              <w:spacing w:line="230" w:lineRule="exact"/>
              <w:jc w:val="center"/>
            </w:pPr>
            <w:r w:rsidRPr="001541D8">
              <w:t>0.4</w:t>
            </w:r>
          </w:p>
        </w:tc>
        <w:tc>
          <w:tcPr>
            <w:tcW w:w="897" w:type="dxa"/>
            <w:tcBorders>
              <w:top w:val="nil"/>
              <w:left w:val="nil"/>
              <w:bottom w:val="single" w:sz="4" w:space="0" w:color="FFFFFF"/>
              <w:right w:val="nil"/>
            </w:tcBorders>
            <w:shd w:val="clear" w:color="000000" w:fill="F2F2F2"/>
            <w:vAlign w:val="center"/>
            <w:hideMark/>
          </w:tcPr>
          <w:p w14:paraId="0D940F43" w14:textId="77777777" w:rsidR="00DA4D0A" w:rsidRPr="001541D8" w:rsidRDefault="00DA4D0A" w:rsidP="009B381B">
            <w:pPr>
              <w:pStyle w:val="Tabletext"/>
              <w:spacing w:line="230" w:lineRule="exact"/>
              <w:jc w:val="center"/>
            </w:pPr>
            <w:r w:rsidRPr="001541D8">
              <w:t>0.9</w:t>
            </w:r>
          </w:p>
        </w:tc>
        <w:tc>
          <w:tcPr>
            <w:tcW w:w="897" w:type="dxa"/>
            <w:tcBorders>
              <w:top w:val="nil"/>
              <w:left w:val="nil"/>
              <w:bottom w:val="single" w:sz="4" w:space="0" w:color="FFFFFF"/>
              <w:right w:val="nil"/>
            </w:tcBorders>
            <w:shd w:val="clear" w:color="000000" w:fill="F2F2F2"/>
            <w:vAlign w:val="center"/>
            <w:hideMark/>
          </w:tcPr>
          <w:p w14:paraId="041A3B29" w14:textId="77777777" w:rsidR="00DA4D0A" w:rsidRPr="001541D8" w:rsidRDefault="00DA4D0A" w:rsidP="009B381B">
            <w:pPr>
              <w:pStyle w:val="Tabletext"/>
              <w:spacing w:line="230" w:lineRule="exact"/>
              <w:jc w:val="center"/>
            </w:pPr>
            <w:r w:rsidRPr="001541D8">
              <w:t>1.2</w:t>
            </w:r>
          </w:p>
        </w:tc>
        <w:tc>
          <w:tcPr>
            <w:tcW w:w="897" w:type="dxa"/>
            <w:tcBorders>
              <w:top w:val="nil"/>
              <w:left w:val="nil"/>
              <w:bottom w:val="single" w:sz="4" w:space="0" w:color="FFFFFF"/>
              <w:right w:val="nil"/>
            </w:tcBorders>
            <w:shd w:val="clear" w:color="000000" w:fill="F2F2F2"/>
            <w:vAlign w:val="center"/>
            <w:hideMark/>
          </w:tcPr>
          <w:p w14:paraId="7D5C41BF" w14:textId="77777777" w:rsidR="00DA4D0A" w:rsidRPr="001541D8" w:rsidRDefault="00DA4D0A" w:rsidP="009B381B">
            <w:pPr>
              <w:pStyle w:val="Tabletext"/>
              <w:spacing w:line="230" w:lineRule="exact"/>
              <w:jc w:val="center"/>
            </w:pPr>
            <w:r w:rsidRPr="001541D8">
              <w:t>1.3</w:t>
            </w:r>
          </w:p>
        </w:tc>
      </w:tr>
      <w:tr w:rsidR="00DA4D0A" w:rsidRPr="003C15B8" w14:paraId="23BABC4F" w14:textId="77777777" w:rsidTr="00817900">
        <w:trPr>
          <w:trHeight w:val="284"/>
          <w:jc w:val="center"/>
        </w:trPr>
        <w:tc>
          <w:tcPr>
            <w:tcW w:w="3828" w:type="dxa"/>
            <w:tcBorders>
              <w:top w:val="nil"/>
              <w:left w:val="nil"/>
              <w:right w:val="single" w:sz="4" w:space="0" w:color="FFFFFF" w:themeColor="background1"/>
            </w:tcBorders>
            <w:shd w:val="clear" w:color="000000" w:fill="D6DCE4"/>
            <w:vAlign w:val="center"/>
            <w:hideMark/>
          </w:tcPr>
          <w:p w14:paraId="3039B3BD" w14:textId="77777777" w:rsidR="00DA4D0A" w:rsidRPr="003C15B8" w:rsidRDefault="00DA4D0A" w:rsidP="009B381B">
            <w:pPr>
              <w:pStyle w:val="Tabletext"/>
              <w:spacing w:line="230" w:lineRule="exact"/>
            </w:pPr>
            <w:r w:rsidRPr="003C15B8">
              <w:t xml:space="preserve"> </w:t>
            </w:r>
          </w:p>
        </w:tc>
        <w:tc>
          <w:tcPr>
            <w:tcW w:w="903" w:type="dxa"/>
            <w:tcBorders>
              <w:top w:val="nil"/>
              <w:left w:val="single" w:sz="4" w:space="0" w:color="FFFFFF" w:themeColor="background1"/>
              <w:right w:val="single" w:sz="4" w:space="0" w:color="FFFFFF" w:themeColor="background1"/>
            </w:tcBorders>
            <w:shd w:val="clear" w:color="000000" w:fill="D6DCE4"/>
            <w:vAlign w:val="center"/>
            <w:hideMark/>
          </w:tcPr>
          <w:p w14:paraId="30B1391F" w14:textId="77777777" w:rsidR="00DA4D0A" w:rsidRPr="003C15B8" w:rsidRDefault="00DA4D0A" w:rsidP="009B381B">
            <w:pPr>
              <w:pStyle w:val="Tabletext"/>
              <w:spacing w:line="230" w:lineRule="exact"/>
            </w:pPr>
            <w:r w:rsidRPr="003C15B8">
              <w:t> </w:t>
            </w:r>
          </w:p>
        </w:tc>
        <w:tc>
          <w:tcPr>
            <w:tcW w:w="656" w:type="dxa"/>
            <w:tcBorders>
              <w:top w:val="nil"/>
              <w:left w:val="single" w:sz="4" w:space="0" w:color="FFFFFF" w:themeColor="background1"/>
              <w:right w:val="single" w:sz="4" w:space="0" w:color="FFFFFF" w:themeColor="background1"/>
            </w:tcBorders>
            <w:shd w:val="clear" w:color="000000" w:fill="D6DCE4"/>
            <w:vAlign w:val="center"/>
            <w:hideMark/>
          </w:tcPr>
          <w:p w14:paraId="19E91D7A" w14:textId="77777777" w:rsidR="00DA4D0A" w:rsidRPr="001541D8" w:rsidRDefault="00DA4D0A" w:rsidP="009B381B">
            <w:pPr>
              <w:pStyle w:val="Tabletext"/>
              <w:spacing w:line="230" w:lineRule="exact"/>
              <w:jc w:val="center"/>
            </w:pPr>
          </w:p>
        </w:tc>
        <w:tc>
          <w:tcPr>
            <w:tcW w:w="3588" w:type="dxa"/>
            <w:gridSpan w:val="4"/>
            <w:tcBorders>
              <w:top w:val="nil"/>
              <w:left w:val="single" w:sz="4" w:space="0" w:color="FFFFFF" w:themeColor="background1"/>
              <w:right w:val="nil"/>
            </w:tcBorders>
            <w:shd w:val="clear" w:color="000000" w:fill="D6DCE4"/>
            <w:vAlign w:val="center"/>
            <w:hideMark/>
          </w:tcPr>
          <w:p w14:paraId="1F1C822D" w14:textId="77777777" w:rsidR="00DA4D0A" w:rsidRPr="001541D8" w:rsidRDefault="00DA4D0A" w:rsidP="009B381B">
            <w:pPr>
              <w:pStyle w:val="Tabletext"/>
              <w:spacing w:line="230" w:lineRule="exact"/>
              <w:jc w:val="center"/>
            </w:pPr>
            <w:r w:rsidRPr="001541D8">
              <w:t>% pot. GDP</w:t>
            </w:r>
          </w:p>
        </w:tc>
      </w:tr>
      <w:tr w:rsidR="00DA4D0A" w:rsidRPr="003C15B8" w14:paraId="209B57A7" w14:textId="77777777" w:rsidTr="00817900">
        <w:trPr>
          <w:trHeight w:val="284"/>
          <w:jc w:val="center"/>
        </w:trPr>
        <w:tc>
          <w:tcPr>
            <w:tcW w:w="3828" w:type="dxa"/>
            <w:tcBorders>
              <w:top w:val="nil"/>
              <w:left w:val="nil"/>
              <w:bottom w:val="single" w:sz="18" w:space="0" w:color="4F81BD" w:themeColor="accent1"/>
              <w:right w:val="single" w:sz="4" w:space="0" w:color="FFFFFF" w:themeColor="background1"/>
            </w:tcBorders>
            <w:shd w:val="clear" w:color="000000" w:fill="F2F2F2"/>
            <w:vAlign w:val="center"/>
            <w:hideMark/>
          </w:tcPr>
          <w:p w14:paraId="4DD6F2DF" w14:textId="77777777" w:rsidR="00DA4D0A" w:rsidRPr="003C15B8" w:rsidRDefault="00DA4D0A" w:rsidP="009B381B">
            <w:pPr>
              <w:pStyle w:val="Tabletext"/>
              <w:spacing w:line="230" w:lineRule="exact"/>
            </w:pPr>
            <w:r w:rsidRPr="003C15B8">
              <w:t>30. Output gap</w:t>
            </w:r>
          </w:p>
        </w:tc>
        <w:tc>
          <w:tcPr>
            <w:tcW w:w="903" w:type="dxa"/>
            <w:tcBorders>
              <w:top w:val="nil"/>
              <w:left w:val="single" w:sz="4" w:space="0" w:color="FFFFFF" w:themeColor="background1"/>
              <w:bottom w:val="single" w:sz="18" w:space="0" w:color="4F81BD" w:themeColor="accent1"/>
              <w:right w:val="single" w:sz="4" w:space="0" w:color="FFFFFF" w:themeColor="background1"/>
            </w:tcBorders>
            <w:shd w:val="clear" w:color="000000" w:fill="F2F2F2"/>
            <w:vAlign w:val="center"/>
            <w:hideMark/>
          </w:tcPr>
          <w:p w14:paraId="4A303C7D" w14:textId="77777777" w:rsidR="00DA4D0A" w:rsidRPr="003C15B8" w:rsidRDefault="00DA4D0A" w:rsidP="009B381B">
            <w:pPr>
              <w:pStyle w:val="Tabletext"/>
              <w:spacing w:line="230" w:lineRule="exact"/>
            </w:pPr>
            <w:r w:rsidRPr="003C15B8">
              <w:t> </w:t>
            </w:r>
          </w:p>
        </w:tc>
        <w:tc>
          <w:tcPr>
            <w:tcW w:w="656" w:type="dxa"/>
            <w:tcBorders>
              <w:top w:val="nil"/>
              <w:left w:val="single" w:sz="4" w:space="0" w:color="FFFFFF" w:themeColor="background1"/>
              <w:bottom w:val="single" w:sz="18" w:space="0" w:color="4F81BD" w:themeColor="accent1"/>
              <w:right w:val="single" w:sz="4" w:space="0" w:color="FFFFFF" w:themeColor="background1"/>
            </w:tcBorders>
            <w:shd w:val="clear" w:color="000000" w:fill="F2F2F2"/>
            <w:vAlign w:val="center"/>
            <w:hideMark/>
          </w:tcPr>
          <w:p w14:paraId="378D5B55" w14:textId="77777777" w:rsidR="00DA4D0A" w:rsidRPr="001541D8" w:rsidRDefault="00DA4D0A" w:rsidP="009B381B">
            <w:pPr>
              <w:pStyle w:val="Tabletext"/>
              <w:spacing w:line="230" w:lineRule="exact"/>
              <w:jc w:val="center"/>
            </w:pPr>
          </w:p>
        </w:tc>
        <w:tc>
          <w:tcPr>
            <w:tcW w:w="897" w:type="dxa"/>
            <w:tcBorders>
              <w:top w:val="nil"/>
              <w:left w:val="single" w:sz="4" w:space="0" w:color="FFFFFF" w:themeColor="background1"/>
              <w:bottom w:val="single" w:sz="18" w:space="0" w:color="4F81BD" w:themeColor="accent1"/>
              <w:right w:val="nil"/>
            </w:tcBorders>
            <w:shd w:val="clear" w:color="000000" w:fill="F2F2F2"/>
            <w:vAlign w:val="center"/>
            <w:hideMark/>
          </w:tcPr>
          <w:p w14:paraId="44F59023" w14:textId="77777777" w:rsidR="00DA4D0A" w:rsidRPr="001541D8" w:rsidRDefault="00DA4D0A" w:rsidP="009B381B">
            <w:pPr>
              <w:pStyle w:val="Tabletext"/>
              <w:spacing w:line="230" w:lineRule="exact"/>
              <w:jc w:val="center"/>
            </w:pPr>
            <w:r w:rsidRPr="001541D8">
              <w:t>1.0</w:t>
            </w:r>
          </w:p>
        </w:tc>
        <w:tc>
          <w:tcPr>
            <w:tcW w:w="897" w:type="dxa"/>
            <w:tcBorders>
              <w:top w:val="nil"/>
              <w:left w:val="nil"/>
              <w:bottom w:val="single" w:sz="18" w:space="0" w:color="4F81BD" w:themeColor="accent1"/>
              <w:right w:val="nil"/>
            </w:tcBorders>
            <w:shd w:val="clear" w:color="000000" w:fill="F2F2F2"/>
            <w:vAlign w:val="center"/>
            <w:hideMark/>
          </w:tcPr>
          <w:p w14:paraId="1BA77AC4" w14:textId="77777777" w:rsidR="00DA4D0A" w:rsidRPr="001541D8" w:rsidRDefault="00DA4D0A" w:rsidP="009B381B">
            <w:pPr>
              <w:pStyle w:val="Tabletext"/>
              <w:spacing w:line="230" w:lineRule="exact"/>
              <w:jc w:val="center"/>
            </w:pPr>
            <w:r w:rsidRPr="001541D8">
              <w:t>2.0</w:t>
            </w:r>
          </w:p>
        </w:tc>
        <w:tc>
          <w:tcPr>
            <w:tcW w:w="897" w:type="dxa"/>
            <w:tcBorders>
              <w:top w:val="nil"/>
              <w:left w:val="nil"/>
              <w:bottom w:val="single" w:sz="18" w:space="0" w:color="4F81BD" w:themeColor="accent1"/>
              <w:right w:val="nil"/>
            </w:tcBorders>
            <w:shd w:val="clear" w:color="000000" w:fill="F2F2F2"/>
            <w:vAlign w:val="center"/>
            <w:hideMark/>
          </w:tcPr>
          <w:p w14:paraId="031D61D6" w14:textId="77777777" w:rsidR="00DA4D0A" w:rsidRPr="001541D8" w:rsidRDefault="00DA4D0A" w:rsidP="009B381B">
            <w:pPr>
              <w:pStyle w:val="Tabletext"/>
              <w:spacing w:line="230" w:lineRule="exact"/>
              <w:jc w:val="center"/>
            </w:pPr>
            <w:r w:rsidRPr="001541D8">
              <w:t>2.6</w:t>
            </w:r>
          </w:p>
        </w:tc>
        <w:tc>
          <w:tcPr>
            <w:tcW w:w="897" w:type="dxa"/>
            <w:tcBorders>
              <w:top w:val="nil"/>
              <w:left w:val="nil"/>
              <w:bottom w:val="single" w:sz="18" w:space="0" w:color="4F81BD" w:themeColor="accent1"/>
              <w:right w:val="nil"/>
            </w:tcBorders>
            <w:shd w:val="clear" w:color="000000" w:fill="F2F2F2"/>
            <w:vAlign w:val="center"/>
            <w:hideMark/>
          </w:tcPr>
          <w:p w14:paraId="193EFDCD" w14:textId="77777777" w:rsidR="00DA4D0A" w:rsidRPr="001541D8" w:rsidRDefault="00DA4D0A" w:rsidP="009B381B">
            <w:pPr>
              <w:pStyle w:val="Tabletext"/>
              <w:spacing w:line="230" w:lineRule="exact"/>
              <w:jc w:val="center"/>
            </w:pPr>
            <w:r w:rsidRPr="001541D8">
              <w:t>2.7</w:t>
            </w:r>
          </w:p>
        </w:tc>
      </w:tr>
    </w:tbl>
    <w:bookmarkEnd w:id="6"/>
    <w:p w14:paraId="027E524D" w14:textId="77777777" w:rsidR="00FE459D" w:rsidRDefault="00FE459D" w:rsidP="00FE459D">
      <w:pPr>
        <w:rPr>
          <w:lang w:val="en-US"/>
        </w:rPr>
      </w:pPr>
      <w:r>
        <w:rPr>
          <w:bCs/>
          <w:lang w:val="en-US"/>
        </w:rPr>
        <w:lastRenderedPageBreak/>
        <w:t>GDP data from the production side</w:t>
      </w:r>
      <w:r>
        <w:rPr>
          <w:lang w:val="en-US"/>
        </w:rPr>
        <w:t xml:space="preserve"> showed that </w:t>
      </w:r>
      <w:r>
        <w:rPr>
          <w:bCs/>
          <w:lang w:val="en-US"/>
        </w:rPr>
        <w:t>gross value added (GVA)</w:t>
      </w:r>
      <w:r>
        <w:rPr>
          <w:lang w:val="en-US"/>
        </w:rPr>
        <w:t xml:space="preserve"> continued to expand in 2025, albeit at a slower pace of </w:t>
      </w:r>
      <w:r>
        <w:rPr>
          <w:bCs/>
          <w:lang w:val="en-US"/>
        </w:rPr>
        <w:t>1.3% (down from 1.7% in 2024</w:t>
      </w:r>
      <w:r>
        <w:rPr>
          <w:lang w:val="en-US"/>
        </w:rPr>
        <w:t xml:space="preserve">). This sustained growth was supported by the solid performance of all sectors —most notably the tertiary and </w:t>
      </w:r>
      <w:r>
        <w:rPr>
          <w:bCs/>
          <w:lang w:val="en-US"/>
        </w:rPr>
        <w:t>secondary</w:t>
      </w:r>
      <w:r>
        <w:rPr>
          <w:lang w:val="en-US"/>
        </w:rPr>
        <w:t xml:space="preserve"> sectors. The </w:t>
      </w:r>
      <w:r>
        <w:rPr>
          <w:bCs/>
          <w:lang w:val="en-US"/>
        </w:rPr>
        <w:t>services sector</w:t>
      </w:r>
      <w:r>
        <w:rPr>
          <w:lang w:val="en-US"/>
        </w:rPr>
        <w:t xml:space="preserve"> contributed </w:t>
      </w:r>
      <w:r>
        <w:rPr>
          <w:bCs/>
          <w:lang w:val="en-US"/>
        </w:rPr>
        <w:t>0.6 pp</w:t>
      </w:r>
      <w:r>
        <w:rPr>
          <w:lang w:val="en-US"/>
        </w:rPr>
        <w:t xml:space="preserve"> to total GVA, with the largest contribution mainly stemming from </w:t>
      </w:r>
      <w:r>
        <w:rPr>
          <w:bCs/>
          <w:lang w:val="en-US"/>
        </w:rPr>
        <w:t>accommodation and food services</w:t>
      </w:r>
      <w:r>
        <w:rPr>
          <w:lang w:val="en-US"/>
        </w:rPr>
        <w:t xml:space="preserve">, underpinned by robust </w:t>
      </w:r>
      <w:r>
        <w:rPr>
          <w:bCs/>
          <w:lang w:val="en-US"/>
        </w:rPr>
        <w:t>tourism performance</w:t>
      </w:r>
      <w:r>
        <w:rPr>
          <w:lang w:val="en-US"/>
        </w:rPr>
        <w:t xml:space="preserve">. The </w:t>
      </w:r>
      <w:r>
        <w:rPr>
          <w:bCs/>
          <w:lang w:val="en-US"/>
        </w:rPr>
        <w:t>secondary sector</w:t>
      </w:r>
      <w:r>
        <w:rPr>
          <w:lang w:val="en-US"/>
        </w:rPr>
        <w:t xml:space="preserve"> accounted for an overall contribution of </w:t>
      </w:r>
      <w:r>
        <w:rPr>
          <w:bCs/>
          <w:lang w:val="en-US"/>
        </w:rPr>
        <w:t>0.7 pp</w:t>
      </w:r>
      <w:r>
        <w:rPr>
          <w:lang w:val="en-US"/>
        </w:rPr>
        <w:t xml:space="preserve"> to total GVA, driven by a </w:t>
      </w:r>
      <w:r>
        <w:rPr>
          <w:bCs/>
          <w:lang w:val="en-US"/>
        </w:rPr>
        <w:t>0.4 pp</w:t>
      </w:r>
      <w:r>
        <w:rPr>
          <w:lang w:val="en-US"/>
        </w:rPr>
        <w:t xml:space="preserve"> contribution from </w:t>
      </w:r>
      <w:r>
        <w:rPr>
          <w:bCs/>
          <w:lang w:val="en-US"/>
        </w:rPr>
        <w:t>industry</w:t>
      </w:r>
      <w:r>
        <w:rPr>
          <w:lang w:val="en-US"/>
        </w:rPr>
        <w:t xml:space="preserve"> (including energy), which grew at a </w:t>
      </w:r>
      <w:r>
        <w:rPr>
          <w:bCs/>
          <w:lang w:val="en-US"/>
        </w:rPr>
        <w:t>decelerating pace</w:t>
      </w:r>
      <w:r>
        <w:rPr>
          <w:lang w:val="en-US"/>
        </w:rPr>
        <w:t xml:space="preserve">, and a </w:t>
      </w:r>
      <w:r>
        <w:rPr>
          <w:bCs/>
          <w:lang w:val="en-US"/>
        </w:rPr>
        <w:t>0.3 pp</w:t>
      </w:r>
      <w:r>
        <w:rPr>
          <w:lang w:val="en-US"/>
        </w:rPr>
        <w:t xml:space="preserve"> contribution from </w:t>
      </w:r>
      <w:r>
        <w:rPr>
          <w:bCs/>
          <w:lang w:val="en-US"/>
        </w:rPr>
        <w:t>construction</w:t>
      </w:r>
      <w:r>
        <w:rPr>
          <w:lang w:val="en-US"/>
        </w:rPr>
        <w:t xml:space="preserve">, which recorded a </w:t>
      </w:r>
      <w:r>
        <w:rPr>
          <w:bCs/>
          <w:lang w:val="en-US"/>
        </w:rPr>
        <w:t>significant uptick</w:t>
      </w:r>
      <w:r>
        <w:rPr>
          <w:lang w:val="en-US"/>
        </w:rPr>
        <w:t>.</w:t>
      </w:r>
    </w:p>
    <w:p w14:paraId="43280307" w14:textId="1FFE5DE9" w:rsidR="00FE459D" w:rsidRDefault="00FE459D" w:rsidP="00FE459D">
      <w:pPr>
        <w:rPr>
          <w:lang w:val="en-US"/>
        </w:rPr>
      </w:pPr>
      <w:r>
        <w:rPr>
          <w:bCs/>
          <w:lang w:val="en-US"/>
        </w:rPr>
        <w:t xml:space="preserve">Labour market conditions kept improving </w:t>
      </w:r>
      <w:r>
        <w:rPr>
          <w:lang w:val="en-US"/>
        </w:rPr>
        <w:t>in 2025, with employment growing –albeit at a more moderated pace– and unemployment de-escalating further. On a national accounts basis, total employment rose by 0.8% in 2025, broadly stable compared to 2024 (0.9%), mainly driven by higher employment growth in financial and insurance activities, professional and support service activities, and construction. The increase was primarily sourced from domestic employment (employees), which saw its growth rate double to 3.0% (from 1.5% in 2024), effectively offsetting a sharper decline in self-employment. Based on LFS data, employment grew by 1.5% (compared to 2.0% in 2024) and the unemployment rate declined to 8.9% in 2025 (from 10.1% in 2024), marking the lowest level since 2008. Notably, female and youth unemployment rates fell further, albeit remaining much</w:t>
      </w:r>
      <w:r>
        <w:rPr>
          <w:color w:val="FF0000"/>
          <w:lang w:val="en-US"/>
        </w:rPr>
        <w:t xml:space="preserve"> </w:t>
      </w:r>
      <w:r>
        <w:rPr>
          <w:lang w:val="en-US"/>
        </w:rPr>
        <w:t>higher than the respective Euro area averages. Concurrently, labour market tightness eased relative to 2024, with job vacancy rate dropping to 1.7% (from 2.2%). In tandem, nominal wages continued to rise in 2025; compensation of employees grew by 6.6% and the average wage by 3.5%.</w:t>
      </w:r>
    </w:p>
    <w:p w14:paraId="71090014" w14:textId="5DC3CD4C" w:rsidR="00FE459D" w:rsidRDefault="00FE459D" w:rsidP="00FE459D">
      <w:pPr>
        <w:rPr>
          <w:lang w:val="en-US"/>
        </w:rPr>
      </w:pPr>
      <w:r>
        <w:rPr>
          <w:lang w:val="en-US"/>
        </w:rPr>
        <w:t xml:space="preserve">HICP headline inflation stood at 2.9% in 2025, marginally down from 3.0% in 2024. </w:t>
      </w:r>
      <w:r>
        <w:rPr>
          <w:bCs/>
          <w:lang w:val="en-US"/>
        </w:rPr>
        <w:t>This slight deceleration resulted from a de-escalation in processed food and non-energy industrial goods prices, alongside energy inflation moving to less</w:t>
      </w:r>
      <w:r>
        <w:rPr>
          <w:bCs/>
          <w:color w:val="FF0000"/>
          <w:lang w:val="en-US"/>
        </w:rPr>
        <w:t xml:space="preserve"> </w:t>
      </w:r>
      <w:r>
        <w:rPr>
          <w:bCs/>
          <w:lang w:val="en-US"/>
        </w:rPr>
        <w:t>negative territory. Accelerating services inflation (</w:t>
      </w:r>
      <w:r>
        <w:rPr>
          <w:lang w:val="en-US"/>
        </w:rPr>
        <w:t>including rental payments for housing)</w:t>
      </w:r>
      <w:r>
        <w:rPr>
          <w:bCs/>
          <w:lang w:val="en-US"/>
        </w:rPr>
        <w:t xml:space="preserve"> and a spike in unprocessed food prices impeded a faster decline in headline inflation. C</w:t>
      </w:r>
      <w:r>
        <w:rPr>
          <w:lang w:val="en-US"/>
        </w:rPr>
        <w:t xml:space="preserve">ore inflation (excluding energy, food, alcohol and tobacco) remained unchanged at 3.6%.  </w:t>
      </w:r>
    </w:p>
    <w:p w14:paraId="0154FCA0" w14:textId="77777777" w:rsidR="00FE459D" w:rsidRPr="00FE459D" w:rsidRDefault="00FE459D" w:rsidP="006B6FFD">
      <w:pPr>
        <w:pStyle w:val="Heading2"/>
        <w:numPr>
          <w:ilvl w:val="1"/>
          <w:numId w:val="2"/>
        </w:numPr>
        <w:spacing w:before="840"/>
        <w:ind w:left="567" w:hanging="567"/>
      </w:pPr>
      <w:bookmarkStart w:id="8" w:name="_Toc228279075"/>
      <w:r w:rsidRPr="00FE459D">
        <w:t>Macroeconomic projections for 2026</w:t>
      </w:r>
      <w:bookmarkEnd w:id="8"/>
    </w:p>
    <w:p w14:paraId="346C3542" w14:textId="77777777" w:rsidR="00FE459D" w:rsidRDefault="00FE459D" w:rsidP="00FE459D">
      <w:pPr>
        <w:spacing w:before="100" w:beforeAutospacing="1" w:after="100" w:afterAutospacing="1"/>
        <w:rPr>
          <w:bCs/>
          <w:sz w:val="22"/>
          <w:lang w:val="en-US"/>
        </w:rPr>
      </w:pPr>
      <w:r>
        <w:rPr>
          <w:bCs/>
          <w:lang w:val="en-US"/>
        </w:rPr>
        <w:t xml:space="preserve">While the </w:t>
      </w:r>
      <w:r w:rsidR="00C25489">
        <w:rPr>
          <w:bCs/>
          <w:lang w:val="en-US"/>
        </w:rPr>
        <w:t>E</w:t>
      </w:r>
      <w:r>
        <w:rPr>
          <w:bCs/>
          <w:lang w:val="en-US"/>
        </w:rPr>
        <w:t>uro area economy broadly maintained its positive momentum into the first two months of 2026, as suggested by short-term indicators to February, the unfolding war in the Middle East has brought renewed uncertainty and has clouded growth expectations for the current year. Severe disruptions to shipping through the Strait of Hormuz, a key transit route for global oil, liquefied natural gas and fertilizers trade, along with the closure or damage of energy infrastructure, have generated significant bottlenecks to international trade and supply chains, with implications for inflation and growth, especially in the short term.</w:t>
      </w:r>
    </w:p>
    <w:p w14:paraId="3643E21F" w14:textId="77777777" w:rsidR="00FE459D" w:rsidRDefault="00FE459D" w:rsidP="00FE459D">
      <w:pPr>
        <w:spacing w:before="100" w:beforeAutospacing="1" w:after="100" w:afterAutospacing="1"/>
        <w:rPr>
          <w:bCs/>
          <w:lang w:val="en-US"/>
        </w:rPr>
      </w:pPr>
      <w:r>
        <w:rPr>
          <w:lang w:val="en-US"/>
        </w:rPr>
        <w:t xml:space="preserve">Accordingly, the </w:t>
      </w:r>
      <w:r w:rsidR="00C25489">
        <w:rPr>
          <w:lang w:val="en-US"/>
        </w:rPr>
        <w:t>E</w:t>
      </w:r>
      <w:r>
        <w:rPr>
          <w:lang w:val="en-US"/>
        </w:rPr>
        <w:t xml:space="preserve">uro area growth outlook for 2026 has been revised downwards to 0.9%, according to the ECB staff's macroeconomic projections for the </w:t>
      </w:r>
      <w:r w:rsidR="00C25489">
        <w:rPr>
          <w:lang w:val="en-US"/>
        </w:rPr>
        <w:t>E</w:t>
      </w:r>
      <w:r>
        <w:rPr>
          <w:lang w:val="en-US"/>
        </w:rPr>
        <w:t xml:space="preserve">uro area published in March 2026, compared to a previous estimate of 1.2% in the December 2025 projections, mainly due to downward revisions </w:t>
      </w:r>
      <w:r w:rsidR="00C25489">
        <w:rPr>
          <w:lang w:val="en-US"/>
        </w:rPr>
        <w:t xml:space="preserve">in </w:t>
      </w:r>
      <w:r>
        <w:rPr>
          <w:lang w:val="en-US"/>
        </w:rPr>
        <w:t xml:space="preserve">private consumption and investment, on account of </w:t>
      </w:r>
      <w:r>
        <w:rPr>
          <w:bCs/>
          <w:lang w:val="en-US"/>
        </w:rPr>
        <w:t xml:space="preserve">elevated </w:t>
      </w:r>
      <w:r>
        <w:rPr>
          <w:bCs/>
          <w:lang w:val="en-US"/>
        </w:rPr>
        <w:lastRenderedPageBreak/>
        <w:t xml:space="preserve">uncertainty and </w:t>
      </w:r>
      <w:r>
        <w:rPr>
          <w:lang w:val="en-US"/>
        </w:rPr>
        <w:t xml:space="preserve">financial and commodity market volatility. </w:t>
      </w:r>
      <w:r>
        <w:rPr>
          <w:bCs/>
          <w:lang w:val="en-US"/>
        </w:rPr>
        <w:t xml:space="preserve">In parallel, the </w:t>
      </w:r>
      <w:r w:rsidR="00C25489">
        <w:rPr>
          <w:bCs/>
          <w:lang w:val="en-US"/>
        </w:rPr>
        <w:t>E</w:t>
      </w:r>
      <w:r>
        <w:rPr>
          <w:bCs/>
          <w:lang w:val="en-US"/>
        </w:rPr>
        <w:t>uro area inflation outlook for 2026 has been revised upwards to 2.6%, from a previous estimate of 1.9% in December 2025, mainly reflecting the anticipated surge in energy prices.</w:t>
      </w:r>
    </w:p>
    <w:p w14:paraId="654686A1" w14:textId="3BA7C0CA" w:rsidR="00FE459D" w:rsidRDefault="00FE459D" w:rsidP="00FE459D">
      <w:pPr>
        <w:spacing w:before="100" w:beforeAutospacing="1" w:after="100" w:afterAutospacing="1"/>
        <w:rPr>
          <w:lang w:val="en-US"/>
        </w:rPr>
      </w:pPr>
      <w:r>
        <w:rPr>
          <w:lang w:val="en-US"/>
        </w:rPr>
        <w:t xml:space="preserve">Based on the latest Ministry of Economy and Finance macroeconomic projections, the growth rate of the Greek economy is expected to moderate to 2.0% in 2026 (as projected in the MTP 2025-2028). This forecast accounts for a significant 1.1 pp </w:t>
      </w:r>
      <w:r>
        <w:rPr>
          <w:bCs/>
          <w:lang w:val="en-US"/>
        </w:rPr>
        <w:t>carry-over effect from 2025</w:t>
      </w:r>
      <w:r>
        <w:rPr>
          <w:lang w:val="en-US"/>
        </w:rPr>
        <w:t xml:space="preserve"> and the </w:t>
      </w:r>
      <w:r>
        <w:rPr>
          <w:bCs/>
          <w:lang w:val="en-US"/>
        </w:rPr>
        <w:t>sustained momentum observed during the first two months of the year</w:t>
      </w:r>
      <w:r>
        <w:rPr>
          <w:lang w:val="en-US"/>
        </w:rPr>
        <w:t xml:space="preserve">. While soft and most hard indicators remained resilient in early 2026, </w:t>
      </w:r>
      <w:r>
        <w:rPr>
          <w:bCs/>
          <w:lang w:val="en-US"/>
        </w:rPr>
        <w:t>survey data for March reflect a recent softening due to geopolitical tensions</w:t>
      </w:r>
      <w:r>
        <w:rPr>
          <w:lang w:val="en-US"/>
        </w:rPr>
        <w:t xml:space="preserve">. However, emergency energy support measures are expected to </w:t>
      </w:r>
      <w:r>
        <w:rPr>
          <w:bCs/>
          <w:lang w:val="en-US"/>
        </w:rPr>
        <w:t>cushion</w:t>
      </w:r>
      <w:r w:rsidR="00473966">
        <w:rPr>
          <w:bCs/>
          <w:lang w:val="en-US"/>
        </w:rPr>
        <w:t xml:space="preserve"> in</w:t>
      </w:r>
      <w:r>
        <w:rPr>
          <w:bCs/>
          <w:lang w:val="en-US"/>
        </w:rPr>
        <w:t xml:space="preserve"> the short-term impact</w:t>
      </w:r>
      <w:r>
        <w:rPr>
          <w:lang w:val="en-US"/>
        </w:rPr>
        <w:t xml:space="preserve"> of the conflict in the Middle East. The projections incorporate energy price data and market expectations as of late March 2026, while acknowledging the </w:t>
      </w:r>
      <w:r w:rsidR="00C25489">
        <w:rPr>
          <w:bCs/>
          <w:lang w:val="en-US"/>
        </w:rPr>
        <w:t xml:space="preserve">increased </w:t>
      </w:r>
      <w:r>
        <w:rPr>
          <w:bCs/>
          <w:lang w:val="en-US"/>
        </w:rPr>
        <w:t>uncertainty</w:t>
      </w:r>
      <w:r>
        <w:rPr>
          <w:lang w:val="en-US"/>
        </w:rPr>
        <w:t xml:space="preserve"> surrounding the duration and intensity of the conflict.</w:t>
      </w:r>
    </w:p>
    <w:p w14:paraId="5DA7BC08" w14:textId="77777777" w:rsidR="00FE459D" w:rsidRDefault="00FE459D" w:rsidP="00FE459D">
      <w:pPr>
        <w:spacing w:before="100" w:beforeAutospacing="1" w:after="100" w:afterAutospacing="1"/>
        <w:rPr>
          <w:lang w:val="en-US"/>
        </w:rPr>
      </w:pPr>
      <w:r>
        <w:rPr>
          <w:lang w:val="en-US"/>
        </w:rPr>
        <w:t xml:space="preserve">Real GDP growth is expected to continue to outperform the European average in 2026, driven by resilient domestic demand. </w:t>
      </w:r>
    </w:p>
    <w:p w14:paraId="06E56E2E" w14:textId="77777777" w:rsidR="00FE459D" w:rsidRDefault="00FE459D" w:rsidP="00FE459D">
      <w:pPr>
        <w:spacing w:before="100" w:beforeAutospacing="1" w:after="100" w:afterAutospacing="1"/>
        <w:rPr>
          <w:lang w:val="en-US"/>
        </w:rPr>
      </w:pPr>
      <w:r>
        <w:rPr>
          <w:lang w:val="en-US"/>
        </w:rPr>
        <w:t xml:space="preserve">Investment is set to remain the primary growth driver, reflecting the qualitative improvement in the composition of growth. Gross fixed capital formation is projected to grow by 7.1% and add 1.3 pp to real output, underpinned by construction and equipment investment. The maturing of the implementation of the Greek RRP, the impulse through PIB investment projects, an anticipated continued robust credit expansion, and the improved business climate after credit ratings upgrades are set to temper the dampening effect of uncertainty related to the war in the Middle East. In nominal terms, the investment-to-GDP ratio is forecast to rise further to 17.7% in 2026 (from 16.9% in 2025), the highest ratio since 2009, narrowing the gap with the </w:t>
      </w:r>
      <w:r w:rsidR="00C25489">
        <w:rPr>
          <w:lang w:val="en-US"/>
        </w:rPr>
        <w:t>E</w:t>
      </w:r>
      <w:r>
        <w:rPr>
          <w:lang w:val="en-US"/>
        </w:rPr>
        <w:t>uro area average.</w:t>
      </w:r>
    </w:p>
    <w:p w14:paraId="2AC08413" w14:textId="12E9DFD5" w:rsidR="00FE459D" w:rsidRDefault="00FE459D" w:rsidP="00FE459D">
      <w:pPr>
        <w:spacing w:before="100" w:beforeAutospacing="1" w:after="100" w:afterAutospacing="1"/>
        <w:rPr>
          <w:lang w:val="en-US"/>
        </w:rPr>
      </w:pPr>
      <w:r>
        <w:rPr>
          <w:lang w:val="en-US"/>
        </w:rPr>
        <w:t xml:space="preserve">Private consumption is projected to remain resilient in 2026, growing by 1.5% and contributing 1.1 pp to GDP. Higher inflation and weakened consumer confidence, linked to the impact of the conflict in the Middle East, are expected to weigh on private spending. On the other hand, targeted emergency support measures –including </w:t>
      </w:r>
      <w:r w:rsidR="001D0605">
        <w:rPr>
          <w:lang w:val="en-US"/>
        </w:rPr>
        <w:t xml:space="preserve">support for families with children, </w:t>
      </w:r>
      <w:r>
        <w:rPr>
          <w:lang w:val="en-US"/>
        </w:rPr>
        <w:t xml:space="preserve">a diesel subsidy, a fuel pass for households, a fertilizer subsidy, and compensation for ferry operators, alongside a gross profit margin cap on fuel and essential products– are expected to cushion purchasing power. Notably, further increases in labour compensation, supported by continued employment growth, together with the 2026 entry into force of a permanent fiscal package –headlined by a reform of the personal income tax scale and targeted tax reliefs for families and youth– are set to further bolster household disposable income and sustain domestic demand. Simultaneously, public consumption </w:t>
      </w:r>
      <w:r w:rsidR="00C25489">
        <w:rPr>
          <w:lang w:val="en-US"/>
        </w:rPr>
        <w:t xml:space="preserve">increase </w:t>
      </w:r>
      <w:r>
        <w:rPr>
          <w:lang w:val="en-US"/>
        </w:rPr>
        <w:t>is expected to accelerate to 1.1% in 2026, providing an additional stimulus to domestic demand.</w:t>
      </w:r>
    </w:p>
    <w:p w14:paraId="36978A92" w14:textId="6E4A5653" w:rsidR="00FE459D" w:rsidRDefault="00FE459D" w:rsidP="00FE459D">
      <w:pPr>
        <w:spacing w:before="100" w:beforeAutospacing="1" w:after="100" w:afterAutospacing="1"/>
        <w:rPr>
          <w:lang w:val="en-US"/>
        </w:rPr>
      </w:pPr>
      <w:r>
        <w:rPr>
          <w:lang w:val="en-US"/>
        </w:rPr>
        <w:t xml:space="preserve">Despite weaker foreign demand related to the conflict in the Middle East, total exports are projected to increase by 2.9% in the current year, supported by more diversified goods exports and robust tourism activity throughout the year. On the other hand, total imports are forecast to rise by 4.4%, bolstered by enhanced investment activity. Overall, the contribution of the external sector to real GDP is set to be negative (-0.9 pp). </w:t>
      </w:r>
    </w:p>
    <w:p w14:paraId="6EABC952" w14:textId="3BAF7E4D" w:rsidR="00FE459D" w:rsidRDefault="00FE459D" w:rsidP="00FE459D">
      <w:pPr>
        <w:spacing w:before="100" w:beforeAutospacing="1" w:after="100" w:afterAutospacing="1"/>
        <w:rPr>
          <w:lang w:val="en-US"/>
        </w:rPr>
      </w:pPr>
      <w:r>
        <w:rPr>
          <w:lang w:val="en-US"/>
        </w:rPr>
        <w:lastRenderedPageBreak/>
        <w:t>The labour market is expected to remain supportive. Total employment growth (on a national accounts basis) is set to continue, although at a slower pace (0.4%) in 2026, driven by dependent employment (0.6%)</w:t>
      </w:r>
      <w:r>
        <w:rPr>
          <w:color w:val="0070C0"/>
          <w:lang w:val="en-US"/>
        </w:rPr>
        <w:t xml:space="preserve">. </w:t>
      </w:r>
      <w:r>
        <w:rPr>
          <w:lang w:val="en-US"/>
        </w:rPr>
        <w:t>The LFS-based unemployment rate is projected to continue to de-escalate (8.4%), further approaching pre-financial crisis levels. Wages per employee are forecast to pick up by 3.7% (from 3.5% in 2025), led by increases in private and public sector wages.</w:t>
      </w:r>
    </w:p>
    <w:p w14:paraId="4F57372A" w14:textId="0A294B7D" w:rsidR="00FE459D" w:rsidRDefault="00FE459D" w:rsidP="00FE459D">
      <w:pPr>
        <w:spacing w:before="100" w:beforeAutospacing="1" w:after="100" w:afterAutospacing="1"/>
        <w:rPr>
          <w:lang w:val="en-US"/>
        </w:rPr>
      </w:pPr>
      <w:r>
        <w:rPr>
          <w:lang w:val="en-US"/>
        </w:rPr>
        <w:t>HICP headline inflation is expected to rise to 3.2% in 2026</w:t>
      </w:r>
      <w:r w:rsidR="009E513D">
        <w:rPr>
          <w:lang w:val="en-US"/>
        </w:rPr>
        <w:t>, directly related to the higher energy prices and the</w:t>
      </w:r>
      <w:r w:rsidR="00B50E2E">
        <w:rPr>
          <w:lang w:val="en-US"/>
        </w:rPr>
        <w:t xml:space="preserve"> related effects to other goods</w:t>
      </w:r>
      <w:r w:rsidR="00090219">
        <w:rPr>
          <w:lang w:val="en-US"/>
        </w:rPr>
        <w:t>’</w:t>
      </w:r>
      <w:r w:rsidR="00B50E2E">
        <w:rPr>
          <w:lang w:val="en-US"/>
        </w:rPr>
        <w:t xml:space="preserve"> prices,</w:t>
      </w:r>
      <w:r w:rsidR="009E513D">
        <w:rPr>
          <w:lang w:val="en-US"/>
        </w:rPr>
        <w:t xml:space="preserve">  as a result of the Middle East war.</w:t>
      </w:r>
    </w:p>
    <w:p w14:paraId="5FEC2125" w14:textId="77777777" w:rsidR="00FE459D" w:rsidRPr="00FE459D" w:rsidRDefault="00FE459D" w:rsidP="00857437">
      <w:pPr>
        <w:pStyle w:val="Heading3"/>
        <w:numPr>
          <w:ilvl w:val="2"/>
          <w:numId w:val="2"/>
        </w:numPr>
        <w:spacing w:before="360" w:after="120"/>
        <w:ind w:left="1077" w:hanging="1077"/>
      </w:pPr>
      <w:bookmarkStart w:id="9" w:name="_Toc228279076"/>
      <w:r w:rsidRPr="00FE459D">
        <w:t>Risks</w:t>
      </w:r>
      <w:bookmarkEnd w:id="9"/>
    </w:p>
    <w:p w14:paraId="00C06EF3" w14:textId="0EF489E5" w:rsidR="00FE459D" w:rsidRDefault="00FE459D" w:rsidP="00FE459D">
      <w:pPr>
        <w:spacing w:before="100" w:beforeAutospacing="1" w:after="100" w:afterAutospacing="1"/>
        <w:rPr>
          <w:sz w:val="22"/>
          <w:lang w:val="en-US"/>
        </w:rPr>
      </w:pPr>
      <w:r>
        <w:rPr>
          <w:lang w:val="en-US"/>
        </w:rPr>
        <w:t>The risks to the growth forecast are mainly tilted to the downside, primarily driven by an escalation of the war in the Middle East. Heightened uncertainty due to a prolongation of the conflict and higher international energy prices with a</w:t>
      </w:r>
      <w:r>
        <w:rPr>
          <w:i/>
          <w:iCs/>
          <w:sz w:val="19"/>
          <w:szCs w:val="19"/>
          <w:lang w:val="en-US"/>
        </w:rPr>
        <w:t xml:space="preserve"> </w:t>
      </w:r>
      <w:r>
        <w:rPr>
          <w:lang w:val="en-US"/>
        </w:rPr>
        <w:t xml:space="preserve">pass-through to non-energy consumer prices could dampen economic activity, transmitted through a reduction in world trade, investment flows and private spending. A further strengthening of trade protectionism remains a relevant risk, despite </w:t>
      </w:r>
      <w:r>
        <w:rPr>
          <w:rFonts w:cstheme="minorHAnsi"/>
          <w:lang w:val="en-US"/>
        </w:rPr>
        <w:t>lower US tariffs following the US Supreme Court decision being partially offset by a temporary US global tariff.</w:t>
      </w:r>
      <w:r>
        <w:rPr>
          <w:lang w:val="en-US"/>
        </w:rPr>
        <w:t xml:space="preserve"> Additionally, potential natural disasters could further exacerbate downward pressures on growth. </w:t>
      </w:r>
    </w:p>
    <w:p w14:paraId="716CFFF8" w14:textId="3BA80F50" w:rsidR="00FE459D" w:rsidRDefault="00FE459D" w:rsidP="00FE459D">
      <w:pPr>
        <w:spacing w:before="100" w:beforeAutospacing="1" w:after="100" w:afterAutospacing="1"/>
        <w:rPr>
          <w:bCs/>
          <w:lang w:val="en-US"/>
        </w:rPr>
      </w:pPr>
      <w:r>
        <w:rPr>
          <w:lang w:val="en-US"/>
        </w:rPr>
        <w:t xml:space="preserve">On the other hand, the forecast may benefit from stronger-than-anticipated </w:t>
      </w:r>
      <w:r w:rsidR="005C65C7">
        <w:rPr>
          <w:lang w:val="en-US"/>
        </w:rPr>
        <w:t xml:space="preserve">economic </w:t>
      </w:r>
      <w:r>
        <w:rPr>
          <w:lang w:val="en-US"/>
        </w:rPr>
        <w:t xml:space="preserve">outcomes stemming from an improved business climate and a faster implementation of policy reforms and investments under the Greek RRP to </w:t>
      </w:r>
      <w:r>
        <w:rPr>
          <w:bCs/>
          <w:lang w:val="en-US"/>
        </w:rPr>
        <w:t>bolster the economy’s structural resilience</w:t>
      </w:r>
      <w:r>
        <w:rPr>
          <w:lang w:val="en-US"/>
        </w:rPr>
        <w:t xml:space="preserve">, including through the </w:t>
      </w:r>
      <w:r>
        <w:rPr>
          <w:bCs/>
          <w:lang w:val="en-US"/>
        </w:rPr>
        <w:t>diversification of its productive base.</w:t>
      </w:r>
    </w:p>
    <w:p w14:paraId="5E89E50E" w14:textId="5CAADDB7" w:rsidR="006B6FFD" w:rsidRDefault="006B6FFD" w:rsidP="006B6FFD">
      <w:pPr>
        <w:pStyle w:val="Caption"/>
      </w:pPr>
      <w:bookmarkStart w:id="10" w:name="_Toc228374156"/>
      <w:r>
        <w:t xml:space="preserve">Table </w:t>
      </w:r>
      <w:r>
        <w:fldChar w:fldCharType="begin"/>
      </w:r>
      <w:r>
        <w:instrText xml:space="preserve"> SEQ Table \* ARABIC </w:instrText>
      </w:r>
      <w:r>
        <w:fldChar w:fldCharType="separate"/>
      </w:r>
      <w:r w:rsidR="000B61F1">
        <w:rPr>
          <w:noProof/>
        </w:rPr>
        <w:t>2</w:t>
      </w:r>
      <w:r>
        <w:fldChar w:fldCharType="end"/>
      </w:r>
      <w:r>
        <w:t xml:space="preserve"> | </w:t>
      </w:r>
      <w:r w:rsidRPr="005872A5">
        <w:t>External assumptions</w:t>
      </w:r>
      <w:bookmarkEnd w:id="10"/>
    </w:p>
    <w:tbl>
      <w:tblPr>
        <w:tblW w:w="8902" w:type="dxa"/>
        <w:jc w:val="center"/>
        <w:tblLook w:val="04A0" w:firstRow="1" w:lastRow="0" w:firstColumn="1" w:lastColumn="0" w:noHBand="0" w:noVBand="1"/>
      </w:tblPr>
      <w:tblGrid>
        <w:gridCol w:w="3427"/>
        <w:gridCol w:w="2147"/>
        <w:gridCol w:w="832"/>
        <w:gridCol w:w="832"/>
        <w:gridCol w:w="832"/>
        <w:gridCol w:w="832"/>
      </w:tblGrid>
      <w:tr w:rsidR="006B6FFD" w:rsidRPr="005872A5" w14:paraId="09875080" w14:textId="77777777" w:rsidTr="006B6FFD">
        <w:trPr>
          <w:trHeight w:val="284"/>
          <w:jc w:val="center"/>
        </w:trPr>
        <w:tc>
          <w:tcPr>
            <w:tcW w:w="5020" w:type="dxa"/>
            <w:tcBorders>
              <w:top w:val="nil"/>
              <w:left w:val="nil"/>
              <w:bottom w:val="nil"/>
              <w:right w:val="nil"/>
            </w:tcBorders>
            <w:shd w:val="clear" w:color="000000" w:fill="BFBFBF"/>
            <w:vAlign w:val="center"/>
            <w:hideMark/>
          </w:tcPr>
          <w:p w14:paraId="6B2532D5" w14:textId="776721AF" w:rsidR="006B6FFD" w:rsidRPr="005872A5" w:rsidRDefault="006B6FFD" w:rsidP="006B6FFD">
            <w:pPr>
              <w:spacing w:after="0" w:line="240" w:lineRule="auto"/>
              <w:jc w:val="left"/>
              <w:rPr>
                <w:rFonts w:ascii="Calibri" w:eastAsia="Times New Roman" w:hAnsi="Calibri" w:cs="Calibri"/>
                <w:b/>
                <w:bCs/>
                <w:color w:val="000000"/>
                <w:sz w:val="22"/>
              </w:rPr>
            </w:pPr>
            <w:r w:rsidRPr="005872A5">
              <w:rPr>
                <w:rFonts w:ascii="Calibri" w:eastAsia="Times New Roman" w:hAnsi="Calibri" w:cs="Calibri"/>
                <w:b/>
                <w:bCs/>
                <w:color w:val="000000"/>
                <w:sz w:val="22"/>
              </w:rPr>
              <w:t> </w:t>
            </w:r>
            <w:r w:rsidR="00DC4719" w:rsidRPr="005872A5">
              <w:rPr>
                <w:rFonts w:ascii="Calibri" w:eastAsia="Times New Roman" w:hAnsi="Calibri" w:cs="Calibri"/>
                <w:b/>
                <w:bCs/>
                <w:color w:val="000000"/>
                <w:sz w:val="22"/>
              </w:rPr>
              <w:t>Description</w:t>
            </w:r>
          </w:p>
        </w:tc>
        <w:tc>
          <w:tcPr>
            <w:tcW w:w="2800" w:type="dxa"/>
            <w:tcBorders>
              <w:top w:val="nil"/>
              <w:left w:val="nil"/>
              <w:bottom w:val="nil"/>
              <w:right w:val="nil"/>
            </w:tcBorders>
            <w:shd w:val="clear" w:color="000000" w:fill="BFBFBF"/>
            <w:vAlign w:val="center"/>
            <w:hideMark/>
          </w:tcPr>
          <w:p w14:paraId="0D1C1309" w14:textId="687BFB5E" w:rsidR="006B6FFD" w:rsidRPr="005872A5" w:rsidRDefault="006B6FFD" w:rsidP="006B6FFD">
            <w:pPr>
              <w:spacing w:after="0" w:line="240" w:lineRule="auto"/>
              <w:jc w:val="left"/>
              <w:rPr>
                <w:rFonts w:ascii="Calibri" w:eastAsia="Times New Roman" w:hAnsi="Calibri" w:cs="Calibri"/>
                <w:b/>
                <w:bCs/>
                <w:color w:val="000000"/>
                <w:sz w:val="22"/>
              </w:rPr>
            </w:pPr>
          </w:p>
        </w:tc>
        <w:tc>
          <w:tcPr>
            <w:tcW w:w="960" w:type="dxa"/>
            <w:tcBorders>
              <w:top w:val="nil"/>
              <w:left w:val="nil"/>
              <w:bottom w:val="nil"/>
              <w:right w:val="nil"/>
            </w:tcBorders>
            <w:shd w:val="clear" w:color="000000" w:fill="BFBFBF"/>
            <w:vAlign w:val="center"/>
            <w:hideMark/>
          </w:tcPr>
          <w:p w14:paraId="09130B47" w14:textId="77777777" w:rsidR="006B6FFD" w:rsidRPr="005872A5" w:rsidRDefault="006B6FFD" w:rsidP="006B6FFD">
            <w:pPr>
              <w:spacing w:after="0" w:line="240" w:lineRule="auto"/>
              <w:jc w:val="center"/>
              <w:rPr>
                <w:rFonts w:ascii="Calibri" w:eastAsia="Times New Roman" w:hAnsi="Calibri" w:cs="Calibri"/>
                <w:b/>
                <w:bCs/>
                <w:color w:val="000000"/>
                <w:sz w:val="22"/>
              </w:rPr>
            </w:pPr>
            <w:r w:rsidRPr="005872A5">
              <w:rPr>
                <w:rFonts w:ascii="Calibri" w:eastAsia="Times New Roman" w:hAnsi="Calibri" w:cs="Calibri"/>
                <w:b/>
                <w:bCs/>
                <w:color w:val="000000"/>
                <w:sz w:val="22"/>
              </w:rPr>
              <w:t>2023</w:t>
            </w:r>
          </w:p>
        </w:tc>
        <w:tc>
          <w:tcPr>
            <w:tcW w:w="960" w:type="dxa"/>
            <w:tcBorders>
              <w:top w:val="nil"/>
              <w:left w:val="nil"/>
              <w:bottom w:val="nil"/>
              <w:right w:val="nil"/>
            </w:tcBorders>
            <w:shd w:val="clear" w:color="000000" w:fill="BFBFBF"/>
            <w:vAlign w:val="center"/>
            <w:hideMark/>
          </w:tcPr>
          <w:p w14:paraId="3AA44F73" w14:textId="77777777" w:rsidR="006B6FFD" w:rsidRPr="005872A5" w:rsidRDefault="006B6FFD" w:rsidP="006B6FFD">
            <w:pPr>
              <w:spacing w:after="0" w:line="240" w:lineRule="auto"/>
              <w:jc w:val="center"/>
              <w:rPr>
                <w:rFonts w:ascii="Calibri" w:eastAsia="Times New Roman" w:hAnsi="Calibri" w:cs="Calibri"/>
                <w:b/>
                <w:bCs/>
                <w:color w:val="000000"/>
                <w:sz w:val="22"/>
              </w:rPr>
            </w:pPr>
            <w:r w:rsidRPr="005872A5">
              <w:rPr>
                <w:rFonts w:ascii="Calibri" w:eastAsia="Times New Roman" w:hAnsi="Calibri" w:cs="Calibri"/>
                <w:b/>
                <w:bCs/>
                <w:color w:val="000000"/>
                <w:sz w:val="22"/>
              </w:rPr>
              <w:t>2024</w:t>
            </w:r>
          </w:p>
        </w:tc>
        <w:tc>
          <w:tcPr>
            <w:tcW w:w="960" w:type="dxa"/>
            <w:tcBorders>
              <w:top w:val="nil"/>
              <w:left w:val="nil"/>
              <w:bottom w:val="nil"/>
              <w:right w:val="nil"/>
            </w:tcBorders>
            <w:shd w:val="clear" w:color="000000" w:fill="BFBFBF"/>
            <w:vAlign w:val="center"/>
            <w:hideMark/>
          </w:tcPr>
          <w:p w14:paraId="4C88D282" w14:textId="77777777" w:rsidR="006B6FFD" w:rsidRPr="005872A5" w:rsidRDefault="006B6FFD" w:rsidP="006B6FFD">
            <w:pPr>
              <w:spacing w:after="0" w:line="240" w:lineRule="auto"/>
              <w:jc w:val="center"/>
              <w:rPr>
                <w:rFonts w:ascii="Calibri" w:eastAsia="Times New Roman" w:hAnsi="Calibri" w:cs="Calibri"/>
                <w:b/>
                <w:bCs/>
                <w:color w:val="000000"/>
                <w:sz w:val="22"/>
              </w:rPr>
            </w:pPr>
            <w:r w:rsidRPr="005872A5">
              <w:rPr>
                <w:rFonts w:ascii="Calibri" w:eastAsia="Times New Roman" w:hAnsi="Calibri" w:cs="Calibri"/>
                <w:b/>
                <w:bCs/>
                <w:color w:val="000000"/>
                <w:sz w:val="22"/>
              </w:rPr>
              <w:t>2025</w:t>
            </w:r>
          </w:p>
        </w:tc>
        <w:tc>
          <w:tcPr>
            <w:tcW w:w="960" w:type="dxa"/>
            <w:tcBorders>
              <w:top w:val="nil"/>
              <w:left w:val="nil"/>
              <w:bottom w:val="nil"/>
              <w:right w:val="nil"/>
            </w:tcBorders>
            <w:shd w:val="clear" w:color="000000" w:fill="BFBFBF"/>
            <w:vAlign w:val="center"/>
            <w:hideMark/>
          </w:tcPr>
          <w:p w14:paraId="38009600" w14:textId="77777777" w:rsidR="006B6FFD" w:rsidRPr="005872A5" w:rsidRDefault="006B6FFD" w:rsidP="006B6FFD">
            <w:pPr>
              <w:spacing w:after="0" w:line="240" w:lineRule="auto"/>
              <w:jc w:val="center"/>
              <w:rPr>
                <w:rFonts w:ascii="Calibri" w:eastAsia="Times New Roman" w:hAnsi="Calibri" w:cs="Calibri"/>
                <w:b/>
                <w:bCs/>
                <w:color w:val="000000"/>
                <w:sz w:val="22"/>
              </w:rPr>
            </w:pPr>
            <w:r w:rsidRPr="005872A5">
              <w:rPr>
                <w:rFonts w:ascii="Calibri" w:eastAsia="Times New Roman" w:hAnsi="Calibri" w:cs="Calibri"/>
                <w:b/>
                <w:bCs/>
                <w:color w:val="000000"/>
                <w:sz w:val="22"/>
              </w:rPr>
              <w:t>2026</w:t>
            </w:r>
          </w:p>
        </w:tc>
      </w:tr>
      <w:tr w:rsidR="006B6FFD" w:rsidRPr="005872A5" w14:paraId="72EBF277" w14:textId="77777777" w:rsidTr="006B6FFD">
        <w:trPr>
          <w:trHeight w:val="284"/>
          <w:jc w:val="center"/>
        </w:trPr>
        <w:tc>
          <w:tcPr>
            <w:tcW w:w="5020" w:type="dxa"/>
            <w:tcBorders>
              <w:top w:val="nil"/>
              <w:left w:val="nil"/>
              <w:bottom w:val="single" w:sz="4" w:space="0" w:color="FFFFFF"/>
              <w:right w:val="nil"/>
            </w:tcBorders>
            <w:shd w:val="clear" w:color="000000" w:fill="F2F2F2"/>
            <w:vAlign w:val="center"/>
            <w:hideMark/>
          </w:tcPr>
          <w:p w14:paraId="2727F174" w14:textId="77777777" w:rsidR="006B6FFD" w:rsidRPr="005872A5" w:rsidRDefault="006B6FFD" w:rsidP="006B6FFD">
            <w:pPr>
              <w:spacing w:after="0" w:line="240" w:lineRule="auto"/>
              <w:jc w:val="left"/>
              <w:rPr>
                <w:rFonts w:ascii="Calibri" w:eastAsia="Times New Roman" w:hAnsi="Calibri" w:cs="Calibri"/>
                <w:sz w:val="22"/>
              </w:rPr>
            </w:pPr>
            <w:r w:rsidRPr="005872A5">
              <w:rPr>
                <w:rFonts w:ascii="Calibri" w:eastAsia="Times New Roman" w:hAnsi="Calibri" w:cs="Calibri"/>
                <w:sz w:val="22"/>
              </w:rPr>
              <w:t>1. Short-term interest rate</w:t>
            </w:r>
          </w:p>
        </w:tc>
        <w:tc>
          <w:tcPr>
            <w:tcW w:w="2800" w:type="dxa"/>
            <w:tcBorders>
              <w:top w:val="nil"/>
              <w:left w:val="nil"/>
              <w:bottom w:val="single" w:sz="4" w:space="0" w:color="FFFFFF"/>
              <w:right w:val="nil"/>
            </w:tcBorders>
            <w:shd w:val="clear" w:color="000000" w:fill="F2F2F2"/>
            <w:vAlign w:val="center"/>
            <w:hideMark/>
          </w:tcPr>
          <w:p w14:paraId="4266B666" w14:textId="77777777" w:rsidR="006B6FFD" w:rsidRPr="005872A5" w:rsidRDefault="006B6FFD" w:rsidP="006B6FFD">
            <w:pPr>
              <w:spacing w:after="0" w:line="240" w:lineRule="auto"/>
              <w:jc w:val="left"/>
              <w:rPr>
                <w:rFonts w:ascii="Calibri" w:eastAsia="Times New Roman" w:hAnsi="Calibri" w:cs="Calibri"/>
                <w:sz w:val="22"/>
              </w:rPr>
            </w:pPr>
            <w:r w:rsidRPr="005872A5">
              <w:rPr>
                <w:rFonts w:ascii="Calibri" w:eastAsia="Times New Roman" w:hAnsi="Calibri" w:cs="Calibri"/>
                <w:sz w:val="22"/>
              </w:rPr>
              <w:t>(%, annual average)</w:t>
            </w:r>
          </w:p>
        </w:tc>
        <w:tc>
          <w:tcPr>
            <w:tcW w:w="960" w:type="dxa"/>
            <w:tcBorders>
              <w:top w:val="nil"/>
              <w:left w:val="nil"/>
              <w:bottom w:val="single" w:sz="4" w:space="0" w:color="FFFFFF"/>
              <w:right w:val="nil"/>
            </w:tcBorders>
            <w:shd w:val="clear" w:color="000000" w:fill="F2F2F2"/>
            <w:vAlign w:val="center"/>
            <w:hideMark/>
          </w:tcPr>
          <w:p w14:paraId="797036ED" w14:textId="77777777" w:rsidR="006B6FFD" w:rsidRPr="005872A5" w:rsidRDefault="006B6FFD" w:rsidP="006B6FFD">
            <w:pPr>
              <w:spacing w:after="0" w:line="240" w:lineRule="auto"/>
              <w:jc w:val="center"/>
              <w:rPr>
                <w:rFonts w:ascii="Calibri" w:eastAsia="Times New Roman" w:hAnsi="Calibri" w:cs="Calibri"/>
                <w:sz w:val="22"/>
              </w:rPr>
            </w:pPr>
            <w:r w:rsidRPr="005872A5">
              <w:rPr>
                <w:rFonts w:ascii="Calibri" w:eastAsia="Times New Roman" w:hAnsi="Calibri" w:cs="Calibri"/>
                <w:sz w:val="22"/>
              </w:rPr>
              <w:t>3.4</w:t>
            </w:r>
          </w:p>
        </w:tc>
        <w:tc>
          <w:tcPr>
            <w:tcW w:w="960" w:type="dxa"/>
            <w:tcBorders>
              <w:top w:val="nil"/>
              <w:left w:val="nil"/>
              <w:bottom w:val="single" w:sz="4" w:space="0" w:color="FFFFFF"/>
              <w:right w:val="nil"/>
            </w:tcBorders>
            <w:shd w:val="clear" w:color="000000" w:fill="F2F2F2"/>
            <w:vAlign w:val="center"/>
            <w:hideMark/>
          </w:tcPr>
          <w:p w14:paraId="60F81410" w14:textId="77777777" w:rsidR="006B6FFD" w:rsidRPr="005872A5" w:rsidRDefault="006B6FFD" w:rsidP="006B6FFD">
            <w:pPr>
              <w:spacing w:after="0" w:line="240" w:lineRule="auto"/>
              <w:jc w:val="center"/>
              <w:rPr>
                <w:rFonts w:ascii="Calibri" w:eastAsia="Times New Roman" w:hAnsi="Calibri" w:cs="Calibri"/>
                <w:sz w:val="22"/>
              </w:rPr>
            </w:pPr>
            <w:r w:rsidRPr="005872A5">
              <w:rPr>
                <w:rFonts w:ascii="Calibri" w:eastAsia="Times New Roman" w:hAnsi="Calibri" w:cs="Calibri"/>
                <w:sz w:val="22"/>
              </w:rPr>
              <w:t>3.6</w:t>
            </w:r>
          </w:p>
        </w:tc>
        <w:tc>
          <w:tcPr>
            <w:tcW w:w="960" w:type="dxa"/>
            <w:tcBorders>
              <w:top w:val="nil"/>
              <w:left w:val="nil"/>
              <w:bottom w:val="single" w:sz="4" w:space="0" w:color="FFFFFF"/>
              <w:right w:val="nil"/>
            </w:tcBorders>
            <w:shd w:val="clear" w:color="000000" w:fill="F2F2F2"/>
            <w:vAlign w:val="center"/>
            <w:hideMark/>
          </w:tcPr>
          <w:p w14:paraId="28268E4B" w14:textId="77777777" w:rsidR="006B6FFD" w:rsidRPr="005872A5" w:rsidRDefault="006B6FFD" w:rsidP="006B6FFD">
            <w:pPr>
              <w:spacing w:after="0" w:line="240" w:lineRule="auto"/>
              <w:jc w:val="center"/>
              <w:rPr>
                <w:rFonts w:ascii="Calibri" w:eastAsia="Times New Roman" w:hAnsi="Calibri" w:cs="Calibri"/>
                <w:sz w:val="22"/>
              </w:rPr>
            </w:pPr>
            <w:r w:rsidRPr="005872A5">
              <w:rPr>
                <w:rFonts w:ascii="Calibri" w:eastAsia="Times New Roman" w:hAnsi="Calibri" w:cs="Calibri"/>
                <w:sz w:val="22"/>
              </w:rPr>
              <w:t>2.2</w:t>
            </w:r>
          </w:p>
        </w:tc>
        <w:tc>
          <w:tcPr>
            <w:tcW w:w="960" w:type="dxa"/>
            <w:tcBorders>
              <w:top w:val="nil"/>
              <w:left w:val="nil"/>
              <w:bottom w:val="single" w:sz="4" w:space="0" w:color="FFFFFF"/>
              <w:right w:val="nil"/>
            </w:tcBorders>
            <w:shd w:val="clear" w:color="000000" w:fill="F2F2F2"/>
            <w:vAlign w:val="center"/>
            <w:hideMark/>
          </w:tcPr>
          <w:p w14:paraId="6A2D9CF9" w14:textId="77777777" w:rsidR="006B6FFD" w:rsidRPr="005872A5" w:rsidRDefault="006B6FFD" w:rsidP="006B6FFD">
            <w:pPr>
              <w:spacing w:after="0" w:line="240" w:lineRule="auto"/>
              <w:jc w:val="center"/>
              <w:rPr>
                <w:rFonts w:ascii="Calibri" w:eastAsia="Times New Roman" w:hAnsi="Calibri" w:cs="Calibri"/>
                <w:sz w:val="22"/>
              </w:rPr>
            </w:pPr>
            <w:r w:rsidRPr="005872A5">
              <w:rPr>
                <w:rFonts w:ascii="Calibri" w:eastAsia="Times New Roman" w:hAnsi="Calibri" w:cs="Calibri"/>
                <w:sz w:val="22"/>
              </w:rPr>
              <w:t>2.3</w:t>
            </w:r>
          </w:p>
        </w:tc>
      </w:tr>
      <w:tr w:rsidR="006B6FFD" w:rsidRPr="005872A5" w14:paraId="303CB68B" w14:textId="77777777" w:rsidTr="006B6FFD">
        <w:trPr>
          <w:trHeight w:val="284"/>
          <w:jc w:val="center"/>
        </w:trPr>
        <w:tc>
          <w:tcPr>
            <w:tcW w:w="5020" w:type="dxa"/>
            <w:tcBorders>
              <w:top w:val="nil"/>
              <w:left w:val="nil"/>
              <w:bottom w:val="single" w:sz="4" w:space="0" w:color="FFFFFF"/>
              <w:right w:val="nil"/>
            </w:tcBorders>
            <w:shd w:val="clear" w:color="000000" w:fill="D9D9D9"/>
            <w:vAlign w:val="center"/>
            <w:hideMark/>
          </w:tcPr>
          <w:p w14:paraId="60C1C2A7" w14:textId="77777777" w:rsidR="006B6FFD" w:rsidRPr="005872A5" w:rsidRDefault="006B6FFD" w:rsidP="006B6FFD">
            <w:pPr>
              <w:spacing w:after="0" w:line="240" w:lineRule="auto"/>
              <w:jc w:val="left"/>
              <w:rPr>
                <w:rFonts w:ascii="Calibri" w:eastAsia="Times New Roman" w:hAnsi="Calibri" w:cs="Calibri"/>
                <w:sz w:val="22"/>
              </w:rPr>
            </w:pPr>
            <w:r w:rsidRPr="005872A5">
              <w:rPr>
                <w:rFonts w:ascii="Calibri" w:eastAsia="Times New Roman" w:hAnsi="Calibri" w:cs="Calibri"/>
                <w:sz w:val="22"/>
              </w:rPr>
              <w:t>2. Long-term interest rate</w:t>
            </w:r>
          </w:p>
        </w:tc>
        <w:tc>
          <w:tcPr>
            <w:tcW w:w="2800" w:type="dxa"/>
            <w:tcBorders>
              <w:top w:val="nil"/>
              <w:left w:val="nil"/>
              <w:bottom w:val="single" w:sz="4" w:space="0" w:color="FFFFFF"/>
              <w:right w:val="nil"/>
            </w:tcBorders>
            <w:shd w:val="clear" w:color="000000" w:fill="D9D9D9"/>
            <w:vAlign w:val="center"/>
            <w:hideMark/>
          </w:tcPr>
          <w:p w14:paraId="04557197" w14:textId="77777777" w:rsidR="006B6FFD" w:rsidRPr="005872A5" w:rsidRDefault="006B6FFD" w:rsidP="006B6FFD">
            <w:pPr>
              <w:spacing w:after="0" w:line="240" w:lineRule="auto"/>
              <w:jc w:val="left"/>
              <w:rPr>
                <w:rFonts w:ascii="Calibri" w:eastAsia="Times New Roman" w:hAnsi="Calibri" w:cs="Calibri"/>
                <w:sz w:val="22"/>
              </w:rPr>
            </w:pPr>
            <w:r w:rsidRPr="005872A5">
              <w:rPr>
                <w:rFonts w:ascii="Calibri" w:eastAsia="Times New Roman" w:hAnsi="Calibri" w:cs="Calibri"/>
                <w:sz w:val="22"/>
              </w:rPr>
              <w:t>(%, annual average)</w:t>
            </w:r>
          </w:p>
        </w:tc>
        <w:tc>
          <w:tcPr>
            <w:tcW w:w="960" w:type="dxa"/>
            <w:tcBorders>
              <w:top w:val="nil"/>
              <w:left w:val="nil"/>
              <w:bottom w:val="single" w:sz="4" w:space="0" w:color="FFFFFF"/>
              <w:right w:val="nil"/>
            </w:tcBorders>
            <w:shd w:val="clear" w:color="000000" w:fill="D9D9D9"/>
            <w:vAlign w:val="center"/>
            <w:hideMark/>
          </w:tcPr>
          <w:p w14:paraId="5CF35711" w14:textId="77777777" w:rsidR="006B6FFD" w:rsidRPr="005872A5" w:rsidRDefault="006B6FFD" w:rsidP="006B6FFD">
            <w:pPr>
              <w:spacing w:after="0" w:line="240" w:lineRule="auto"/>
              <w:jc w:val="center"/>
              <w:rPr>
                <w:rFonts w:ascii="Calibri" w:eastAsia="Times New Roman" w:hAnsi="Calibri" w:cs="Calibri"/>
                <w:sz w:val="22"/>
              </w:rPr>
            </w:pPr>
            <w:r w:rsidRPr="005872A5">
              <w:rPr>
                <w:rFonts w:ascii="Calibri" w:eastAsia="Times New Roman" w:hAnsi="Calibri" w:cs="Calibri"/>
                <w:sz w:val="22"/>
              </w:rPr>
              <w:t>3.1</w:t>
            </w:r>
          </w:p>
        </w:tc>
        <w:tc>
          <w:tcPr>
            <w:tcW w:w="960" w:type="dxa"/>
            <w:tcBorders>
              <w:top w:val="nil"/>
              <w:left w:val="nil"/>
              <w:bottom w:val="single" w:sz="4" w:space="0" w:color="FFFFFF"/>
              <w:right w:val="nil"/>
            </w:tcBorders>
            <w:shd w:val="clear" w:color="000000" w:fill="D9D9D9"/>
            <w:vAlign w:val="center"/>
            <w:hideMark/>
          </w:tcPr>
          <w:p w14:paraId="7E5FFD44" w14:textId="77777777" w:rsidR="006B6FFD" w:rsidRPr="005872A5" w:rsidRDefault="006B6FFD" w:rsidP="006B6FFD">
            <w:pPr>
              <w:spacing w:after="0" w:line="240" w:lineRule="auto"/>
              <w:jc w:val="center"/>
              <w:rPr>
                <w:rFonts w:ascii="Calibri" w:eastAsia="Times New Roman" w:hAnsi="Calibri" w:cs="Calibri"/>
                <w:sz w:val="22"/>
              </w:rPr>
            </w:pPr>
            <w:r w:rsidRPr="005872A5">
              <w:rPr>
                <w:rFonts w:ascii="Calibri" w:eastAsia="Times New Roman" w:hAnsi="Calibri" w:cs="Calibri"/>
                <w:sz w:val="22"/>
              </w:rPr>
              <w:t>2.9</w:t>
            </w:r>
          </w:p>
        </w:tc>
        <w:tc>
          <w:tcPr>
            <w:tcW w:w="960" w:type="dxa"/>
            <w:tcBorders>
              <w:top w:val="nil"/>
              <w:left w:val="nil"/>
              <w:bottom w:val="single" w:sz="4" w:space="0" w:color="FFFFFF"/>
              <w:right w:val="nil"/>
            </w:tcBorders>
            <w:shd w:val="clear" w:color="000000" w:fill="D9D9D9"/>
            <w:vAlign w:val="center"/>
            <w:hideMark/>
          </w:tcPr>
          <w:p w14:paraId="43840E97" w14:textId="77777777" w:rsidR="006B6FFD" w:rsidRPr="005872A5" w:rsidRDefault="006B6FFD" w:rsidP="006B6FFD">
            <w:pPr>
              <w:spacing w:after="0" w:line="240" w:lineRule="auto"/>
              <w:jc w:val="center"/>
              <w:rPr>
                <w:rFonts w:ascii="Calibri" w:eastAsia="Times New Roman" w:hAnsi="Calibri" w:cs="Calibri"/>
                <w:sz w:val="22"/>
              </w:rPr>
            </w:pPr>
            <w:r w:rsidRPr="005872A5">
              <w:rPr>
                <w:rFonts w:ascii="Calibri" w:eastAsia="Times New Roman" w:hAnsi="Calibri" w:cs="Calibri"/>
                <w:sz w:val="22"/>
              </w:rPr>
              <w:t>3.3</w:t>
            </w:r>
          </w:p>
        </w:tc>
        <w:tc>
          <w:tcPr>
            <w:tcW w:w="960" w:type="dxa"/>
            <w:tcBorders>
              <w:top w:val="nil"/>
              <w:left w:val="nil"/>
              <w:bottom w:val="single" w:sz="4" w:space="0" w:color="FFFFFF"/>
              <w:right w:val="nil"/>
            </w:tcBorders>
            <w:shd w:val="clear" w:color="000000" w:fill="D9D9D9"/>
            <w:vAlign w:val="center"/>
            <w:hideMark/>
          </w:tcPr>
          <w:p w14:paraId="3C309E7B" w14:textId="77777777" w:rsidR="006B6FFD" w:rsidRPr="005872A5" w:rsidRDefault="006B6FFD" w:rsidP="006B6FFD">
            <w:pPr>
              <w:spacing w:after="0" w:line="240" w:lineRule="auto"/>
              <w:jc w:val="center"/>
              <w:rPr>
                <w:rFonts w:ascii="Calibri" w:eastAsia="Times New Roman" w:hAnsi="Calibri" w:cs="Calibri"/>
                <w:sz w:val="22"/>
              </w:rPr>
            </w:pPr>
            <w:r w:rsidRPr="005872A5">
              <w:rPr>
                <w:rFonts w:ascii="Calibri" w:eastAsia="Times New Roman" w:hAnsi="Calibri" w:cs="Calibri"/>
                <w:sz w:val="22"/>
              </w:rPr>
              <w:t>3.3</w:t>
            </w:r>
          </w:p>
        </w:tc>
      </w:tr>
      <w:tr w:rsidR="006B6FFD" w:rsidRPr="005872A5" w14:paraId="249F6F73" w14:textId="77777777" w:rsidTr="006B6FFD">
        <w:trPr>
          <w:trHeight w:val="284"/>
          <w:jc w:val="center"/>
        </w:trPr>
        <w:tc>
          <w:tcPr>
            <w:tcW w:w="5020" w:type="dxa"/>
            <w:tcBorders>
              <w:top w:val="nil"/>
              <w:left w:val="nil"/>
              <w:bottom w:val="single" w:sz="4" w:space="0" w:color="FFFFFF"/>
              <w:right w:val="nil"/>
            </w:tcBorders>
            <w:shd w:val="clear" w:color="000000" w:fill="F2F2F2"/>
            <w:vAlign w:val="center"/>
            <w:hideMark/>
          </w:tcPr>
          <w:p w14:paraId="2433AE84" w14:textId="77777777" w:rsidR="006B6FFD" w:rsidRPr="005872A5" w:rsidRDefault="006B6FFD" w:rsidP="006B6FFD">
            <w:pPr>
              <w:spacing w:after="0" w:line="240" w:lineRule="auto"/>
              <w:jc w:val="left"/>
              <w:rPr>
                <w:rFonts w:ascii="Calibri" w:eastAsia="Times New Roman" w:hAnsi="Calibri" w:cs="Calibri"/>
                <w:sz w:val="22"/>
              </w:rPr>
            </w:pPr>
            <w:r w:rsidRPr="005872A5">
              <w:rPr>
                <w:rFonts w:ascii="Calibri" w:eastAsia="Times New Roman" w:hAnsi="Calibri" w:cs="Calibri"/>
                <w:sz w:val="22"/>
              </w:rPr>
              <w:t>3. USD/EUR exchange rate</w:t>
            </w:r>
          </w:p>
        </w:tc>
        <w:tc>
          <w:tcPr>
            <w:tcW w:w="2800" w:type="dxa"/>
            <w:tcBorders>
              <w:top w:val="nil"/>
              <w:left w:val="nil"/>
              <w:bottom w:val="single" w:sz="4" w:space="0" w:color="FFFFFF"/>
              <w:right w:val="nil"/>
            </w:tcBorders>
            <w:shd w:val="clear" w:color="000000" w:fill="F2F2F2"/>
            <w:vAlign w:val="center"/>
            <w:hideMark/>
          </w:tcPr>
          <w:p w14:paraId="6DBAC462" w14:textId="77777777" w:rsidR="006B6FFD" w:rsidRPr="005872A5" w:rsidRDefault="006B6FFD" w:rsidP="006B6FFD">
            <w:pPr>
              <w:spacing w:after="0" w:line="240" w:lineRule="auto"/>
              <w:jc w:val="left"/>
              <w:rPr>
                <w:rFonts w:ascii="Calibri" w:eastAsia="Times New Roman" w:hAnsi="Calibri" w:cs="Calibri"/>
                <w:sz w:val="22"/>
              </w:rPr>
            </w:pPr>
            <w:r w:rsidRPr="005872A5">
              <w:rPr>
                <w:rFonts w:ascii="Calibri" w:eastAsia="Times New Roman" w:hAnsi="Calibri" w:cs="Calibri"/>
                <w:sz w:val="22"/>
              </w:rPr>
              <w:t>(annual average)</w:t>
            </w:r>
          </w:p>
        </w:tc>
        <w:tc>
          <w:tcPr>
            <w:tcW w:w="960" w:type="dxa"/>
            <w:tcBorders>
              <w:top w:val="nil"/>
              <w:left w:val="nil"/>
              <w:bottom w:val="single" w:sz="4" w:space="0" w:color="FFFFFF"/>
              <w:right w:val="nil"/>
            </w:tcBorders>
            <w:shd w:val="clear" w:color="000000" w:fill="F2F2F2"/>
            <w:vAlign w:val="center"/>
            <w:hideMark/>
          </w:tcPr>
          <w:p w14:paraId="310CD9EA" w14:textId="77777777" w:rsidR="006B6FFD" w:rsidRPr="005872A5" w:rsidRDefault="006B6FFD" w:rsidP="006B6FFD">
            <w:pPr>
              <w:spacing w:after="0" w:line="240" w:lineRule="auto"/>
              <w:jc w:val="center"/>
              <w:rPr>
                <w:rFonts w:ascii="Calibri" w:eastAsia="Times New Roman" w:hAnsi="Calibri" w:cs="Calibri"/>
                <w:sz w:val="22"/>
              </w:rPr>
            </w:pPr>
            <w:r w:rsidRPr="005872A5">
              <w:rPr>
                <w:rFonts w:ascii="Calibri" w:eastAsia="Times New Roman" w:hAnsi="Calibri" w:cs="Calibri"/>
                <w:sz w:val="22"/>
              </w:rPr>
              <w:t>1.1</w:t>
            </w:r>
          </w:p>
        </w:tc>
        <w:tc>
          <w:tcPr>
            <w:tcW w:w="960" w:type="dxa"/>
            <w:tcBorders>
              <w:top w:val="nil"/>
              <w:left w:val="nil"/>
              <w:bottom w:val="single" w:sz="4" w:space="0" w:color="FFFFFF"/>
              <w:right w:val="nil"/>
            </w:tcBorders>
            <w:shd w:val="clear" w:color="000000" w:fill="F2F2F2"/>
            <w:vAlign w:val="center"/>
            <w:hideMark/>
          </w:tcPr>
          <w:p w14:paraId="5510B8A7" w14:textId="77777777" w:rsidR="006B6FFD" w:rsidRPr="005872A5" w:rsidRDefault="006B6FFD" w:rsidP="006B6FFD">
            <w:pPr>
              <w:spacing w:after="0" w:line="240" w:lineRule="auto"/>
              <w:jc w:val="center"/>
              <w:rPr>
                <w:rFonts w:ascii="Calibri" w:eastAsia="Times New Roman" w:hAnsi="Calibri" w:cs="Calibri"/>
                <w:sz w:val="22"/>
              </w:rPr>
            </w:pPr>
            <w:r w:rsidRPr="005872A5">
              <w:rPr>
                <w:rFonts w:ascii="Calibri" w:eastAsia="Times New Roman" w:hAnsi="Calibri" w:cs="Calibri"/>
                <w:sz w:val="22"/>
              </w:rPr>
              <w:t>1.1</w:t>
            </w:r>
          </w:p>
        </w:tc>
        <w:tc>
          <w:tcPr>
            <w:tcW w:w="960" w:type="dxa"/>
            <w:tcBorders>
              <w:top w:val="nil"/>
              <w:left w:val="nil"/>
              <w:bottom w:val="single" w:sz="4" w:space="0" w:color="FFFFFF"/>
              <w:right w:val="nil"/>
            </w:tcBorders>
            <w:shd w:val="clear" w:color="000000" w:fill="F2F2F2"/>
            <w:vAlign w:val="center"/>
            <w:hideMark/>
          </w:tcPr>
          <w:p w14:paraId="7D88C5EA" w14:textId="77777777" w:rsidR="006B6FFD" w:rsidRPr="005872A5" w:rsidRDefault="006B6FFD" w:rsidP="006B6FFD">
            <w:pPr>
              <w:spacing w:after="0" w:line="240" w:lineRule="auto"/>
              <w:jc w:val="center"/>
              <w:rPr>
                <w:rFonts w:ascii="Calibri" w:eastAsia="Times New Roman" w:hAnsi="Calibri" w:cs="Calibri"/>
                <w:sz w:val="22"/>
              </w:rPr>
            </w:pPr>
            <w:r w:rsidRPr="005872A5">
              <w:rPr>
                <w:rFonts w:ascii="Calibri" w:eastAsia="Times New Roman" w:hAnsi="Calibri" w:cs="Calibri"/>
                <w:sz w:val="22"/>
              </w:rPr>
              <w:t>1.1</w:t>
            </w:r>
          </w:p>
        </w:tc>
        <w:tc>
          <w:tcPr>
            <w:tcW w:w="960" w:type="dxa"/>
            <w:tcBorders>
              <w:top w:val="nil"/>
              <w:left w:val="nil"/>
              <w:bottom w:val="single" w:sz="4" w:space="0" w:color="FFFFFF"/>
              <w:right w:val="nil"/>
            </w:tcBorders>
            <w:shd w:val="clear" w:color="000000" w:fill="F2F2F2"/>
            <w:vAlign w:val="center"/>
            <w:hideMark/>
          </w:tcPr>
          <w:p w14:paraId="031DADC1" w14:textId="77777777" w:rsidR="006B6FFD" w:rsidRPr="005872A5" w:rsidRDefault="006B6FFD" w:rsidP="006B6FFD">
            <w:pPr>
              <w:spacing w:after="0" w:line="240" w:lineRule="auto"/>
              <w:jc w:val="center"/>
              <w:rPr>
                <w:rFonts w:ascii="Calibri" w:eastAsia="Times New Roman" w:hAnsi="Calibri" w:cs="Calibri"/>
                <w:sz w:val="22"/>
              </w:rPr>
            </w:pPr>
            <w:r w:rsidRPr="005872A5">
              <w:rPr>
                <w:rFonts w:ascii="Calibri" w:eastAsia="Times New Roman" w:hAnsi="Calibri" w:cs="Calibri"/>
                <w:sz w:val="22"/>
              </w:rPr>
              <w:t>1.2</w:t>
            </w:r>
          </w:p>
        </w:tc>
      </w:tr>
      <w:tr w:rsidR="006B6FFD" w:rsidRPr="005872A5" w14:paraId="18E57E74" w14:textId="77777777" w:rsidTr="00E0647F">
        <w:trPr>
          <w:trHeight w:val="629"/>
          <w:jc w:val="center"/>
        </w:trPr>
        <w:tc>
          <w:tcPr>
            <w:tcW w:w="5020" w:type="dxa"/>
            <w:tcBorders>
              <w:top w:val="nil"/>
              <w:left w:val="nil"/>
              <w:bottom w:val="single" w:sz="4" w:space="0" w:color="FFFFFF"/>
              <w:right w:val="nil"/>
            </w:tcBorders>
            <w:shd w:val="clear" w:color="000000" w:fill="D9D9D9"/>
            <w:vAlign w:val="center"/>
            <w:hideMark/>
          </w:tcPr>
          <w:p w14:paraId="13835A4F" w14:textId="77777777" w:rsidR="006B6FFD" w:rsidRPr="005872A5" w:rsidRDefault="006B6FFD" w:rsidP="006B6FFD">
            <w:pPr>
              <w:spacing w:after="0" w:line="240" w:lineRule="auto"/>
              <w:jc w:val="left"/>
              <w:rPr>
                <w:rFonts w:ascii="Calibri" w:eastAsia="Times New Roman" w:hAnsi="Calibri" w:cs="Calibri"/>
                <w:sz w:val="22"/>
                <w:lang w:val="en-US"/>
              </w:rPr>
            </w:pPr>
            <w:r w:rsidRPr="005872A5">
              <w:rPr>
                <w:rFonts w:ascii="Calibri" w:eastAsia="Times New Roman" w:hAnsi="Calibri" w:cs="Calibri"/>
                <w:sz w:val="22"/>
                <w:lang w:val="en-US"/>
              </w:rPr>
              <w:t xml:space="preserve">4. NAC/EUR exchange rate </w:t>
            </w:r>
            <w:r>
              <w:rPr>
                <w:rFonts w:ascii="Calibri" w:eastAsia="Times New Roman" w:hAnsi="Calibri" w:cs="Calibri"/>
                <w:sz w:val="22"/>
                <w:lang w:val="en-US"/>
              </w:rPr>
              <w:br/>
            </w:r>
            <w:r w:rsidRPr="005872A5">
              <w:rPr>
                <w:rFonts w:ascii="Calibri" w:eastAsia="Times New Roman" w:hAnsi="Calibri" w:cs="Calibri"/>
                <w:sz w:val="22"/>
                <w:lang w:val="en-US"/>
              </w:rPr>
              <w:t>(only for non-EA Member States)</w:t>
            </w:r>
          </w:p>
        </w:tc>
        <w:tc>
          <w:tcPr>
            <w:tcW w:w="2800" w:type="dxa"/>
            <w:tcBorders>
              <w:top w:val="nil"/>
              <w:left w:val="nil"/>
              <w:bottom w:val="single" w:sz="4" w:space="0" w:color="FFFFFF"/>
              <w:right w:val="nil"/>
            </w:tcBorders>
            <w:shd w:val="clear" w:color="000000" w:fill="D9D9D9"/>
            <w:vAlign w:val="center"/>
            <w:hideMark/>
          </w:tcPr>
          <w:p w14:paraId="312C56C7" w14:textId="77777777" w:rsidR="006B6FFD" w:rsidRPr="005872A5" w:rsidRDefault="006B6FFD" w:rsidP="006B6FFD">
            <w:pPr>
              <w:spacing w:after="0" w:line="240" w:lineRule="auto"/>
              <w:jc w:val="left"/>
              <w:rPr>
                <w:rFonts w:ascii="Calibri" w:eastAsia="Times New Roman" w:hAnsi="Calibri" w:cs="Calibri"/>
                <w:sz w:val="22"/>
              </w:rPr>
            </w:pPr>
            <w:r w:rsidRPr="005872A5">
              <w:rPr>
                <w:rFonts w:ascii="Calibri" w:eastAsia="Times New Roman" w:hAnsi="Calibri" w:cs="Calibri"/>
                <w:sz w:val="22"/>
              </w:rPr>
              <w:t>(annual average)</w:t>
            </w:r>
          </w:p>
        </w:tc>
        <w:tc>
          <w:tcPr>
            <w:tcW w:w="960" w:type="dxa"/>
            <w:tcBorders>
              <w:top w:val="nil"/>
              <w:left w:val="nil"/>
              <w:bottom w:val="single" w:sz="4" w:space="0" w:color="FFFFFF"/>
              <w:right w:val="nil"/>
            </w:tcBorders>
            <w:shd w:val="clear" w:color="000000" w:fill="D9D9D9"/>
            <w:vAlign w:val="center"/>
            <w:hideMark/>
          </w:tcPr>
          <w:p w14:paraId="0D09CE1D" w14:textId="77777777" w:rsidR="006B6FFD" w:rsidRPr="005872A5" w:rsidRDefault="006B6FFD" w:rsidP="006B6FFD">
            <w:pPr>
              <w:spacing w:after="0" w:line="240" w:lineRule="auto"/>
              <w:jc w:val="center"/>
              <w:rPr>
                <w:rFonts w:ascii="Calibri" w:eastAsia="Times New Roman" w:hAnsi="Calibri" w:cs="Calibri"/>
                <w:sz w:val="22"/>
              </w:rPr>
            </w:pPr>
            <w:r w:rsidRPr="005872A5">
              <w:rPr>
                <w:rFonts w:ascii="Calibri" w:eastAsia="Times New Roman" w:hAnsi="Calibri" w:cs="Calibri"/>
                <w:sz w:val="22"/>
              </w:rPr>
              <w:t> </w:t>
            </w:r>
          </w:p>
        </w:tc>
        <w:tc>
          <w:tcPr>
            <w:tcW w:w="960" w:type="dxa"/>
            <w:tcBorders>
              <w:top w:val="nil"/>
              <w:left w:val="nil"/>
              <w:bottom w:val="single" w:sz="4" w:space="0" w:color="FFFFFF"/>
              <w:right w:val="nil"/>
            </w:tcBorders>
            <w:shd w:val="clear" w:color="000000" w:fill="D9D9D9"/>
            <w:vAlign w:val="center"/>
            <w:hideMark/>
          </w:tcPr>
          <w:p w14:paraId="4C34DC64" w14:textId="77777777" w:rsidR="006B6FFD" w:rsidRPr="005872A5" w:rsidRDefault="006B6FFD" w:rsidP="006B6FFD">
            <w:pPr>
              <w:spacing w:after="0" w:line="240" w:lineRule="auto"/>
              <w:jc w:val="center"/>
              <w:rPr>
                <w:rFonts w:ascii="Calibri" w:eastAsia="Times New Roman" w:hAnsi="Calibri" w:cs="Calibri"/>
                <w:sz w:val="22"/>
              </w:rPr>
            </w:pPr>
            <w:r w:rsidRPr="005872A5">
              <w:rPr>
                <w:rFonts w:ascii="Calibri" w:eastAsia="Times New Roman" w:hAnsi="Calibri" w:cs="Calibri"/>
                <w:sz w:val="22"/>
              </w:rPr>
              <w:t> </w:t>
            </w:r>
          </w:p>
        </w:tc>
        <w:tc>
          <w:tcPr>
            <w:tcW w:w="960" w:type="dxa"/>
            <w:tcBorders>
              <w:top w:val="nil"/>
              <w:left w:val="nil"/>
              <w:bottom w:val="single" w:sz="4" w:space="0" w:color="FFFFFF"/>
              <w:right w:val="nil"/>
            </w:tcBorders>
            <w:shd w:val="clear" w:color="000000" w:fill="D9D9D9"/>
            <w:vAlign w:val="center"/>
            <w:hideMark/>
          </w:tcPr>
          <w:p w14:paraId="22F7C877" w14:textId="77777777" w:rsidR="006B6FFD" w:rsidRPr="005872A5" w:rsidRDefault="006B6FFD" w:rsidP="006B6FFD">
            <w:pPr>
              <w:spacing w:after="0" w:line="240" w:lineRule="auto"/>
              <w:jc w:val="center"/>
              <w:rPr>
                <w:rFonts w:ascii="Calibri" w:eastAsia="Times New Roman" w:hAnsi="Calibri" w:cs="Calibri"/>
                <w:sz w:val="22"/>
              </w:rPr>
            </w:pPr>
            <w:r w:rsidRPr="005872A5">
              <w:rPr>
                <w:rFonts w:ascii="Calibri" w:eastAsia="Times New Roman" w:hAnsi="Calibri" w:cs="Calibri"/>
                <w:sz w:val="22"/>
              </w:rPr>
              <w:t> </w:t>
            </w:r>
          </w:p>
        </w:tc>
        <w:tc>
          <w:tcPr>
            <w:tcW w:w="960" w:type="dxa"/>
            <w:tcBorders>
              <w:top w:val="nil"/>
              <w:left w:val="nil"/>
              <w:bottom w:val="single" w:sz="4" w:space="0" w:color="FFFFFF"/>
              <w:right w:val="nil"/>
            </w:tcBorders>
            <w:shd w:val="clear" w:color="000000" w:fill="D9D9D9"/>
            <w:vAlign w:val="center"/>
            <w:hideMark/>
          </w:tcPr>
          <w:p w14:paraId="16D2326F" w14:textId="77777777" w:rsidR="006B6FFD" w:rsidRPr="005872A5" w:rsidRDefault="006B6FFD" w:rsidP="006B6FFD">
            <w:pPr>
              <w:spacing w:after="0" w:line="240" w:lineRule="auto"/>
              <w:jc w:val="center"/>
              <w:rPr>
                <w:rFonts w:ascii="Calibri" w:eastAsia="Times New Roman" w:hAnsi="Calibri" w:cs="Calibri"/>
                <w:sz w:val="22"/>
              </w:rPr>
            </w:pPr>
            <w:r w:rsidRPr="005872A5">
              <w:rPr>
                <w:rFonts w:ascii="Calibri" w:eastAsia="Times New Roman" w:hAnsi="Calibri" w:cs="Calibri"/>
                <w:sz w:val="22"/>
              </w:rPr>
              <w:t> </w:t>
            </w:r>
          </w:p>
        </w:tc>
      </w:tr>
      <w:tr w:rsidR="006B6FFD" w:rsidRPr="005872A5" w14:paraId="323823C1" w14:textId="77777777" w:rsidTr="006B6FFD">
        <w:trPr>
          <w:trHeight w:val="284"/>
          <w:jc w:val="center"/>
        </w:trPr>
        <w:tc>
          <w:tcPr>
            <w:tcW w:w="5020" w:type="dxa"/>
            <w:tcBorders>
              <w:top w:val="nil"/>
              <w:left w:val="nil"/>
              <w:bottom w:val="single" w:sz="4" w:space="0" w:color="FFFFFF"/>
              <w:right w:val="nil"/>
            </w:tcBorders>
            <w:shd w:val="clear" w:color="000000" w:fill="F2F2F2"/>
            <w:vAlign w:val="center"/>
            <w:hideMark/>
          </w:tcPr>
          <w:p w14:paraId="3730EF79" w14:textId="7A47834F" w:rsidR="006B6FFD" w:rsidRPr="005872A5" w:rsidRDefault="006B6FFD" w:rsidP="006B6FFD">
            <w:pPr>
              <w:spacing w:after="0" w:line="240" w:lineRule="auto"/>
              <w:jc w:val="left"/>
              <w:rPr>
                <w:rFonts w:ascii="Calibri" w:eastAsia="Times New Roman" w:hAnsi="Calibri" w:cs="Calibri"/>
                <w:sz w:val="22"/>
                <w:lang w:val="en-US"/>
              </w:rPr>
            </w:pPr>
            <w:r w:rsidRPr="005872A5">
              <w:rPr>
                <w:rFonts w:ascii="Calibri" w:eastAsia="Times New Roman" w:hAnsi="Calibri" w:cs="Calibri"/>
                <w:sz w:val="22"/>
                <w:lang w:val="en-US"/>
              </w:rPr>
              <w:t xml:space="preserve">5. World real GDP </w:t>
            </w:r>
            <w:r w:rsidR="00DC4719">
              <w:rPr>
                <w:rFonts w:ascii="Calibri" w:eastAsia="Times New Roman" w:hAnsi="Calibri" w:cs="Calibri"/>
                <w:sz w:val="22"/>
                <w:lang w:val="en-US"/>
              </w:rPr>
              <w:br/>
            </w:r>
            <w:r w:rsidRPr="005872A5">
              <w:rPr>
                <w:rFonts w:ascii="Calibri" w:eastAsia="Times New Roman" w:hAnsi="Calibri" w:cs="Calibri"/>
                <w:sz w:val="22"/>
                <w:lang w:val="en-US"/>
              </w:rPr>
              <w:t>(excluding EU)</w:t>
            </w:r>
          </w:p>
        </w:tc>
        <w:tc>
          <w:tcPr>
            <w:tcW w:w="2800" w:type="dxa"/>
            <w:tcBorders>
              <w:top w:val="nil"/>
              <w:left w:val="nil"/>
              <w:bottom w:val="single" w:sz="4" w:space="0" w:color="FFFFFF"/>
              <w:right w:val="nil"/>
            </w:tcBorders>
            <w:shd w:val="clear" w:color="000000" w:fill="F2F2F2"/>
            <w:vAlign w:val="center"/>
            <w:hideMark/>
          </w:tcPr>
          <w:p w14:paraId="6B5FCBCC" w14:textId="77777777" w:rsidR="006B6FFD" w:rsidRPr="005872A5" w:rsidRDefault="006B6FFD" w:rsidP="006B6FFD">
            <w:pPr>
              <w:spacing w:after="0" w:line="240" w:lineRule="auto"/>
              <w:jc w:val="left"/>
              <w:rPr>
                <w:rFonts w:ascii="Calibri" w:eastAsia="Times New Roman" w:hAnsi="Calibri" w:cs="Calibri"/>
                <w:sz w:val="22"/>
              </w:rPr>
            </w:pPr>
            <w:r w:rsidRPr="005872A5">
              <w:rPr>
                <w:rFonts w:ascii="Calibri" w:eastAsia="Times New Roman" w:hAnsi="Calibri" w:cs="Calibri"/>
                <w:sz w:val="22"/>
              </w:rPr>
              <w:t>(growth rate)</w:t>
            </w:r>
          </w:p>
        </w:tc>
        <w:tc>
          <w:tcPr>
            <w:tcW w:w="960" w:type="dxa"/>
            <w:tcBorders>
              <w:top w:val="nil"/>
              <w:left w:val="nil"/>
              <w:bottom w:val="single" w:sz="4" w:space="0" w:color="FFFFFF"/>
              <w:right w:val="nil"/>
            </w:tcBorders>
            <w:shd w:val="clear" w:color="000000" w:fill="F2F2F2"/>
            <w:vAlign w:val="center"/>
            <w:hideMark/>
          </w:tcPr>
          <w:p w14:paraId="551A3EF4" w14:textId="77777777" w:rsidR="006B6FFD" w:rsidRPr="005872A5" w:rsidRDefault="006B6FFD" w:rsidP="006B6FFD">
            <w:pPr>
              <w:spacing w:after="0" w:line="240" w:lineRule="auto"/>
              <w:jc w:val="center"/>
              <w:rPr>
                <w:rFonts w:ascii="Calibri" w:eastAsia="Times New Roman" w:hAnsi="Calibri" w:cs="Calibri"/>
                <w:sz w:val="22"/>
              </w:rPr>
            </w:pPr>
            <w:r w:rsidRPr="005872A5">
              <w:rPr>
                <w:rFonts w:ascii="Calibri" w:eastAsia="Times New Roman" w:hAnsi="Calibri" w:cs="Calibri"/>
                <w:sz w:val="22"/>
              </w:rPr>
              <w:t>3.9</w:t>
            </w:r>
          </w:p>
        </w:tc>
        <w:tc>
          <w:tcPr>
            <w:tcW w:w="960" w:type="dxa"/>
            <w:tcBorders>
              <w:top w:val="nil"/>
              <w:left w:val="nil"/>
              <w:bottom w:val="single" w:sz="4" w:space="0" w:color="FFFFFF"/>
              <w:right w:val="nil"/>
            </w:tcBorders>
            <w:shd w:val="clear" w:color="000000" w:fill="F2F2F2"/>
            <w:vAlign w:val="center"/>
            <w:hideMark/>
          </w:tcPr>
          <w:p w14:paraId="6AEDFB91" w14:textId="77777777" w:rsidR="006B6FFD" w:rsidRPr="005872A5" w:rsidRDefault="006B6FFD" w:rsidP="006B6FFD">
            <w:pPr>
              <w:spacing w:after="0" w:line="240" w:lineRule="auto"/>
              <w:jc w:val="center"/>
              <w:rPr>
                <w:rFonts w:ascii="Calibri" w:eastAsia="Times New Roman" w:hAnsi="Calibri" w:cs="Calibri"/>
                <w:sz w:val="22"/>
              </w:rPr>
            </w:pPr>
            <w:r w:rsidRPr="005872A5">
              <w:rPr>
                <w:rFonts w:ascii="Calibri" w:eastAsia="Times New Roman" w:hAnsi="Calibri" w:cs="Calibri"/>
                <w:sz w:val="22"/>
              </w:rPr>
              <w:t>3.7</w:t>
            </w:r>
          </w:p>
        </w:tc>
        <w:tc>
          <w:tcPr>
            <w:tcW w:w="960" w:type="dxa"/>
            <w:tcBorders>
              <w:top w:val="nil"/>
              <w:left w:val="nil"/>
              <w:bottom w:val="single" w:sz="4" w:space="0" w:color="FFFFFF"/>
              <w:right w:val="nil"/>
            </w:tcBorders>
            <w:shd w:val="clear" w:color="000000" w:fill="F2F2F2"/>
            <w:vAlign w:val="center"/>
            <w:hideMark/>
          </w:tcPr>
          <w:p w14:paraId="46D8DD37" w14:textId="77777777" w:rsidR="006B6FFD" w:rsidRPr="005872A5" w:rsidRDefault="006B6FFD" w:rsidP="006B6FFD">
            <w:pPr>
              <w:spacing w:after="0" w:line="240" w:lineRule="auto"/>
              <w:jc w:val="center"/>
              <w:rPr>
                <w:rFonts w:ascii="Calibri" w:eastAsia="Times New Roman" w:hAnsi="Calibri" w:cs="Calibri"/>
                <w:sz w:val="22"/>
              </w:rPr>
            </w:pPr>
            <w:r w:rsidRPr="005872A5">
              <w:rPr>
                <w:rFonts w:ascii="Calibri" w:eastAsia="Times New Roman" w:hAnsi="Calibri" w:cs="Calibri"/>
                <w:sz w:val="22"/>
              </w:rPr>
              <w:t>3.4</w:t>
            </w:r>
          </w:p>
        </w:tc>
        <w:tc>
          <w:tcPr>
            <w:tcW w:w="960" w:type="dxa"/>
            <w:tcBorders>
              <w:top w:val="nil"/>
              <w:left w:val="nil"/>
              <w:bottom w:val="single" w:sz="4" w:space="0" w:color="FFFFFF"/>
              <w:right w:val="nil"/>
            </w:tcBorders>
            <w:shd w:val="clear" w:color="000000" w:fill="F2F2F2"/>
            <w:vAlign w:val="center"/>
            <w:hideMark/>
          </w:tcPr>
          <w:p w14:paraId="08AB646B" w14:textId="77777777" w:rsidR="006B6FFD" w:rsidRPr="005872A5" w:rsidRDefault="006B6FFD" w:rsidP="006B6FFD">
            <w:pPr>
              <w:spacing w:after="0" w:line="240" w:lineRule="auto"/>
              <w:jc w:val="center"/>
              <w:rPr>
                <w:rFonts w:ascii="Calibri" w:eastAsia="Times New Roman" w:hAnsi="Calibri" w:cs="Calibri"/>
                <w:sz w:val="22"/>
              </w:rPr>
            </w:pPr>
            <w:r w:rsidRPr="005872A5">
              <w:rPr>
                <w:rFonts w:ascii="Calibri" w:eastAsia="Times New Roman" w:hAnsi="Calibri" w:cs="Calibri"/>
                <w:sz w:val="22"/>
              </w:rPr>
              <w:t>3.4</w:t>
            </w:r>
          </w:p>
        </w:tc>
      </w:tr>
      <w:tr w:rsidR="006B6FFD" w:rsidRPr="005872A5" w14:paraId="23F3CEBD" w14:textId="77777777" w:rsidTr="00DC4719">
        <w:trPr>
          <w:trHeight w:val="433"/>
          <w:jc w:val="center"/>
        </w:trPr>
        <w:tc>
          <w:tcPr>
            <w:tcW w:w="5020" w:type="dxa"/>
            <w:tcBorders>
              <w:top w:val="nil"/>
              <w:left w:val="nil"/>
              <w:bottom w:val="single" w:sz="4" w:space="0" w:color="FFFFFF"/>
              <w:right w:val="nil"/>
            </w:tcBorders>
            <w:shd w:val="clear" w:color="000000" w:fill="D9D9D9"/>
            <w:vAlign w:val="center"/>
            <w:hideMark/>
          </w:tcPr>
          <w:p w14:paraId="2EC07683" w14:textId="77777777" w:rsidR="006B6FFD" w:rsidRPr="005872A5" w:rsidRDefault="006B6FFD" w:rsidP="006B6FFD">
            <w:pPr>
              <w:spacing w:after="0" w:line="240" w:lineRule="auto"/>
              <w:jc w:val="left"/>
              <w:rPr>
                <w:rFonts w:ascii="Calibri" w:eastAsia="Times New Roman" w:hAnsi="Calibri" w:cs="Calibri"/>
                <w:sz w:val="22"/>
              </w:rPr>
            </w:pPr>
            <w:r w:rsidRPr="005872A5">
              <w:rPr>
                <w:rFonts w:ascii="Calibri" w:eastAsia="Times New Roman" w:hAnsi="Calibri" w:cs="Calibri"/>
                <w:sz w:val="22"/>
              </w:rPr>
              <w:t>6. EU real GDP</w:t>
            </w:r>
          </w:p>
        </w:tc>
        <w:tc>
          <w:tcPr>
            <w:tcW w:w="2800" w:type="dxa"/>
            <w:tcBorders>
              <w:top w:val="nil"/>
              <w:left w:val="nil"/>
              <w:bottom w:val="single" w:sz="4" w:space="0" w:color="FFFFFF"/>
              <w:right w:val="nil"/>
            </w:tcBorders>
            <w:shd w:val="clear" w:color="000000" w:fill="D9D9D9"/>
            <w:vAlign w:val="center"/>
            <w:hideMark/>
          </w:tcPr>
          <w:p w14:paraId="288F3970" w14:textId="77777777" w:rsidR="006B6FFD" w:rsidRPr="005872A5" w:rsidRDefault="006B6FFD" w:rsidP="006B6FFD">
            <w:pPr>
              <w:spacing w:after="0" w:line="240" w:lineRule="auto"/>
              <w:jc w:val="left"/>
              <w:rPr>
                <w:rFonts w:ascii="Calibri" w:eastAsia="Times New Roman" w:hAnsi="Calibri" w:cs="Calibri"/>
                <w:sz w:val="22"/>
              </w:rPr>
            </w:pPr>
            <w:r w:rsidRPr="005872A5">
              <w:rPr>
                <w:rFonts w:ascii="Calibri" w:eastAsia="Times New Roman" w:hAnsi="Calibri" w:cs="Calibri"/>
                <w:sz w:val="22"/>
              </w:rPr>
              <w:t>(growth rate)</w:t>
            </w:r>
          </w:p>
        </w:tc>
        <w:tc>
          <w:tcPr>
            <w:tcW w:w="960" w:type="dxa"/>
            <w:tcBorders>
              <w:top w:val="nil"/>
              <w:left w:val="nil"/>
              <w:bottom w:val="single" w:sz="4" w:space="0" w:color="FFFFFF"/>
              <w:right w:val="nil"/>
            </w:tcBorders>
            <w:shd w:val="clear" w:color="000000" w:fill="D9D9D9"/>
            <w:vAlign w:val="center"/>
            <w:hideMark/>
          </w:tcPr>
          <w:p w14:paraId="199B39DC" w14:textId="77777777" w:rsidR="006B6FFD" w:rsidRPr="005872A5" w:rsidRDefault="006B6FFD" w:rsidP="006B6FFD">
            <w:pPr>
              <w:spacing w:after="0" w:line="240" w:lineRule="auto"/>
              <w:jc w:val="center"/>
              <w:rPr>
                <w:rFonts w:ascii="Calibri" w:eastAsia="Times New Roman" w:hAnsi="Calibri" w:cs="Calibri"/>
                <w:sz w:val="22"/>
              </w:rPr>
            </w:pPr>
            <w:r w:rsidRPr="005872A5">
              <w:rPr>
                <w:rFonts w:ascii="Calibri" w:eastAsia="Times New Roman" w:hAnsi="Calibri" w:cs="Calibri"/>
                <w:sz w:val="22"/>
              </w:rPr>
              <w:t>0.4</w:t>
            </w:r>
          </w:p>
        </w:tc>
        <w:tc>
          <w:tcPr>
            <w:tcW w:w="960" w:type="dxa"/>
            <w:tcBorders>
              <w:top w:val="nil"/>
              <w:left w:val="nil"/>
              <w:bottom w:val="single" w:sz="4" w:space="0" w:color="FFFFFF"/>
              <w:right w:val="nil"/>
            </w:tcBorders>
            <w:shd w:val="clear" w:color="000000" w:fill="D9D9D9"/>
            <w:vAlign w:val="center"/>
            <w:hideMark/>
          </w:tcPr>
          <w:p w14:paraId="73075AED" w14:textId="77777777" w:rsidR="006B6FFD" w:rsidRPr="005872A5" w:rsidRDefault="006B6FFD" w:rsidP="006B6FFD">
            <w:pPr>
              <w:spacing w:after="0" w:line="240" w:lineRule="auto"/>
              <w:jc w:val="center"/>
              <w:rPr>
                <w:rFonts w:ascii="Calibri" w:eastAsia="Times New Roman" w:hAnsi="Calibri" w:cs="Calibri"/>
                <w:sz w:val="22"/>
              </w:rPr>
            </w:pPr>
            <w:r w:rsidRPr="005872A5">
              <w:rPr>
                <w:rFonts w:ascii="Calibri" w:eastAsia="Times New Roman" w:hAnsi="Calibri" w:cs="Calibri"/>
                <w:sz w:val="22"/>
              </w:rPr>
              <w:t>1.1</w:t>
            </w:r>
          </w:p>
        </w:tc>
        <w:tc>
          <w:tcPr>
            <w:tcW w:w="960" w:type="dxa"/>
            <w:tcBorders>
              <w:top w:val="nil"/>
              <w:left w:val="nil"/>
              <w:bottom w:val="single" w:sz="4" w:space="0" w:color="FFFFFF"/>
              <w:right w:val="nil"/>
            </w:tcBorders>
            <w:shd w:val="clear" w:color="000000" w:fill="D9D9D9"/>
            <w:vAlign w:val="center"/>
            <w:hideMark/>
          </w:tcPr>
          <w:p w14:paraId="7C38242A" w14:textId="77777777" w:rsidR="006B6FFD" w:rsidRPr="005872A5" w:rsidRDefault="006B6FFD" w:rsidP="006B6FFD">
            <w:pPr>
              <w:spacing w:after="0" w:line="240" w:lineRule="auto"/>
              <w:jc w:val="center"/>
              <w:rPr>
                <w:rFonts w:ascii="Calibri" w:eastAsia="Times New Roman" w:hAnsi="Calibri" w:cs="Calibri"/>
                <w:sz w:val="22"/>
              </w:rPr>
            </w:pPr>
            <w:r w:rsidRPr="005872A5">
              <w:rPr>
                <w:rFonts w:ascii="Calibri" w:eastAsia="Times New Roman" w:hAnsi="Calibri" w:cs="Calibri"/>
                <w:sz w:val="22"/>
              </w:rPr>
              <w:t>1.4</w:t>
            </w:r>
          </w:p>
        </w:tc>
        <w:tc>
          <w:tcPr>
            <w:tcW w:w="960" w:type="dxa"/>
            <w:tcBorders>
              <w:top w:val="nil"/>
              <w:left w:val="nil"/>
              <w:bottom w:val="single" w:sz="4" w:space="0" w:color="FFFFFF"/>
              <w:right w:val="nil"/>
            </w:tcBorders>
            <w:shd w:val="clear" w:color="000000" w:fill="D9D9D9"/>
            <w:vAlign w:val="center"/>
            <w:hideMark/>
          </w:tcPr>
          <w:p w14:paraId="10D05905" w14:textId="6AF2A85C" w:rsidR="006B6FFD" w:rsidRPr="00C26D11" w:rsidRDefault="006B6FFD" w:rsidP="006B6FFD">
            <w:pPr>
              <w:spacing w:after="0" w:line="240" w:lineRule="auto"/>
              <w:jc w:val="center"/>
              <w:rPr>
                <w:rFonts w:ascii="Calibri" w:eastAsia="Times New Roman" w:hAnsi="Calibri" w:cs="Calibri"/>
                <w:sz w:val="22"/>
                <w:lang w:val="en-US"/>
              </w:rPr>
            </w:pPr>
            <w:r w:rsidRPr="005872A5">
              <w:rPr>
                <w:rFonts w:ascii="Calibri" w:eastAsia="Times New Roman" w:hAnsi="Calibri" w:cs="Calibri"/>
                <w:sz w:val="22"/>
              </w:rPr>
              <w:t>1.4</w:t>
            </w:r>
            <w:r>
              <w:rPr>
                <w:rFonts w:ascii="Calibri" w:eastAsia="Times New Roman" w:hAnsi="Calibri" w:cs="Calibri"/>
                <w:sz w:val="22"/>
                <w:lang w:val="en-US"/>
              </w:rPr>
              <w:t>*</w:t>
            </w:r>
          </w:p>
        </w:tc>
      </w:tr>
      <w:tr w:rsidR="006B6FFD" w:rsidRPr="005872A5" w14:paraId="6E1B83D9" w14:textId="77777777" w:rsidTr="006B6FFD">
        <w:trPr>
          <w:trHeight w:val="284"/>
          <w:jc w:val="center"/>
        </w:trPr>
        <w:tc>
          <w:tcPr>
            <w:tcW w:w="5020" w:type="dxa"/>
            <w:tcBorders>
              <w:top w:val="nil"/>
              <w:left w:val="nil"/>
              <w:bottom w:val="single" w:sz="4" w:space="0" w:color="FFFFFF"/>
              <w:right w:val="nil"/>
            </w:tcBorders>
            <w:shd w:val="clear" w:color="000000" w:fill="F2F2F2"/>
            <w:vAlign w:val="center"/>
            <w:hideMark/>
          </w:tcPr>
          <w:p w14:paraId="5B4EEBCB" w14:textId="54398A91" w:rsidR="006B6FFD" w:rsidRPr="005872A5" w:rsidRDefault="006B6FFD" w:rsidP="006B6FFD">
            <w:pPr>
              <w:spacing w:after="0" w:line="240" w:lineRule="auto"/>
              <w:jc w:val="left"/>
              <w:rPr>
                <w:rFonts w:ascii="Calibri" w:eastAsia="Times New Roman" w:hAnsi="Calibri" w:cs="Calibri"/>
                <w:sz w:val="22"/>
                <w:lang w:val="en-US"/>
              </w:rPr>
            </w:pPr>
            <w:r w:rsidRPr="005872A5">
              <w:rPr>
                <w:rFonts w:ascii="Calibri" w:eastAsia="Times New Roman" w:hAnsi="Calibri" w:cs="Calibri"/>
                <w:sz w:val="22"/>
                <w:lang w:val="en-US"/>
              </w:rPr>
              <w:t>7. World import volumes</w:t>
            </w:r>
            <w:r w:rsidR="00DC4719">
              <w:rPr>
                <w:rFonts w:ascii="Calibri" w:eastAsia="Times New Roman" w:hAnsi="Calibri" w:cs="Calibri"/>
                <w:sz w:val="22"/>
                <w:lang w:val="en-US"/>
              </w:rPr>
              <w:br/>
              <w:t>(</w:t>
            </w:r>
            <w:r w:rsidRPr="005872A5">
              <w:rPr>
                <w:rFonts w:ascii="Calibri" w:eastAsia="Times New Roman" w:hAnsi="Calibri" w:cs="Calibri"/>
                <w:sz w:val="22"/>
                <w:lang w:val="en-US"/>
              </w:rPr>
              <w:t>excluding EU</w:t>
            </w:r>
            <w:r w:rsidR="00DC4719">
              <w:rPr>
                <w:rFonts w:ascii="Calibri" w:eastAsia="Times New Roman" w:hAnsi="Calibri" w:cs="Calibri"/>
                <w:sz w:val="22"/>
                <w:lang w:val="en-US"/>
              </w:rPr>
              <w:t>)</w:t>
            </w:r>
          </w:p>
        </w:tc>
        <w:tc>
          <w:tcPr>
            <w:tcW w:w="2800" w:type="dxa"/>
            <w:tcBorders>
              <w:top w:val="nil"/>
              <w:left w:val="nil"/>
              <w:bottom w:val="single" w:sz="4" w:space="0" w:color="FFFFFF"/>
              <w:right w:val="nil"/>
            </w:tcBorders>
            <w:shd w:val="clear" w:color="000000" w:fill="F2F2F2"/>
            <w:vAlign w:val="center"/>
            <w:hideMark/>
          </w:tcPr>
          <w:p w14:paraId="7DB8C15B" w14:textId="77777777" w:rsidR="006B6FFD" w:rsidRPr="005872A5" w:rsidRDefault="006B6FFD" w:rsidP="006B6FFD">
            <w:pPr>
              <w:spacing w:after="0" w:line="240" w:lineRule="auto"/>
              <w:jc w:val="left"/>
              <w:rPr>
                <w:rFonts w:ascii="Calibri" w:eastAsia="Times New Roman" w:hAnsi="Calibri" w:cs="Calibri"/>
                <w:sz w:val="22"/>
              </w:rPr>
            </w:pPr>
            <w:r w:rsidRPr="005872A5">
              <w:rPr>
                <w:rFonts w:ascii="Calibri" w:eastAsia="Times New Roman" w:hAnsi="Calibri" w:cs="Calibri"/>
                <w:sz w:val="22"/>
              </w:rPr>
              <w:t>(growth rate)</w:t>
            </w:r>
          </w:p>
        </w:tc>
        <w:tc>
          <w:tcPr>
            <w:tcW w:w="960" w:type="dxa"/>
            <w:tcBorders>
              <w:top w:val="nil"/>
              <w:left w:val="nil"/>
              <w:bottom w:val="single" w:sz="4" w:space="0" w:color="FFFFFF"/>
              <w:right w:val="nil"/>
            </w:tcBorders>
            <w:shd w:val="clear" w:color="000000" w:fill="F2F2F2"/>
            <w:vAlign w:val="center"/>
            <w:hideMark/>
          </w:tcPr>
          <w:p w14:paraId="33DEAE81" w14:textId="77777777" w:rsidR="006B6FFD" w:rsidRPr="005872A5" w:rsidRDefault="006B6FFD" w:rsidP="006B6FFD">
            <w:pPr>
              <w:spacing w:after="0" w:line="240" w:lineRule="auto"/>
              <w:jc w:val="center"/>
              <w:rPr>
                <w:rFonts w:ascii="Calibri" w:eastAsia="Times New Roman" w:hAnsi="Calibri" w:cs="Calibri"/>
                <w:sz w:val="22"/>
              </w:rPr>
            </w:pPr>
            <w:r w:rsidRPr="005872A5">
              <w:rPr>
                <w:rFonts w:ascii="Calibri" w:eastAsia="Times New Roman" w:hAnsi="Calibri" w:cs="Calibri"/>
                <w:sz w:val="22"/>
              </w:rPr>
              <w:t>0.9</w:t>
            </w:r>
          </w:p>
        </w:tc>
        <w:tc>
          <w:tcPr>
            <w:tcW w:w="960" w:type="dxa"/>
            <w:tcBorders>
              <w:top w:val="nil"/>
              <w:left w:val="nil"/>
              <w:bottom w:val="single" w:sz="4" w:space="0" w:color="FFFFFF"/>
              <w:right w:val="nil"/>
            </w:tcBorders>
            <w:shd w:val="clear" w:color="000000" w:fill="F2F2F2"/>
            <w:vAlign w:val="center"/>
            <w:hideMark/>
          </w:tcPr>
          <w:p w14:paraId="00D95AD1" w14:textId="77777777" w:rsidR="006B6FFD" w:rsidRPr="005872A5" w:rsidRDefault="006B6FFD" w:rsidP="006B6FFD">
            <w:pPr>
              <w:spacing w:after="0" w:line="240" w:lineRule="auto"/>
              <w:jc w:val="center"/>
              <w:rPr>
                <w:rFonts w:ascii="Calibri" w:eastAsia="Times New Roman" w:hAnsi="Calibri" w:cs="Calibri"/>
                <w:sz w:val="22"/>
              </w:rPr>
            </w:pPr>
            <w:r w:rsidRPr="005872A5">
              <w:rPr>
                <w:rFonts w:ascii="Calibri" w:eastAsia="Times New Roman" w:hAnsi="Calibri" w:cs="Calibri"/>
                <w:sz w:val="22"/>
              </w:rPr>
              <w:t>3.2</w:t>
            </w:r>
          </w:p>
        </w:tc>
        <w:tc>
          <w:tcPr>
            <w:tcW w:w="960" w:type="dxa"/>
            <w:tcBorders>
              <w:top w:val="nil"/>
              <w:left w:val="nil"/>
              <w:bottom w:val="single" w:sz="4" w:space="0" w:color="FFFFFF"/>
              <w:right w:val="nil"/>
            </w:tcBorders>
            <w:shd w:val="clear" w:color="000000" w:fill="F2F2F2"/>
            <w:vAlign w:val="center"/>
            <w:hideMark/>
          </w:tcPr>
          <w:p w14:paraId="2D7DB023" w14:textId="77777777" w:rsidR="006B6FFD" w:rsidRPr="005872A5" w:rsidRDefault="006B6FFD" w:rsidP="006B6FFD">
            <w:pPr>
              <w:spacing w:after="0" w:line="240" w:lineRule="auto"/>
              <w:jc w:val="center"/>
              <w:rPr>
                <w:rFonts w:ascii="Calibri" w:eastAsia="Times New Roman" w:hAnsi="Calibri" w:cs="Calibri"/>
                <w:sz w:val="22"/>
              </w:rPr>
            </w:pPr>
            <w:r w:rsidRPr="005872A5">
              <w:rPr>
                <w:rFonts w:ascii="Calibri" w:eastAsia="Times New Roman" w:hAnsi="Calibri" w:cs="Calibri"/>
                <w:sz w:val="22"/>
              </w:rPr>
              <w:t>4.3</w:t>
            </w:r>
          </w:p>
        </w:tc>
        <w:tc>
          <w:tcPr>
            <w:tcW w:w="960" w:type="dxa"/>
            <w:tcBorders>
              <w:top w:val="nil"/>
              <w:left w:val="nil"/>
              <w:bottom w:val="single" w:sz="4" w:space="0" w:color="FFFFFF"/>
              <w:right w:val="nil"/>
            </w:tcBorders>
            <w:shd w:val="clear" w:color="000000" w:fill="F2F2F2"/>
            <w:vAlign w:val="center"/>
            <w:hideMark/>
          </w:tcPr>
          <w:p w14:paraId="49DAE8A3" w14:textId="77777777" w:rsidR="006B6FFD" w:rsidRPr="005872A5" w:rsidRDefault="006B6FFD" w:rsidP="006B6FFD">
            <w:pPr>
              <w:spacing w:after="0" w:line="240" w:lineRule="auto"/>
              <w:jc w:val="center"/>
              <w:rPr>
                <w:rFonts w:ascii="Calibri" w:eastAsia="Times New Roman" w:hAnsi="Calibri" w:cs="Calibri"/>
                <w:sz w:val="22"/>
              </w:rPr>
            </w:pPr>
            <w:r w:rsidRPr="005872A5">
              <w:rPr>
                <w:rFonts w:ascii="Calibri" w:eastAsia="Times New Roman" w:hAnsi="Calibri" w:cs="Calibri"/>
                <w:sz w:val="22"/>
              </w:rPr>
              <w:t>2.1</w:t>
            </w:r>
          </w:p>
        </w:tc>
      </w:tr>
      <w:tr w:rsidR="006B6FFD" w:rsidRPr="005872A5" w14:paraId="65F2E549" w14:textId="77777777" w:rsidTr="006B6FFD">
        <w:trPr>
          <w:trHeight w:val="284"/>
          <w:jc w:val="center"/>
        </w:trPr>
        <w:tc>
          <w:tcPr>
            <w:tcW w:w="5020" w:type="dxa"/>
            <w:tcBorders>
              <w:top w:val="single" w:sz="4" w:space="0" w:color="FFFFFF"/>
              <w:left w:val="nil"/>
              <w:bottom w:val="single" w:sz="18" w:space="0" w:color="4F81BD" w:themeColor="accent1"/>
              <w:right w:val="nil"/>
            </w:tcBorders>
            <w:shd w:val="clear" w:color="000000" w:fill="D9D9D9"/>
            <w:vAlign w:val="center"/>
            <w:hideMark/>
          </w:tcPr>
          <w:p w14:paraId="309E210E" w14:textId="77777777" w:rsidR="006B6FFD" w:rsidRPr="005872A5" w:rsidRDefault="006B6FFD" w:rsidP="006B6FFD">
            <w:pPr>
              <w:spacing w:after="0" w:line="240" w:lineRule="auto"/>
              <w:jc w:val="left"/>
              <w:rPr>
                <w:rFonts w:ascii="Calibri" w:eastAsia="Times New Roman" w:hAnsi="Calibri" w:cs="Calibri"/>
                <w:sz w:val="22"/>
              </w:rPr>
            </w:pPr>
            <w:r w:rsidRPr="005872A5">
              <w:rPr>
                <w:rFonts w:ascii="Calibri" w:eastAsia="Times New Roman" w:hAnsi="Calibri" w:cs="Calibri"/>
                <w:sz w:val="22"/>
              </w:rPr>
              <w:t>8. Oil prices</w:t>
            </w:r>
          </w:p>
        </w:tc>
        <w:tc>
          <w:tcPr>
            <w:tcW w:w="2800" w:type="dxa"/>
            <w:tcBorders>
              <w:top w:val="single" w:sz="4" w:space="0" w:color="FFFFFF"/>
              <w:left w:val="nil"/>
              <w:bottom w:val="single" w:sz="18" w:space="0" w:color="4F81BD" w:themeColor="accent1"/>
              <w:right w:val="nil"/>
            </w:tcBorders>
            <w:shd w:val="clear" w:color="000000" w:fill="D9D9D9"/>
            <w:vAlign w:val="center"/>
            <w:hideMark/>
          </w:tcPr>
          <w:p w14:paraId="3D66EE6D" w14:textId="77777777" w:rsidR="006B6FFD" w:rsidRPr="005872A5" w:rsidRDefault="006B6FFD" w:rsidP="006B6FFD">
            <w:pPr>
              <w:spacing w:after="0" w:line="240" w:lineRule="auto"/>
              <w:jc w:val="left"/>
              <w:rPr>
                <w:rFonts w:ascii="Calibri" w:eastAsia="Times New Roman" w:hAnsi="Calibri" w:cs="Calibri"/>
                <w:sz w:val="22"/>
              </w:rPr>
            </w:pPr>
            <w:r w:rsidRPr="005872A5">
              <w:rPr>
                <w:rFonts w:ascii="Calibri" w:eastAsia="Times New Roman" w:hAnsi="Calibri" w:cs="Calibri"/>
                <w:sz w:val="22"/>
              </w:rPr>
              <w:t>(Brent, USD/barrel)</w:t>
            </w:r>
          </w:p>
        </w:tc>
        <w:tc>
          <w:tcPr>
            <w:tcW w:w="960" w:type="dxa"/>
            <w:tcBorders>
              <w:top w:val="single" w:sz="4" w:space="0" w:color="FFFFFF"/>
              <w:left w:val="nil"/>
              <w:bottom w:val="single" w:sz="18" w:space="0" w:color="4F81BD" w:themeColor="accent1"/>
              <w:right w:val="nil"/>
            </w:tcBorders>
            <w:shd w:val="clear" w:color="000000" w:fill="D9D9D9"/>
            <w:vAlign w:val="center"/>
            <w:hideMark/>
          </w:tcPr>
          <w:p w14:paraId="30D5AB5B" w14:textId="77777777" w:rsidR="006B6FFD" w:rsidRPr="005872A5" w:rsidRDefault="006B6FFD" w:rsidP="006B6FFD">
            <w:pPr>
              <w:spacing w:after="0" w:line="240" w:lineRule="auto"/>
              <w:jc w:val="center"/>
              <w:rPr>
                <w:rFonts w:ascii="Calibri" w:eastAsia="Times New Roman" w:hAnsi="Calibri" w:cs="Calibri"/>
                <w:sz w:val="22"/>
              </w:rPr>
            </w:pPr>
            <w:r w:rsidRPr="005872A5">
              <w:rPr>
                <w:rFonts w:ascii="Calibri" w:eastAsia="Times New Roman" w:hAnsi="Calibri" w:cs="Calibri"/>
                <w:sz w:val="22"/>
              </w:rPr>
              <w:t>82.5</w:t>
            </w:r>
          </w:p>
        </w:tc>
        <w:tc>
          <w:tcPr>
            <w:tcW w:w="960" w:type="dxa"/>
            <w:tcBorders>
              <w:top w:val="single" w:sz="4" w:space="0" w:color="FFFFFF"/>
              <w:left w:val="nil"/>
              <w:bottom w:val="single" w:sz="18" w:space="0" w:color="4F81BD" w:themeColor="accent1"/>
              <w:right w:val="nil"/>
            </w:tcBorders>
            <w:shd w:val="clear" w:color="000000" w:fill="D9D9D9"/>
            <w:vAlign w:val="center"/>
            <w:hideMark/>
          </w:tcPr>
          <w:p w14:paraId="101BA125" w14:textId="77777777" w:rsidR="006B6FFD" w:rsidRPr="005872A5" w:rsidRDefault="006B6FFD" w:rsidP="006B6FFD">
            <w:pPr>
              <w:spacing w:after="0" w:line="240" w:lineRule="auto"/>
              <w:jc w:val="center"/>
              <w:rPr>
                <w:rFonts w:ascii="Calibri" w:eastAsia="Times New Roman" w:hAnsi="Calibri" w:cs="Calibri"/>
                <w:sz w:val="22"/>
              </w:rPr>
            </w:pPr>
            <w:r w:rsidRPr="005872A5">
              <w:rPr>
                <w:rFonts w:ascii="Calibri" w:eastAsia="Times New Roman" w:hAnsi="Calibri" w:cs="Calibri"/>
                <w:sz w:val="22"/>
              </w:rPr>
              <w:t>80.5</w:t>
            </w:r>
          </w:p>
        </w:tc>
        <w:tc>
          <w:tcPr>
            <w:tcW w:w="960" w:type="dxa"/>
            <w:tcBorders>
              <w:top w:val="single" w:sz="4" w:space="0" w:color="FFFFFF"/>
              <w:left w:val="nil"/>
              <w:bottom w:val="single" w:sz="18" w:space="0" w:color="4F81BD" w:themeColor="accent1"/>
              <w:right w:val="nil"/>
            </w:tcBorders>
            <w:shd w:val="clear" w:color="000000" w:fill="D9D9D9"/>
            <w:vAlign w:val="center"/>
            <w:hideMark/>
          </w:tcPr>
          <w:p w14:paraId="0F01CF2D" w14:textId="77777777" w:rsidR="006B6FFD" w:rsidRPr="005872A5" w:rsidRDefault="006B6FFD" w:rsidP="006B6FFD">
            <w:pPr>
              <w:spacing w:after="0" w:line="240" w:lineRule="auto"/>
              <w:jc w:val="center"/>
              <w:rPr>
                <w:rFonts w:ascii="Calibri" w:eastAsia="Times New Roman" w:hAnsi="Calibri" w:cs="Calibri"/>
                <w:sz w:val="22"/>
              </w:rPr>
            </w:pPr>
            <w:r w:rsidRPr="005872A5">
              <w:rPr>
                <w:rFonts w:ascii="Calibri" w:eastAsia="Times New Roman" w:hAnsi="Calibri" w:cs="Calibri"/>
                <w:sz w:val="22"/>
              </w:rPr>
              <w:t>68.9</w:t>
            </w:r>
          </w:p>
        </w:tc>
        <w:tc>
          <w:tcPr>
            <w:tcW w:w="960" w:type="dxa"/>
            <w:tcBorders>
              <w:top w:val="single" w:sz="4" w:space="0" w:color="FFFFFF"/>
              <w:left w:val="nil"/>
              <w:bottom w:val="single" w:sz="18" w:space="0" w:color="4F81BD" w:themeColor="accent1"/>
              <w:right w:val="nil"/>
            </w:tcBorders>
            <w:shd w:val="clear" w:color="000000" w:fill="D9D9D9"/>
            <w:vAlign w:val="center"/>
            <w:hideMark/>
          </w:tcPr>
          <w:p w14:paraId="5375B6CE" w14:textId="77777777" w:rsidR="006B6FFD" w:rsidRPr="005872A5" w:rsidRDefault="006B6FFD" w:rsidP="006B6FFD">
            <w:pPr>
              <w:spacing w:after="0" w:line="240" w:lineRule="auto"/>
              <w:jc w:val="center"/>
              <w:rPr>
                <w:rFonts w:ascii="Calibri" w:eastAsia="Times New Roman" w:hAnsi="Calibri" w:cs="Calibri"/>
                <w:sz w:val="22"/>
              </w:rPr>
            </w:pPr>
            <w:r w:rsidRPr="005872A5">
              <w:rPr>
                <w:rFonts w:ascii="Calibri" w:eastAsia="Times New Roman" w:hAnsi="Calibri" w:cs="Calibri"/>
                <w:sz w:val="22"/>
              </w:rPr>
              <w:t>89.4</w:t>
            </w:r>
          </w:p>
        </w:tc>
      </w:tr>
    </w:tbl>
    <w:p w14:paraId="39603825" w14:textId="681F3971" w:rsidR="006B6FFD" w:rsidRPr="006B6FFD" w:rsidRDefault="006B6FFD" w:rsidP="006B6FFD">
      <w:pPr>
        <w:pStyle w:val="Source"/>
        <w:spacing w:before="120"/>
        <w:rPr>
          <w:sz w:val="20"/>
        </w:rPr>
      </w:pPr>
      <w:r w:rsidRPr="007F0FDD">
        <w:rPr>
          <w:i w:val="0"/>
          <w:sz w:val="20"/>
        </w:rPr>
        <w:t>*</w:t>
      </w:r>
      <w:r w:rsidRPr="006B6FFD">
        <w:rPr>
          <w:sz w:val="20"/>
        </w:rPr>
        <w:t xml:space="preserve">  Based on the EC Autumn 2025 Economic Forecasts, under revision</w:t>
      </w:r>
      <w:r w:rsidR="00DD4A57">
        <w:rPr>
          <w:sz w:val="20"/>
        </w:rPr>
        <w:t>.</w:t>
      </w:r>
    </w:p>
    <w:p w14:paraId="447E30F9" w14:textId="38299A99" w:rsidR="006B6FFD" w:rsidRDefault="006B6FFD" w:rsidP="00FE459D">
      <w:pPr>
        <w:spacing w:before="100" w:beforeAutospacing="1" w:after="100" w:afterAutospacing="1"/>
        <w:rPr>
          <w:bCs/>
          <w:lang w:val="en-US"/>
        </w:rPr>
      </w:pPr>
    </w:p>
    <w:p w14:paraId="2F1CA6C4" w14:textId="77777777" w:rsidR="006B6FFD" w:rsidRDefault="006B6FFD" w:rsidP="00FE459D">
      <w:pPr>
        <w:spacing w:before="100" w:beforeAutospacing="1" w:after="100" w:afterAutospacing="1"/>
        <w:rPr>
          <w:bCs/>
          <w:lang w:val="en-US"/>
        </w:rPr>
      </w:pPr>
    </w:p>
    <w:p w14:paraId="0655E531" w14:textId="77777777" w:rsidR="0084303B" w:rsidRPr="0079459F" w:rsidRDefault="0084303B" w:rsidP="0084303B">
      <w:pPr>
        <w:pStyle w:val="Heading1"/>
        <w:numPr>
          <w:ilvl w:val="0"/>
          <w:numId w:val="2"/>
        </w:numPr>
        <w:spacing w:after="1560"/>
        <w:ind w:hanging="720"/>
      </w:pPr>
      <w:bookmarkStart w:id="11" w:name="_Toc196737845"/>
      <w:bookmarkStart w:id="12" w:name="_Toc228279077"/>
      <w:bookmarkEnd w:id="11"/>
      <w:r>
        <w:rPr>
          <w:lang w:val="en-US"/>
        </w:rPr>
        <w:lastRenderedPageBreak/>
        <w:t>Budgetary developments</w:t>
      </w:r>
      <w:bookmarkEnd w:id="12"/>
    </w:p>
    <w:p w14:paraId="284642B9" w14:textId="77777777" w:rsidR="00EA52AD" w:rsidRPr="00FE49FB" w:rsidRDefault="00EA52AD" w:rsidP="00FE49FB">
      <w:pPr>
        <w:pStyle w:val="Heading2"/>
        <w:numPr>
          <w:ilvl w:val="1"/>
          <w:numId w:val="2"/>
        </w:numPr>
        <w:ind w:left="567" w:hanging="567"/>
      </w:pPr>
      <w:bookmarkStart w:id="13" w:name="_Toc228279078"/>
      <w:r w:rsidRPr="00FE49FB">
        <w:t>Fiscal</w:t>
      </w:r>
      <w:r w:rsidR="00FE49FB" w:rsidRPr="00FE49FB">
        <w:t xml:space="preserve"> </w:t>
      </w:r>
      <w:proofErr w:type="spellStart"/>
      <w:r w:rsidR="00FE49FB" w:rsidRPr="00FE49FB">
        <w:t>outturn</w:t>
      </w:r>
      <w:proofErr w:type="spellEnd"/>
      <w:r w:rsidR="00FE49FB" w:rsidRPr="00FE49FB">
        <w:t xml:space="preserve"> 2025</w:t>
      </w:r>
      <w:bookmarkEnd w:id="13"/>
    </w:p>
    <w:p w14:paraId="2A7A7658" w14:textId="77777777" w:rsidR="00FE49FB" w:rsidRDefault="00FE49FB" w:rsidP="00FE49FB">
      <w:pPr>
        <w:rPr>
          <w:lang w:val="en-US"/>
        </w:rPr>
      </w:pPr>
      <w:r>
        <w:rPr>
          <w:lang w:val="en-US"/>
        </w:rPr>
        <w:t>In 2025, Greece recorded a strong and solid surplus in the headline balance of 1.7% of GDP, while the primary balance reached +4.9% of GDP.</w:t>
      </w:r>
    </w:p>
    <w:p w14:paraId="371ADE38" w14:textId="77777777" w:rsidR="00FE49FB" w:rsidRDefault="00FE49FB" w:rsidP="00FE49FB">
      <w:pPr>
        <w:rPr>
          <w:lang w:val="en-US"/>
        </w:rPr>
      </w:pPr>
      <w:r>
        <w:rPr>
          <w:lang w:val="en-US"/>
        </w:rPr>
        <w:t xml:space="preserve">Compared to the previous year, the primary balance increased marginally by 0.1 pp, incorporating the impact of several expansionary measures taken, both on the side of revenues and expenditure in a number of key policy areas, targeted to support disposable income, promote investment and employment and aid vulnerable social groups. A detailed description of these measures can be found </w:t>
      </w:r>
      <w:r w:rsidRPr="00104F5C">
        <w:rPr>
          <w:lang w:val="en-US"/>
        </w:rPr>
        <w:t>in section 3</w:t>
      </w:r>
      <w:r w:rsidR="00104F5C" w:rsidRPr="00104F5C">
        <w:rPr>
          <w:lang w:val="en-US"/>
        </w:rPr>
        <w:t>.4</w:t>
      </w:r>
      <w:r w:rsidRPr="00104F5C">
        <w:rPr>
          <w:lang w:val="en-US"/>
        </w:rPr>
        <w:t>. The</w:t>
      </w:r>
      <w:r>
        <w:rPr>
          <w:lang w:val="en-US"/>
        </w:rPr>
        <w:t xml:space="preserve"> fiscal effect of these interventions was counterbalanced by the strong performance of tax and social contribution revenues, due to the favourable economic growth, the measures taken to enforce tax compliance and the positive developments in the labor market and wages. The general government revenues in 2025 increased by 6</w:t>
      </w:r>
      <w:r w:rsidR="000F36BD">
        <w:rPr>
          <w:lang w:val="en-US"/>
        </w:rPr>
        <w:t>.1</w:t>
      </w:r>
      <w:r>
        <w:rPr>
          <w:lang w:val="en-US"/>
        </w:rPr>
        <w:t>% compared to 2024, while the general government expenditure grew by 5</w:t>
      </w:r>
      <w:r w:rsidR="000F36BD">
        <w:rPr>
          <w:lang w:val="en-US"/>
        </w:rPr>
        <w:t>.3</w:t>
      </w:r>
      <w:r>
        <w:rPr>
          <w:lang w:val="en-US"/>
        </w:rPr>
        <w:t>%.</w:t>
      </w:r>
    </w:p>
    <w:p w14:paraId="1CCBD26D" w14:textId="02666BE9" w:rsidR="00FE49FB" w:rsidRDefault="00FE49FB" w:rsidP="003E7BBB">
      <w:pPr>
        <w:pStyle w:val="Caption"/>
        <w:spacing w:after="0"/>
      </w:pPr>
      <w:bookmarkStart w:id="14" w:name="_Toc228374157"/>
      <w:r>
        <w:t xml:space="preserve">Table </w:t>
      </w:r>
      <w:r w:rsidR="00B6443E">
        <w:fldChar w:fldCharType="begin"/>
      </w:r>
      <w:r>
        <w:instrText xml:space="preserve"> SEQ Table \* ARABIC </w:instrText>
      </w:r>
      <w:r w:rsidR="00B6443E">
        <w:fldChar w:fldCharType="separate"/>
      </w:r>
      <w:r w:rsidR="000B61F1">
        <w:rPr>
          <w:noProof/>
        </w:rPr>
        <w:t>3</w:t>
      </w:r>
      <w:r w:rsidR="00B6443E">
        <w:fldChar w:fldCharType="end"/>
      </w:r>
      <w:r>
        <w:t xml:space="preserve"> | </w:t>
      </w:r>
      <w:r w:rsidRPr="00FE49FB">
        <w:t>Main variables</w:t>
      </w:r>
      <w:bookmarkEnd w:id="14"/>
    </w:p>
    <w:tbl>
      <w:tblPr>
        <w:tblW w:w="8902" w:type="dxa"/>
        <w:jc w:val="center"/>
        <w:tblLook w:val="04A0" w:firstRow="1" w:lastRow="0" w:firstColumn="1" w:lastColumn="0" w:noHBand="0" w:noVBand="1"/>
      </w:tblPr>
      <w:tblGrid>
        <w:gridCol w:w="5214"/>
        <w:gridCol w:w="922"/>
        <w:gridCol w:w="922"/>
        <w:gridCol w:w="922"/>
        <w:gridCol w:w="922"/>
      </w:tblGrid>
      <w:tr w:rsidR="001335B5" w:rsidRPr="00FE49FB" w14:paraId="33579C3B" w14:textId="77777777" w:rsidTr="007F16F9">
        <w:trPr>
          <w:trHeight w:val="300"/>
          <w:jc w:val="center"/>
        </w:trPr>
        <w:tc>
          <w:tcPr>
            <w:tcW w:w="5245" w:type="dxa"/>
            <w:tcBorders>
              <w:top w:val="nil"/>
              <w:left w:val="nil"/>
              <w:bottom w:val="nil"/>
              <w:right w:val="nil"/>
            </w:tcBorders>
            <w:shd w:val="clear" w:color="000000" w:fill="BFBFBF"/>
            <w:vAlign w:val="center"/>
            <w:hideMark/>
          </w:tcPr>
          <w:p w14:paraId="52546F65" w14:textId="77777777" w:rsidR="001335B5" w:rsidRPr="00FE49FB" w:rsidRDefault="001335B5" w:rsidP="00FE49FB">
            <w:pPr>
              <w:spacing w:after="0" w:line="240" w:lineRule="auto"/>
              <w:jc w:val="left"/>
              <w:rPr>
                <w:rFonts w:ascii="Calibri" w:eastAsia="Times New Roman" w:hAnsi="Calibri" w:cs="Calibri"/>
                <w:b/>
                <w:bCs/>
                <w:color w:val="000000"/>
                <w:sz w:val="22"/>
              </w:rPr>
            </w:pPr>
            <w:r w:rsidRPr="00FE49FB">
              <w:rPr>
                <w:rFonts w:ascii="Calibri" w:eastAsia="Times New Roman" w:hAnsi="Calibri" w:cs="Calibri"/>
                <w:b/>
                <w:bCs/>
                <w:color w:val="000000"/>
                <w:sz w:val="22"/>
              </w:rPr>
              <w:t> </w:t>
            </w:r>
          </w:p>
        </w:tc>
        <w:tc>
          <w:tcPr>
            <w:tcW w:w="924" w:type="dxa"/>
            <w:tcBorders>
              <w:top w:val="nil"/>
              <w:left w:val="nil"/>
              <w:bottom w:val="nil"/>
              <w:right w:val="nil"/>
            </w:tcBorders>
            <w:shd w:val="clear" w:color="000000" w:fill="BFBFBF"/>
            <w:vAlign w:val="center"/>
            <w:hideMark/>
          </w:tcPr>
          <w:p w14:paraId="0C4260B1" w14:textId="77777777" w:rsidR="001335B5" w:rsidRPr="00FE49FB" w:rsidRDefault="001335B5" w:rsidP="00FE49FB">
            <w:pPr>
              <w:spacing w:after="0" w:line="240" w:lineRule="auto"/>
              <w:jc w:val="center"/>
              <w:rPr>
                <w:rFonts w:ascii="Calibri" w:eastAsia="Times New Roman" w:hAnsi="Calibri" w:cs="Calibri"/>
                <w:b/>
                <w:bCs/>
                <w:color w:val="000000"/>
                <w:sz w:val="22"/>
              </w:rPr>
            </w:pPr>
            <w:r w:rsidRPr="00FE49FB">
              <w:rPr>
                <w:rFonts w:ascii="Calibri" w:eastAsia="Times New Roman" w:hAnsi="Calibri" w:cs="Calibri"/>
                <w:b/>
                <w:bCs/>
                <w:color w:val="000000"/>
                <w:sz w:val="22"/>
              </w:rPr>
              <w:t>2023</w:t>
            </w:r>
          </w:p>
        </w:tc>
        <w:tc>
          <w:tcPr>
            <w:tcW w:w="924" w:type="dxa"/>
            <w:tcBorders>
              <w:top w:val="nil"/>
              <w:left w:val="nil"/>
              <w:bottom w:val="nil"/>
              <w:right w:val="nil"/>
            </w:tcBorders>
            <w:shd w:val="clear" w:color="000000" w:fill="BFBFBF"/>
            <w:vAlign w:val="center"/>
            <w:hideMark/>
          </w:tcPr>
          <w:p w14:paraId="69842876" w14:textId="77777777" w:rsidR="001335B5" w:rsidRPr="00FE49FB" w:rsidRDefault="001335B5" w:rsidP="00FE49FB">
            <w:pPr>
              <w:spacing w:after="0" w:line="240" w:lineRule="auto"/>
              <w:jc w:val="center"/>
              <w:rPr>
                <w:rFonts w:ascii="Calibri" w:eastAsia="Times New Roman" w:hAnsi="Calibri" w:cs="Calibri"/>
                <w:b/>
                <w:bCs/>
                <w:color w:val="000000"/>
                <w:sz w:val="22"/>
              </w:rPr>
            </w:pPr>
            <w:r w:rsidRPr="00FE49FB">
              <w:rPr>
                <w:rFonts w:ascii="Calibri" w:eastAsia="Times New Roman" w:hAnsi="Calibri" w:cs="Calibri"/>
                <w:b/>
                <w:bCs/>
                <w:color w:val="000000"/>
                <w:sz w:val="22"/>
              </w:rPr>
              <w:t>2024</w:t>
            </w:r>
          </w:p>
        </w:tc>
        <w:tc>
          <w:tcPr>
            <w:tcW w:w="924" w:type="dxa"/>
            <w:tcBorders>
              <w:top w:val="nil"/>
              <w:left w:val="nil"/>
              <w:bottom w:val="nil"/>
              <w:right w:val="nil"/>
            </w:tcBorders>
            <w:shd w:val="clear" w:color="000000" w:fill="BFBFBF"/>
            <w:vAlign w:val="center"/>
            <w:hideMark/>
          </w:tcPr>
          <w:p w14:paraId="0E111F9F" w14:textId="77777777" w:rsidR="001335B5" w:rsidRPr="00FE49FB" w:rsidRDefault="001335B5" w:rsidP="00FE49FB">
            <w:pPr>
              <w:spacing w:after="0" w:line="240" w:lineRule="auto"/>
              <w:jc w:val="center"/>
              <w:rPr>
                <w:rFonts w:ascii="Calibri" w:eastAsia="Times New Roman" w:hAnsi="Calibri" w:cs="Calibri"/>
                <w:b/>
                <w:bCs/>
                <w:color w:val="000000"/>
                <w:sz w:val="22"/>
              </w:rPr>
            </w:pPr>
            <w:r w:rsidRPr="00FE49FB">
              <w:rPr>
                <w:rFonts w:ascii="Calibri" w:eastAsia="Times New Roman" w:hAnsi="Calibri" w:cs="Calibri"/>
                <w:b/>
                <w:bCs/>
                <w:color w:val="000000"/>
                <w:sz w:val="22"/>
              </w:rPr>
              <w:t>2025</w:t>
            </w:r>
          </w:p>
        </w:tc>
        <w:tc>
          <w:tcPr>
            <w:tcW w:w="924" w:type="dxa"/>
            <w:tcBorders>
              <w:top w:val="nil"/>
              <w:left w:val="nil"/>
              <w:bottom w:val="nil"/>
              <w:right w:val="nil"/>
            </w:tcBorders>
            <w:shd w:val="clear" w:color="000000" w:fill="BFBFBF"/>
            <w:vAlign w:val="center"/>
            <w:hideMark/>
          </w:tcPr>
          <w:p w14:paraId="41F6C7B1" w14:textId="77777777" w:rsidR="001335B5" w:rsidRPr="00FE49FB" w:rsidRDefault="001335B5" w:rsidP="00FE49FB">
            <w:pPr>
              <w:spacing w:after="0" w:line="240" w:lineRule="auto"/>
              <w:jc w:val="center"/>
              <w:rPr>
                <w:rFonts w:ascii="Calibri" w:eastAsia="Times New Roman" w:hAnsi="Calibri" w:cs="Calibri"/>
                <w:b/>
                <w:bCs/>
                <w:color w:val="000000"/>
                <w:sz w:val="22"/>
              </w:rPr>
            </w:pPr>
            <w:r w:rsidRPr="00FE49FB">
              <w:rPr>
                <w:rFonts w:ascii="Calibri" w:eastAsia="Times New Roman" w:hAnsi="Calibri" w:cs="Calibri"/>
                <w:b/>
                <w:bCs/>
                <w:color w:val="000000"/>
                <w:sz w:val="22"/>
              </w:rPr>
              <w:t>2026</w:t>
            </w:r>
          </w:p>
        </w:tc>
      </w:tr>
      <w:tr w:rsidR="001335B5" w:rsidRPr="00FE49FB" w14:paraId="02F15AF5" w14:textId="77777777" w:rsidTr="007F16F9">
        <w:trPr>
          <w:trHeight w:val="300"/>
          <w:jc w:val="center"/>
        </w:trPr>
        <w:tc>
          <w:tcPr>
            <w:tcW w:w="5245" w:type="dxa"/>
            <w:tcBorders>
              <w:top w:val="nil"/>
              <w:left w:val="nil"/>
              <w:bottom w:val="nil"/>
              <w:right w:val="nil"/>
            </w:tcBorders>
            <w:shd w:val="clear" w:color="000000" w:fill="BFBFBF"/>
            <w:vAlign w:val="center"/>
            <w:hideMark/>
          </w:tcPr>
          <w:p w14:paraId="43114F7C" w14:textId="77777777" w:rsidR="001335B5" w:rsidRPr="00FE49FB" w:rsidRDefault="001335B5" w:rsidP="00FE49FB">
            <w:pPr>
              <w:spacing w:after="0" w:line="240" w:lineRule="auto"/>
              <w:jc w:val="center"/>
              <w:rPr>
                <w:rFonts w:ascii="Calibri" w:eastAsia="Times New Roman" w:hAnsi="Calibri" w:cs="Calibri"/>
                <w:b/>
                <w:bCs/>
                <w:color w:val="000000"/>
                <w:sz w:val="22"/>
              </w:rPr>
            </w:pPr>
            <w:r w:rsidRPr="00FE49FB">
              <w:rPr>
                <w:rFonts w:ascii="Calibri" w:eastAsia="Times New Roman" w:hAnsi="Calibri" w:cs="Calibri"/>
                <w:b/>
                <w:bCs/>
                <w:color w:val="000000"/>
                <w:sz w:val="22"/>
              </w:rPr>
              <w:t xml:space="preserve"> </w:t>
            </w:r>
          </w:p>
        </w:tc>
        <w:tc>
          <w:tcPr>
            <w:tcW w:w="3696" w:type="dxa"/>
            <w:gridSpan w:val="4"/>
            <w:tcBorders>
              <w:top w:val="nil"/>
              <w:left w:val="nil"/>
              <w:bottom w:val="nil"/>
              <w:right w:val="nil"/>
            </w:tcBorders>
            <w:shd w:val="clear" w:color="000000" w:fill="BFBFBF"/>
            <w:vAlign w:val="center"/>
            <w:hideMark/>
          </w:tcPr>
          <w:p w14:paraId="0A232FE7" w14:textId="77777777" w:rsidR="001335B5" w:rsidRPr="00FE49FB" w:rsidRDefault="001335B5" w:rsidP="00FE49FB">
            <w:pPr>
              <w:spacing w:after="0" w:line="240" w:lineRule="auto"/>
              <w:jc w:val="center"/>
              <w:rPr>
                <w:rFonts w:ascii="Calibri" w:eastAsia="Times New Roman" w:hAnsi="Calibri" w:cs="Calibri"/>
                <w:color w:val="000000"/>
                <w:sz w:val="22"/>
              </w:rPr>
            </w:pPr>
            <w:r w:rsidRPr="00FE49FB">
              <w:rPr>
                <w:rFonts w:ascii="Calibri" w:eastAsia="Times New Roman" w:hAnsi="Calibri" w:cs="Calibri"/>
                <w:color w:val="000000"/>
                <w:sz w:val="22"/>
              </w:rPr>
              <w:t>% GDP</w:t>
            </w:r>
          </w:p>
        </w:tc>
      </w:tr>
      <w:tr w:rsidR="001335B5" w:rsidRPr="00FE49FB" w14:paraId="71C7CA62" w14:textId="77777777" w:rsidTr="007F16F9">
        <w:trPr>
          <w:trHeight w:val="300"/>
          <w:jc w:val="center"/>
        </w:trPr>
        <w:tc>
          <w:tcPr>
            <w:tcW w:w="5245" w:type="dxa"/>
            <w:tcBorders>
              <w:top w:val="nil"/>
              <w:left w:val="nil"/>
              <w:bottom w:val="single" w:sz="4" w:space="0" w:color="FFFFFF"/>
              <w:right w:val="nil"/>
            </w:tcBorders>
            <w:shd w:val="clear" w:color="000000" w:fill="F2F2F2"/>
            <w:vAlign w:val="center"/>
            <w:hideMark/>
          </w:tcPr>
          <w:p w14:paraId="003B18AA" w14:textId="77777777" w:rsidR="001335B5" w:rsidRPr="00FE49FB" w:rsidRDefault="001335B5" w:rsidP="003E7BBB">
            <w:pPr>
              <w:pStyle w:val="Tabletext"/>
            </w:pPr>
            <w:r w:rsidRPr="00FE49FB">
              <w:t>1. Net lending/borrowing</w:t>
            </w:r>
          </w:p>
        </w:tc>
        <w:tc>
          <w:tcPr>
            <w:tcW w:w="924" w:type="dxa"/>
            <w:tcBorders>
              <w:top w:val="nil"/>
              <w:left w:val="nil"/>
              <w:bottom w:val="single" w:sz="4" w:space="0" w:color="FFFFFF"/>
              <w:right w:val="nil"/>
            </w:tcBorders>
            <w:shd w:val="clear" w:color="000000" w:fill="F2F2F2"/>
            <w:vAlign w:val="center"/>
            <w:hideMark/>
          </w:tcPr>
          <w:p w14:paraId="762DD2F3" w14:textId="77777777" w:rsidR="001335B5" w:rsidRPr="00FE49FB" w:rsidRDefault="001335B5" w:rsidP="003E7BBB">
            <w:pPr>
              <w:pStyle w:val="Tabletext"/>
              <w:jc w:val="center"/>
            </w:pPr>
            <w:r w:rsidRPr="00FE49FB">
              <w:t>-1.4</w:t>
            </w:r>
          </w:p>
        </w:tc>
        <w:tc>
          <w:tcPr>
            <w:tcW w:w="924" w:type="dxa"/>
            <w:tcBorders>
              <w:top w:val="nil"/>
              <w:left w:val="nil"/>
              <w:bottom w:val="single" w:sz="4" w:space="0" w:color="FFFFFF"/>
              <w:right w:val="nil"/>
            </w:tcBorders>
            <w:shd w:val="clear" w:color="000000" w:fill="F2F2F2"/>
            <w:vAlign w:val="center"/>
            <w:hideMark/>
          </w:tcPr>
          <w:p w14:paraId="5702B705" w14:textId="77777777" w:rsidR="001335B5" w:rsidRPr="00FE49FB" w:rsidRDefault="001335B5" w:rsidP="003E7BBB">
            <w:pPr>
              <w:pStyle w:val="Tabletext"/>
              <w:jc w:val="center"/>
            </w:pPr>
            <w:r w:rsidRPr="00FE49FB">
              <w:t>1.3</w:t>
            </w:r>
          </w:p>
        </w:tc>
        <w:tc>
          <w:tcPr>
            <w:tcW w:w="924" w:type="dxa"/>
            <w:tcBorders>
              <w:top w:val="nil"/>
              <w:left w:val="nil"/>
              <w:bottom w:val="single" w:sz="4" w:space="0" w:color="FFFFFF"/>
              <w:right w:val="nil"/>
            </w:tcBorders>
            <w:shd w:val="clear" w:color="000000" w:fill="F2F2F2"/>
            <w:vAlign w:val="center"/>
            <w:hideMark/>
          </w:tcPr>
          <w:p w14:paraId="1E34297D" w14:textId="77777777" w:rsidR="001335B5" w:rsidRPr="00FE49FB" w:rsidRDefault="001335B5" w:rsidP="003E7BBB">
            <w:pPr>
              <w:pStyle w:val="Tabletext"/>
              <w:jc w:val="center"/>
            </w:pPr>
            <w:r w:rsidRPr="00FE49FB">
              <w:t>1.7</w:t>
            </w:r>
          </w:p>
        </w:tc>
        <w:tc>
          <w:tcPr>
            <w:tcW w:w="924" w:type="dxa"/>
            <w:tcBorders>
              <w:top w:val="nil"/>
              <w:left w:val="nil"/>
              <w:bottom w:val="single" w:sz="4" w:space="0" w:color="FFFFFF"/>
              <w:right w:val="nil"/>
            </w:tcBorders>
            <w:shd w:val="clear" w:color="000000" w:fill="F2F2F2"/>
            <w:vAlign w:val="center"/>
            <w:hideMark/>
          </w:tcPr>
          <w:p w14:paraId="52285EC0" w14:textId="77777777" w:rsidR="001335B5" w:rsidRPr="00FE49FB" w:rsidRDefault="001335B5" w:rsidP="003E7BBB">
            <w:pPr>
              <w:pStyle w:val="Tabletext"/>
              <w:jc w:val="center"/>
            </w:pPr>
            <w:r w:rsidRPr="00FE49FB">
              <w:t>0.2</w:t>
            </w:r>
          </w:p>
        </w:tc>
      </w:tr>
      <w:tr w:rsidR="001335B5" w:rsidRPr="00FE49FB" w14:paraId="66C4BC9D" w14:textId="77777777" w:rsidTr="007F16F9">
        <w:trPr>
          <w:trHeight w:val="300"/>
          <w:jc w:val="center"/>
        </w:trPr>
        <w:tc>
          <w:tcPr>
            <w:tcW w:w="5245" w:type="dxa"/>
            <w:tcBorders>
              <w:top w:val="nil"/>
              <w:left w:val="nil"/>
              <w:bottom w:val="single" w:sz="4" w:space="0" w:color="FFFFFF"/>
              <w:right w:val="nil"/>
            </w:tcBorders>
            <w:shd w:val="clear" w:color="000000" w:fill="D9D9D9"/>
          </w:tcPr>
          <w:p w14:paraId="18ABFB41" w14:textId="77777777" w:rsidR="001335B5" w:rsidRPr="00FC37DE" w:rsidRDefault="001335B5" w:rsidP="001C0BA6">
            <w:pPr>
              <w:pStyle w:val="Tabletext"/>
            </w:pPr>
            <w:r>
              <w:t xml:space="preserve">2. </w:t>
            </w:r>
            <w:r w:rsidRPr="00FC37DE">
              <w:t>Primary balance</w:t>
            </w:r>
          </w:p>
        </w:tc>
        <w:tc>
          <w:tcPr>
            <w:tcW w:w="924" w:type="dxa"/>
            <w:tcBorders>
              <w:top w:val="nil"/>
              <w:left w:val="nil"/>
              <w:bottom w:val="single" w:sz="4" w:space="0" w:color="FFFFFF"/>
              <w:right w:val="nil"/>
            </w:tcBorders>
            <w:shd w:val="clear" w:color="000000" w:fill="D9D9D9"/>
          </w:tcPr>
          <w:p w14:paraId="18D2A496" w14:textId="77777777" w:rsidR="001335B5" w:rsidRPr="00FC37DE" w:rsidRDefault="001335B5" w:rsidP="001C0BA6">
            <w:pPr>
              <w:pStyle w:val="Tabletext"/>
              <w:jc w:val="center"/>
            </w:pPr>
            <w:r w:rsidRPr="00FC37DE">
              <w:t>2.0</w:t>
            </w:r>
          </w:p>
        </w:tc>
        <w:tc>
          <w:tcPr>
            <w:tcW w:w="924" w:type="dxa"/>
            <w:tcBorders>
              <w:top w:val="nil"/>
              <w:left w:val="nil"/>
              <w:bottom w:val="single" w:sz="4" w:space="0" w:color="FFFFFF"/>
              <w:right w:val="nil"/>
            </w:tcBorders>
            <w:shd w:val="clear" w:color="000000" w:fill="D9D9D9"/>
          </w:tcPr>
          <w:p w14:paraId="6400DC44" w14:textId="77777777" w:rsidR="001335B5" w:rsidRPr="00FC37DE" w:rsidRDefault="001335B5" w:rsidP="001C0BA6">
            <w:pPr>
              <w:pStyle w:val="Tabletext"/>
              <w:jc w:val="center"/>
            </w:pPr>
            <w:r w:rsidRPr="00FC37DE">
              <w:t>4.8</w:t>
            </w:r>
          </w:p>
        </w:tc>
        <w:tc>
          <w:tcPr>
            <w:tcW w:w="924" w:type="dxa"/>
            <w:tcBorders>
              <w:top w:val="nil"/>
              <w:left w:val="nil"/>
              <w:bottom w:val="single" w:sz="4" w:space="0" w:color="FFFFFF"/>
              <w:right w:val="nil"/>
            </w:tcBorders>
            <w:shd w:val="clear" w:color="000000" w:fill="D9D9D9"/>
          </w:tcPr>
          <w:p w14:paraId="100F0B60" w14:textId="77777777" w:rsidR="001335B5" w:rsidRPr="00FC37DE" w:rsidRDefault="001335B5" w:rsidP="001C0BA6">
            <w:pPr>
              <w:pStyle w:val="Tabletext"/>
              <w:jc w:val="center"/>
            </w:pPr>
            <w:r w:rsidRPr="00FC37DE">
              <w:t>4.9</w:t>
            </w:r>
          </w:p>
        </w:tc>
        <w:tc>
          <w:tcPr>
            <w:tcW w:w="924" w:type="dxa"/>
            <w:tcBorders>
              <w:top w:val="nil"/>
              <w:left w:val="nil"/>
              <w:bottom w:val="single" w:sz="4" w:space="0" w:color="FFFFFF"/>
              <w:right w:val="nil"/>
            </w:tcBorders>
            <w:shd w:val="clear" w:color="000000" w:fill="D9D9D9"/>
          </w:tcPr>
          <w:p w14:paraId="2C342038" w14:textId="77777777" w:rsidR="001335B5" w:rsidRDefault="001335B5" w:rsidP="001C0BA6">
            <w:pPr>
              <w:pStyle w:val="Tabletext"/>
              <w:jc w:val="center"/>
            </w:pPr>
            <w:r w:rsidRPr="00FC37DE">
              <w:t>3.2</w:t>
            </w:r>
          </w:p>
        </w:tc>
      </w:tr>
      <w:tr w:rsidR="001335B5" w:rsidRPr="00FE49FB" w14:paraId="27ADA5A4" w14:textId="77777777" w:rsidTr="007F16F9">
        <w:trPr>
          <w:trHeight w:val="300"/>
          <w:jc w:val="center"/>
        </w:trPr>
        <w:tc>
          <w:tcPr>
            <w:tcW w:w="5245" w:type="dxa"/>
            <w:tcBorders>
              <w:top w:val="nil"/>
              <w:left w:val="nil"/>
              <w:bottom w:val="single" w:sz="4" w:space="0" w:color="FFFFFF"/>
              <w:right w:val="nil"/>
            </w:tcBorders>
            <w:shd w:val="clear" w:color="auto" w:fill="F2F2F2" w:themeFill="background1" w:themeFillShade="F2"/>
            <w:vAlign w:val="center"/>
            <w:hideMark/>
          </w:tcPr>
          <w:p w14:paraId="2484BCB0" w14:textId="77777777" w:rsidR="001335B5" w:rsidRPr="00FE49FB" w:rsidRDefault="001335B5" w:rsidP="003E7BBB">
            <w:pPr>
              <w:pStyle w:val="Tabletext"/>
            </w:pPr>
            <w:r>
              <w:t>3</w:t>
            </w:r>
            <w:r w:rsidRPr="00FE49FB">
              <w:t>. Structural balance</w:t>
            </w:r>
          </w:p>
        </w:tc>
        <w:tc>
          <w:tcPr>
            <w:tcW w:w="924" w:type="dxa"/>
            <w:tcBorders>
              <w:top w:val="nil"/>
              <w:left w:val="nil"/>
              <w:bottom w:val="single" w:sz="4" w:space="0" w:color="FFFFFF"/>
              <w:right w:val="nil"/>
            </w:tcBorders>
            <w:shd w:val="clear" w:color="auto" w:fill="F2F2F2" w:themeFill="background1" w:themeFillShade="F2"/>
            <w:vAlign w:val="center"/>
            <w:hideMark/>
          </w:tcPr>
          <w:p w14:paraId="134763C3" w14:textId="77777777" w:rsidR="001335B5" w:rsidRPr="00FE49FB" w:rsidRDefault="001335B5" w:rsidP="003E7BBB">
            <w:pPr>
              <w:pStyle w:val="Tabletext"/>
              <w:jc w:val="center"/>
            </w:pPr>
            <w:r w:rsidRPr="00FE49FB">
              <w:t>-1.8</w:t>
            </w:r>
          </w:p>
        </w:tc>
        <w:tc>
          <w:tcPr>
            <w:tcW w:w="924" w:type="dxa"/>
            <w:tcBorders>
              <w:top w:val="nil"/>
              <w:left w:val="nil"/>
              <w:bottom w:val="single" w:sz="4" w:space="0" w:color="FFFFFF"/>
              <w:right w:val="nil"/>
            </w:tcBorders>
            <w:shd w:val="clear" w:color="auto" w:fill="F2F2F2" w:themeFill="background1" w:themeFillShade="F2"/>
            <w:vAlign w:val="center"/>
            <w:hideMark/>
          </w:tcPr>
          <w:p w14:paraId="34CAEFAE" w14:textId="77777777" w:rsidR="001335B5" w:rsidRPr="00FE49FB" w:rsidRDefault="001335B5" w:rsidP="003E7BBB">
            <w:pPr>
              <w:pStyle w:val="Tabletext"/>
              <w:jc w:val="center"/>
            </w:pPr>
            <w:r w:rsidRPr="00FE49FB">
              <w:t>0.5</w:t>
            </w:r>
          </w:p>
        </w:tc>
        <w:tc>
          <w:tcPr>
            <w:tcW w:w="924" w:type="dxa"/>
            <w:tcBorders>
              <w:top w:val="nil"/>
              <w:left w:val="nil"/>
              <w:bottom w:val="single" w:sz="4" w:space="0" w:color="FFFFFF"/>
              <w:right w:val="nil"/>
            </w:tcBorders>
            <w:shd w:val="clear" w:color="auto" w:fill="F2F2F2" w:themeFill="background1" w:themeFillShade="F2"/>
            <w:vAlign w:val="center"/>
            <w:hideMark/>
          </w:tcPr>
          <w:p w14:paraId="6859B6C2" w14:textId="77777777" w:rsidR="001335B5" w:rsidRPr="00FE49FB" w:rsidRDefault="001335B5" w:rsidP="003E7BBB">
            <w:pPr>
              <w:pStyle w:val="Tabletext"/>
              <w:jc w:val="center"/>
            </w:pPr>
            <w:r w:rsidRPr="00FE49FB">
              <w:t>0.5</w:t>
            </w:r>
          </w:p>
        </w:tc>
        <w:tc>
          <w:tcPr>
            <w:tcW w:w="924" w:type="dxa"/>
            <w:tcBorders>
              <w:top w:val="nil"/>
              <w:left w:val="nil"/>
              <w:bottom w:val="single" w:sz="4" w:space="0" w:color="FFFFFF"/>
              <w:right w:val="nil"/>
            </w:tcBorders>
            <w:shd w:val="clear" w:color="auto" w:fill="F2F2F2" w:themeFill="background1" w:themeFillShade="F2"/>
            <w:vAlign w:val="center"/>
            <w:hideMark/>
          </w:tcPr>
          <w:p w14:paraId="54C5146E" w14:textId="77777777" w:rsidR="001335B5" w:rsidRPr="00FE49FB" w:rsidRDefault="001335B5" w:rsidP="003E7BBB">
            <w:pPr>
              <w:pStyle w:val="Tabletext"/>
              <w:jc w:val="center"/>
            </w:pPr>
            <w:r w:rsidRPr="00FE49FB">
              <w:t>-1.2</w:t>
            </w:r>
          </w:p>
        </w:tc>
      </w:tr>
      <w:tr w:rsidR="001335B5" w:rsidRPr="00FE49FB" w14:paraId="2F9A0974" w14:textId="77777777" w:rsidTr="007F16F9">
        <w:trPr>
          <w:trHeight w:val="300"/>
          <w:jc w:val="center"/>
        </w:trPr>
        <w:tc>
          <w:tcPr>
            <w:tcW w:w="5245" w:type="dxa"/>
            <w:tcBorders>
              <w:top w:val="nil"/>
              <w:left w:val="nil"/>
              <w:bottom w:val="single" w:sz="4" w:space="0" w:color="FFFFFF"/>
              <w:right w:val="nil"/>
            </w:tcBorders>
            <w:shd w:val="clear" w:color="auto" w:fill="D9D9D9" w:themeFill="background1" w:themeFillShade="D9"/>
            <w:vAlign w:val="center"/>
            <w:hideMark/>
          </w:tcPr>
          <w:p w14:paraId="4BB84AB6" w14:textId="77777777" w:rsidR="001335B5" w:rsidRPr="00FE49FB" w:rsidRDefault="001335B5" w:rsidP="003E7BBB">
            <w:pPr>
              <w:pStyle w:val="Tabletext"/>
            </w:pPr>
            <w:r>
              <w:t>4</w:t>
            </w:r>
            <w:r w:rsidRPr="00FE49FB">
              <w:t>. Structural primary balance</w:t>
            </w:r>
          </w:p>
        </w:tc>
        <w:tc>
          <w:tcPr>
            <w:tcW w:w="924" w:type="dxa"/>
            <w:tcBorders>
              <w:top w:val="nil"/>
              <w:left w:val="nil"/>
              <w:bottom w:val="single" w:sz="4" w:space="0" w:color="FFFFFF"/>
              <w:right w:val="nil"/>
            </w:tcBorders>
            <w:shd w:val="clear" w:color="auto" w:fill="D9D9D9" w:themeFill="background1" w:themeFillShade="D9"/>
            <w:vAlign w:val="center"/>
            <w:hideMark/>
          </w:tcPr>
          <w:p w14:paraId="7817028D" w14:textId="77777777" w:rsidR="001335B5" w:rsidRPr="00FE49FB" w:rsidRDefault="001335B5" w:rsidP="003E7BBB">
            <w:pPr>
              <w:pStyle w:val="Tabletext"/>
              <w:jc w:val="center"/>
            </w:pPr>
            <w:r w:rsidRPr="00FE49FB">
              <w:t>1.6</w:t>
            </w:r>
          </w:p>
        </w:tc>
        <w:tc>
          <w:tcPr>
            <w:tcW w:w="924" w:type="dxa"/>
            <w:tcBorders>
              <w:top w:val="nil"/>
              <w:left w:val="nil"/>
              <w:bottom w:val="single" w:sz="4" w:space="0" w:color="FFFFFF"/>
              <w:right w:val="nil"/>
            </w:tcBorders>
            <w:shd w:val="clear" w:color="auto" w:fill="D9D9D9" w:themeFill="background1" w:themeFillShade="D9"/>
            <w:vAlign w:val="center"/>
            <w:hideMark/>
          </w:tcPr>
          <w:p w14:paraId="25C9E4A5" w14:textId="77777777" w:rsidR="001335B5" w:rsidRPr="00FE49FB" w:rsidRDefault="001335B5" w:rsidP="003E7BBB">
            <w:pPr>
              <w:pStyle w:val="Tabletext"/>
              <w:jc w:val="center"/>
            </w:pPr>
            <w:r w:rsidRPr="00FE49FB">
              <w:t>3.9</w:t>
            </w:r>
          </w:p>
        </w:tc>
        <w:tc>
          <w:tcPr>
            <w:tcW w:w="924" w:type="dxa"/>
            <w:tcBorders>
              <w:top w:val="nil"/>
              <w:left w:val="nil"/>
              <w:bottom w:val="single" w:sz="4" w:space="0" w:color="FFFFFF"/>
              <w:right w:val="nil"/>
            </w:tcBorders>
            <w:shd w:val="clear" w:color="auto" w:fill="D9D9D9" w:themeFill="background1" w:themeFillShade="D9"/>
            <w:vAlign w:val="center"/>
            <w:hideMark/>
          </w:tcPr>
          <w:p w14:paraId="4D554683" w14:textId="77777777" w:rsidR="001335B5" w:rsidRPr="00FE49FB" w:rsidRDefault="001335B5" w:rsidP="003E7BBB">
            <w:pPr>
              <w:pStyle w:val="Tabletext"/>
              <w:jc w:val="center"/>
            </w:pPr>
            <w:r w:rsidRPr="00FE49FB">
              <w:t>3.7</w:t>
            </w:r>
          </w:p>
        </w:tc>
        <w:tc>
          <w:tcPr>
            <w:tcW w:w="924" w:type="dxa"/>
            <w:tcBorders>
              <w:top w:val="nil"/>
              <w:left w:val="nil"/>
              <w:bottom w:val="single" w:sz="4" w:space="0" w:color="FFFFFF"/>
              <w:right w:val="nil"/>
            </w:tcBorders>
            <w:shd w:val="clear" w:color="auto" w:fill="D9D9D9" w:themeFill="background1" w:themeFillShade="D9"/>
            <w:vAlign w:val="center"/>
            <w:hideMark/>
          </w:tcPr>
          <w:p w14:paraId="5B7EEEBF" w14:textId="77777777" w:rsidR="001335B5" w:rsidRPr="00FE49FB" w:rsidRDefault="001335B5" w:rsidP="003E7BBB">
            <w:pPr>
              <w:pStyle w:val="Tabletext"/>
              <w:jc w:val="center"/>
            </w:pPr>
            <w:r w:rsidRPr="00FE49FB">
              <w:t>1.8</w:t>
            </w:r>
          </w:p>
        </w:tc>
      </w:tr>
      <w:tr w:rsidR="001335B5" w:rsidRPr="00FE49FB" w14:paraId="2BBE1AEB" w14:textId="77777777" w:rsidTr="007F16F9">
        <w:trPr>
          <w:trHeight w:val="300"/>
          <w:jc w:val="center"/>
        </w:trPr>
        <w:tc>
          <w:tcPr>
            <w:tcW w:w="5245" w:type="dxa"/>
            <w:tcBorders>
              <w:top w:val="nil"/>
              <w:left w:val="nil"/>
              <w:bottom w:val="single" w:sz="4" w:space="0" w:color="FFFFFF"/>
              <w:right w:val="nil"/>
            </w:tcBorders>
            <w:shd w:val="clear" w:color="auto" w:fill="F2F2F2" w:themeFill="background1" w:themeFillShade="F2"/>
            <w:vAlign w:val="center"/>
            <w:hideMark/>
          </w:tcPr>
          <w:p w14:paraId="4369687A" w14:textId="77777777" w:rsidR="001335B5" w:rsidRPr="00FE49FB" w:rsidRDefault="001335B5" w:rsidP="003E7BBB">
            <w:pPr>
              <w:pStyle w:val="Tabletext"/>
            </w:pPr>
            <w:r>
              <w:t>5</w:t>
            </w:r>
            <w:r w:rsidRPr="00FE49FB">
              <w:t>. Gross debt</w:t>
            </w:r>
          </w:p>
        </w:tc>
        <w:tc>
          <w:tcPr>
            <w:tcW w:w="924" w:type="dxa"/>
            <w:tcBorders>
              <w:top w:val="nil"/>
              <w:left w:val="nil"/>
              <w:bottom w:val="single" w:sz="4" w:space="0" w:color="FFFFFF"/>
              <w:right w:val="nil"/>
            </w:tcBorders>
            <w:shd w:val="clear" w:color="auto" w:fill="F2F2F2" w:themeFill="background1" w:themeFillShade="F2"/>
            <w:vAlign w:val="center"/>
            <w:hideMark/>
          </w:tcPr>
          <w:p w14:paraId="3DD9F925" w14:textId="77777777" w:rsidR="001335B5" w:rsidRPr="00FE49FB" w:rsidRDefault="001335B5" w:rsidP="003E7BBB">
            <w:pPr>
              <w:pStyle w:val="Tabletext"/>
              <w:jc w:val="center"/>
            </w:pPr>
            <w:r w:rsidRPr="00FE49FB">
              <w:t>164.3</w:t>
            </w:r>
          </w:p>
        </w:tc>
        <w:tc>
          <w:tcPr>
            <w:tcW w:w="924" w:type="dxa"/>
            <w:tcBorders>
              <w:top w:val="nil"/>
              <w:left w:val="nil"/>
              <w:bottom w:val="single" w:sz="4" w:space="0" w:color="FFFFFF"/>
              <w:right w:val="nil"/>
            </w:tcBorders>
            <w:shd w:val="clear" w:color="auto" w:fill="F2F2F2" w:themeFill="background1" w:themeFillShade="F2"/>
            <w:vAlign w:val="center"/>
            <w:hideMark/>
          </w:tcPr>
          <w:p w14:paraId="6E37DEB3" w14:textId="77777777" w:rsidR="001335B5" w:rsidRPr="00FE49FB" w:rsidRDefault="001335B5" w:rsidP="003E7BBB">
            <w:pPr>
              <w:pStyle w:val="Tabletext"/>
              <w:jc w:val="center"/>
            </w:pPr>
            <w:r w:rsidRPr="00FE49FB">
              <w:t>154.2</w:t>
            </w:r>
          </w:p>
        </w:tc>
        <w:tc>
          <w:tcPr>
            <w:tcW w:w="924" w:type="dxa"/>
            <w:tcBorders>
              <w:top w:val="nil"/>
              <w:left w:val="nil"/>
              <w:bottom w:val="single" w:sz="4" w:space="0" w:color="FFFFFF"/>
              <w:right w:val="nil"/>
            </w:tcBorders>
            <w:shd w:val="clear" w:color="auto" w:fill="F2F2F2" w:themeFill="background1" w:themeFillShade="F2"/>
            <w:vAlign w:val="center"/>
            <w:hideMark/>
          </w:tcPr>
          <w:p w14:paraId="70676632" w14:textId="77777777" w:rsidR="001335B5" w:rsidRPr="00FE49FB" w:rsidRDefault="001335B5" w:rsidP="003E7BBB">
            <w:pPr>
              <w:pStyle w:val="Tabletext"/>
              <w:jc w:val="center"/>
            </w:pPr>
            <w:r w:rsidRPr="00FE49FB">
              <w:t>146.1</w:t>
            </w:r>
          </w:p>
        </w:tc>
        <w:tc>
          <w:tcPr>
            <w:tcW w:w="924" w:type="dxa"/>
            <w:tcBorders>
              <w:top w:val="nil"/>
              <w:left w:val="nil"/>
              <w:bottom w:val="single" w:sz="4" w:space="0" w:color="FFFFFF"/>
              <w:right w:val="nil"/>
            </w:tcBorders>
            <w:shd w:val="clear" w:color="auto" w:fill="F2F2F2" w:themeFill="background1" w:themeFillShade="F2"/>
            <w:vAlign w:val="center"/>
            <w:hideMark/>
          </w:tcPr>
          <w:p w14:paraId="49C87F07" w14:textId="77777777" w:rsidR="001335B5" w:rsidRPr="00FE49FB" w:rsidRDefault="001335B5" w:rsidP="003E7BBB">
            <w:pPr>
              <w:pStyle w:val="Tabletext"/>
              <w:jc w:val="center"/>
            </w:pPr>
            <w:r w:rsidRPr="00FE49FB">
              <w:t>136.8</w:t>
            </w:r>
          </w:p>
        </w:tc>
      </w:tr>
      <w:tr w:rsidR="001335B5" w:rsidRPr="00FE49FB" w14:paraId="51E616D4" w14:textId="77777777" w:rsidTr="007F16F9">
        <w:trPr>
          <w:trHeight w:val="300"/>
          <w:jc w:val="center"/>
        </w:trPr>
        <w:tc>
          <w:tcPr>
            <w:tcW w:w="5245" w:type="dxa"/>
            <w:tcBorders>
              <w:top w:val="single" w:sz="4" w:space="0" w:color="FFFFFF"/>
              <w:left w:val="nil"/>
              <w:bottom w:val="single" w:sz="18" w:space="0" w:color="4F81BD" w:themeColor="accent1"/>
              <w:right w:val="nil"/>
            </w:tcBorders>
            <w:shd w:val="clear" w:color="auto" w:fill="D9D9D9" w:themeFill="background1" w:themeFillShade="D9"/>
            <w:vAlign w:val="center"/>
            <w:hideMark/>
          </w:tcPr>
          <w:p w14:paraId="371B6803" w14:textId="77777777" w:rsidR="001335B5" w:rsidRPr="00FE49FB" w:rsidRDefault="001335B5" w:rsidP="003E7BBB">
            <w:pPr>
              <w:pStyle w:val="Tabletext"/>
            </w:pPr>
            <w:r>
              <w:t>6</w:t>
            </w:r>
            <w:r w:rsidRPr="00FE49FB">
              <w:t>. Change in gross debt</w:t>
            </w:r>
          </w:p>
        </w:tc>
        <w:tc>
          <w:tcPr>
            <w:tcW w:w="924" w:type="dxa"/>
            <w:tcBorders>
              <w:top w:val="single" w:sz="4" w:space="0" w:color="FFFFFF"/>
              <w:left w:val="nil"/>
              <w:bottom w:val="single" w:sz="18" w:space="0" w:color="4F81BD" w:themeColor="accent1"/>
              <w:right w:val="nil"/>
            </w:tcBorders>
            <w:shd w:val="clear" w:color="auto" w:fill="D9D9D9" w:themeFill="background1" w:themeFillShade="D9"/>
            <w:vAlign w:val="center"/>
            <w:hideMark/>
          </w:tcPr>
          <w:p w14:paraId="31720F3C" w14:textId="77777777" w:rsidR="001335B5" w:rsidRPr="00FE49FB" w:rsidRDefault="001335B5" w:rsidP="003E7BBB">
            <w:pPr>
              <w:pStyle w:val="Tabletext"/>
              <w:jc w:val="center"/>
            </w:pPr>
            <w:r w:rsidRPr="00FE49FB">
              <w:t>-13.5</w:t>
            </w:r>
          </w:p>
        </w:tc>
        <w:tc>
          <w:tcPr>
            <w:tcW w:w="924" w:type="dxa"/>
            <w:tcBorders>
              <w:top w:val="single" w:sz="4" w:space="0" w:color="FFFFFF"/>
              <w:left w:val="nil"/>
              <w:bottom w:val="single" w:sz="18" w:space="0" w:color="4F81BD" w:themeColor="accent1"/>
              <w:right w:val="nil"/>
            </w:tcBorders>
            <w:shd w:val="clear" w:color="auto" w:fill="D9D9D9" w:themeFill="background1" w:themeFillShade="D9"/>
            <w:vAlign w:val="center"/>
            <w:hideMark/>
          </w:tcPr>
          <w:p w14:paraId="7FBF49F5" w14:textId="77777777" w:rsidR="001335B5" w:rsidRPr="00FE49FB" w:rsidRDefault="001335B5" w:rsidP="003E7BBB">
            <w:pPr>
              <w:pStyle w:val="Tabletext"/>
              <w:jc w:val="center"/>
            </w:pPr>
            <w:r w:rsidRPr="00FE49FB">
              <w:t>-10.1</w:t>
            </w:r>
          </w:p>
        </w:tc>
        <w:tc>
          <w:tcPr>
            <w:tcW w:w="924" w:type="dxa"/>
            <w:tcBorders>
              <w:top w:val="single" w:sz="4" w:space="0" w:color="FFFFFF"/>
              <w:left w:val="nil"/>
              <w:bottom w:val="single" w:sz="18" w:space="0" w:color="4F81BD" w:themeColor="accent1"/>
              <w:right w:val="nil"/>
            </w:tcBorders>
            <w:shd w:val="clear" w:color="auto" w:fill="D9D9D9" w:themeFill="background1" w:themeFillShade="D9"/>
            <w:vAlign w:val="center"/>
            <w:hideMark/>
          </w:tcPr>
          <w:p w14:paraId="6885420C" w14:textId="77777777" w:rsidR="001335B5" w:rsidRPr="00FE49FB" w:rsidRDefault="001335B5" w:rsidP="003E7BBB">
            <w:pPr>
              <w:pStyle w:val="Tabletext"/>
              <w:jc w:val="center"/>
            </w:pPr>
            <w:r w:rsidRPr="00FE49FB">
              <w:t>-8.0</w:t>
            </w:r>
          </w:p>
        </w:tc>
        <w:tc>
          <w:tcPr>
            <w:tcW w:w="924" w:type="dxa"/>
            <w:tcBorders>
              <w:top w:val="single" w:sz="4" w:space="0" w:color="FFFFFF"/>
              <w:left w:val="nil"/>
              <w:bottom w:val="single" w:sz="18" w:space="0" w:color="4F81BD" w:themeColor="accent1"/>
              <w:right w:val="nil"/>
            </w:tcBorders>
            <w:shd w:val="clear" w:color="auto" w:fill="D9D9D9" w:themeFill="background1" w:themeFillShade="D9"/>
            <w:vAlign w:val="center"/>
            <w:hideMark/>
          </w:tcPr>
          <w:p w14:paraId="5B43C4E9" w14:textId="77777777" w:rsidR="001335B5" w:rsidRPr="00FE49FB" w:rsidRDefault="001335B5" w:rsidP="003E7BBB">
            <w:pPr>
              <w:pStyle w:val="Tabletext"/>
              <w:jc w:val="center"/>
            </w:pPr>
            <w:r w:rsidRPr="00FE49FB">
              <w:t>-9.3</w:t>
            </w:r>
          </w:p>
        </w:tc>
      </w:tr>
    </w:tbl>
    <w:p w14:paraId="0306AA59" w14:textId="09CBA9B0" w:rsidR="00FE49FB" w:rsidRDefault="00FE49FB" w:rsidP="00AA58ED">
      <w:pPr>
        <w:spacing w:before="240"/>
        <w:rPr>
          <w:lang w:val="en-US"/>
        </w:rPr>
      </w:pPr>
      <w:r>
        <w:rPr>
          <w:lang w:val="en-US"/>
        </w:rPr>
        <w:t>The substantial improvement of the fiscal balance compared to October 2025 Draft Budgetary Plan estimations (+1.1 pp) is mainly attributed to the</w:t>
      </w:r>
      <w:r w:rsidR="00A066B0" w:rsidRPr="00A066B0">
        <w:rPr>
          <w:lang w:val="en-US"/>
        </w:rPr>
        <w:t xml:space="preserve"> </w:t>
      </w:r>
      <w:r w:rsidR="00A066B0">
        <w:rPr>
          <w:lang w:val="en-US"/>
        </w:rPr>
        <w:t>lower than anticipated spending in several categories of the ordinary budget (central government and subsectors)</w:t>
      </w:r>
      <w:r>
        <w:rPr>
          <w:lang w:val="en-US"/>
        </w:rPr>
        <w:t xml:space="preserve"> </w:t>
      </w:r>
      <w:r w:rsidR="00A066B0">
        <w:rPr>
          <w:lang w:val="en-US"/>
        </w:rPr>
        <w:t xml:space="preserve">and the </w:t>
      </w:r>
      <w:r>
        <w:rPr>
          <w:lang w:val="en-US"/>
        </w:rPr>
        <w:t>overperformance of tax revenues and other own revenues of several general government entities</w:t>
      </w:r>
      <w:r w:rsidR="00BE4086">
        <w:rPr>
          <w:lang w:val="en-US"/>
        </w:rPr>
        <w:t>.</w:t>
      </w:r>
    </w:p>
    <w:p w14:paraId="31C1B7F4" w14:textId="77777777" w:rsidR="003E7BBB" w:rsidRDefault="003E7BBB" w:rsidP="00FE49FB">
      <w:pPr>
        <w:rPr>
          <w:highlight w:val="yellow"/>
          <w:lang w:val="en-US"/>
        </w:rPr>
      </w:pPr>
    </w:p>
    <w:p w14:paraId="6FBAD824" w14:textId="77777777" w:rsidR="00811BEC" w:rsidRDefault="00811BEC" w:rsidP="00FE49FB">
      <w:pPr>
        <w:rPr>
          <w:lang w:val="en-US"/>
        </w:rPr>
      </w:pPr>
    </w:p>
    <w:p w14:paraId="6E02DF60" w14:textId="77777777" w:rsidR="003E7BBB" w:rsidRDefault="003E7BBB" w:rsidP="00FE49FB">
      <w:pPr>
        <w:rPr>
          <w:lang w:val="en-US"/>
        </w:rPr>
      </w:pPr>
    </w:p>
    <w:p w14:paraId="7F406147" w14:textId="77777777" w:rsidR="003E7BBB" w:rsidRDefault="003E7BBB" w:rsidP="00FE49FB">
      <w:pPr>
        <w:rPr>
          <w:lang w:val="en-US"/>
        </w:rPr>
      </w:pPr>
    </w:p>
    <w:p w14:paraId="63E0E74A" w14:textId="77777777" w:rsidR="003E7BBB" w:rsidRDefault="003E7BBB" w:rsidP="00FE49FB">
      <w:pPr>
        <w:rPr>
          <w:lang w:val="en-US"/>
        </w:rPr>
      </w:pPr>
    </w:p>
    <w:p w14:paraId="4615DD85" w14:textId="3E07736D" w:rsidR="003E7BBB" w:rsidRDefault="003E7BBB" w:rsidP="00471D95">
      <w:pPr>
        <w:pStyle w:val="Caption"/>
        <w:spacing w:after="0"/>
      </w:pPr>
      <w:bookmarkStart w:id="15" w:name="_Toc228374158"/>
      <w:r>
        <w:lastRenderedPageBreak/>
        <w:t xml:space="preserve">Table </w:t>
      </w:r>
      <w:r w:rsidR="00B6443E">
        <w:fldChar w:fldCharType="begin"/>
      </w:r>
      <w:r>
        <w:instrText xml:space="preserve"> SEQ Table \* ARABIC </w:instrText>
      </w:r>
      <w:r w:rsidR="00B6443E">
        <w:fldChar w:fldCharType="separate"/>
      </w:r>
      <w:r w:rsidR="000B61F1">
        <w:rPr>
          <w:noProof/>
        </w:rPr>
        <w:t>4</w:t>
      </w:r>
      <w:r w:rsidR="00B6443E">
        <w:fldChar w:fldCharType="end"/>
      </w:r>
      <w:r>
        <w:t xml:space="preserve"> | </w:t>
      </w:r>
      <w:r w:rsidRPr="003E7BBB">
        <w:t>Budgetary projections</w:t>
      </w:r>
      <w:bookmarkEnd w:id="15"/>
    </w:p>
    <w:tbl>
      <w:tblPr>
        <w:tblW w:w="8902" w:type="dxa"/>
        <w:jc w:val="center"/>
        <w:tblLook w:val="04A0" w:firstRow="1" w:lastRow="0" w:firstColumn="1" w:lastColumn="0" w:noHBand="0" w:noVBand="1"/>
      </w:tblPr>
      <w:tblGrid>
        <w:gridCol w:w="3350"/>
        <w:gridCol w:w="1783"/>
        <w:gridCol w:w="989"/>
        <w:gridCol w:w="695"/>
        <w:gridCol w:w="695"/>
        <w:gridCol w:w="695"/>
        <w:gridCol w:w="695"/>
      </w:tblGrid>
      <w:tr w:rsidR="003E7BBB" w:rsidRPr="003E7BBB" w14:paraId="62C16AB3" w14:textId="77777777" w:rsidTr="00471D95">
        <w:trPr>
          <w:trHeight w:val="340"/>
          <w:jc w:val="center"/>
        </w:trPr>
        <w:tc>
          <w:tcPr>
            <w:tcW w:w="3350" w:type="dxa"/>
            <w:tcBorders>
              <w:top w:val="nil"/>
              <w:left w:val="nil"/>
              <w:bottom w:val="nil"/>
              <w:right w:val="single" w:sz="4" w:space="0" w:color="FFFFFF"/>
            </w:tcBorders>
            <w:shd w:val="clear" w:color="000000" w:fill="BFBFBF"/>
            <w:vAlign w:val="center"/>
            <w:hideMark/>
          </w:tcPr>
          <w:p w14:paraId="4FE016C6" w14:textId="77777777" w:rsidR="003E7BBB" w:rsidRPr="003E7BBB" w:rsidRDefault="003E7BBB" w:rsidP="003E7BBB">
            <w:pPr>
              <w:spacing w:after="0" w:line="240" w:lineRule="auto"/>
              <w:jc w:val="left"/>
              <w:rPr>
                <w:rFonts w:ascii="Calibri" w:eastAsia="Times New Roman" w:hAnsi="Calibri" w:cs="Calibri"/>
                <w:b/>
                <w:bCs/>
                <w:color w:val="000000"/>
                <w:sz w:val="22"/>
              </w:rPr>
            </w:pPr>
            <w:r w:rsidRPr="003E7BBB">
              <w:rPr>
                <w:rFonts w:ascii="Calibri" w:eastAsia="Times New Roman" w:hAnsi="Calibri" w:cs="Calibri"/>
                <w:b/>
                <w:bCs/>
                <w:color w:val="000000"/>
                <w:sz w:val="22"/>
              </w:rPr>
              <w:t> </w:t>
            </w:r>
          </w:p>
        </w:tc>
        <w:tc>
          <w:tcPr>
            <w:tcW w:w="1328" w:type="dxa"/>
            <w:tcBorders>
              <w:top w:val="nil"/>
              <w:left w:val="single" w:sz="4" w:space="0" w:color="FFFFFF"/>
              <w:bottom w:val="nil"/>
              <w:right w:val="single" w:sz="4" w:space="0" w:color="FFFFFF" w:themeColor="background1"/>
            </w:tcBorders>
            <w:shd w:val="clear" w:color="000000" w:fill="BFBFBF"/>
            <w:vAlign w:val="center"/>
            <w:hideMark/>
          </w:tcPr>
          <w:p w14:paraId="62D69380" w14:textId="77777777" w:rsidR="003E7BBB" w:rsidRPr="003E7BBB" w:rsidRDefault="003E7BBB" w:rsidP="00811BEC">
            <w:pPr>
              <w:spacing w:after="0" w:line="240" w:lineRule="auto"/>
              <w:jc w:val="left"/>
              <w:rPr>
                <w:rFonts w:ascii="Calibri" w:eastAsia="Times New Roman" w:hAnsi="Calibri" w:cs="Calibri"/>
                <w:b/>
                <w:bCs/>
                <w:color w:val="000000"/>
                <w:sz w:val="22"/>
              </w:rPr>
            </w:pPr>
            <w:r w:rsidRPr="003E7BBB">
              <w:rPr>
                <w:rFonts w:ascii="Calibri" w:eastAsia="Times New Roman" w:hAnsi="Calibri" w:cs="Calibri"/>
                <w:b/>
                <w:bCs/>
                <w:color w:val="000000"/>
                <w:sz w:val="22"/>
              </w:rPr>
              <w:t>ESA Code</w:t>
            </w:r>
          </w:p>
        </w:tc>
        <w:tc>
          <w:tcPr>
            <w:tcW w:w="1530" w:type="dxa"/>
            <w:tcBorders>
              <w:top w:val="nil"/>
              <w:left w:val="single" w:sz="4" w:space="0" w:color="FFFFFF" w:themeColor="background1"/>
              <w:bottom w:val="nil"/>
              <w:right w:val="single" w:sz="4" w:space="0" w:color="FFFFFF" w:themeColor="background1"/>
            </w:tcBorders>
            <w:shd w:val="clear" w:color="000000" w:fill="BFBFBF"/>
            <w:vAlign w:val="center"/>
            <w:hideMark/>
          </w:tcPr>
          <w:p w14:paraId="5CE59314" w14:textId="77777777" w:rsidR="003E7BBB" w:rsidRPr="003E7BBB" w:rsidRDefault="003E7BBB" w:rsidP="00811BEC">
            <w:pPr>
              <w:spacing w:after="0" w:line="240" w:lineRule="auto"/>
              <w:jc w:val="center"/>
              <w:rPr>
                <w:rFonts w:ascii="Calibri" w:eastAsia="Times New Roman" w:hAnsi="Calibri" w:cs="Calibri"/>
                <w:b/>
                <w:bCs/>
                <w:color w:val="000000"/>
                <w:sz w:val="22"/>
              </w:rPr>
            </w:pPr>
            <w:r w:rsidRPr="003E7BBB">
              <w:rPr>
                <w:rFonts w:ascii="Calibri" w:eastAsia="Times New Roman" w:hAnsi="Calibri" w:cs="Calibri"/>
                <w:b/>
                <w:bCs/>
                <w:color w:val="000000"/>
                <w:sz w:val="22"/>
              </w:rPr>
              <w:t>2023 (Levels)</w:t>
            </w:r>
          </w:p>
        </w:tc>
        <w:tc>
          <w:tcPr>
            <w:tcW w:w="695" w:type="dxa"/>
            <w:tcBorders>
              <w:top w:val="nil"/>
              <w:left w:val="single" w:sz="4" w:space="0" w:color="FFFFFF" w:themeColor="background1"/>
              <w:bottom w:val="nil"/>
              <w:right w:val="nil"/>
            </w:tcBorders>
            <w:shd w:val="clear" w:color="000000" w:fill="BFBFBF"/>
            <w:vAlign w:val="center"/>
            <w:hideMark/>
          </w:tcPr>
          <w:p w14:paraId="6E485096" w14:textId="77777777" w:rsidR="003E7BBB" w:rsidRPr="003E7BBB" w:rsidRDefault="003E7BBB" w:rsidP="00811BEC">
            <w:pPr>
              <w:spacing w:after="0" w:line="240" w:lineRule="auto"/>
              <w:jc w:val="center"/>
              <w:rPr>
                <w:rFonts w:ascii="Calibri" w:eastAsia="Times New Roman" w:hAnsi="Calibri" w:cs="Calibri"/>
                <w:b/>
                <w:bCs/>
                <w:color w:val="000000"/>
                <w:sz w:val="22"/>
              </w:rPr>
            </w:pPr>
            <w:r w:rsidRPr="003E7BBB">
              <w:rPr>
                <w:rFonts w:ascii="Calibri" w:eastAsia="Times New Roman" w:hAnsi="Calibri" w:cs="Calibri"/>
                <w:b/>
                <w:bCs/>
                <w:color w:val="000000"/>
                <w:sz w:val="22"/>
              </w:rPr>
              <w:t>2023</w:t>
            </w:r>
          </w:p>
        </w:tc>
        <w:tc>
          <w:tcPr>
            <w:tcW w:w="695" w:type="dxa"/>
            <w:tcBorders>
              <w:top w:val="nil"/>
              <w:left w:val="nil"/>
              <w:bottom w:val="nil"/>
              <w:right w:val="nil"/>
            </w:tcBorders>
            <w:shd w:val="clear" w:color="000000" w:fill="BFBFBF"/>
            <w:vAlign w:val="center"/>
            <w:hideMark/>
          </w:tcPr>
          <w:p w14:paraId="67488107" w14:textId="77777777" w:rsidR="003E7BBB" w:rsidRPr="003E7BBB" w:rsidRDefault="003E7BBB" w:rsidP="00811BEC">
            <w:pPr>
              <w:spacing w:after="0" w:line="240" w:lineRule="auto"/>
              <w:jc w:val="center"/>
              <w:rPr>
                <w:rFonts w:ascii="Calibri" w:eastAsia="Times New Roman" w:hAnsi="Calibri" w:cs="Calibri"/>
                <w:b/>
                <w:bCs/>
                <w:color w:val="000000"/>
                <w:sz w:val="22"/>
              </w:rPr>
            </w:pPr>
            <w:r w:rsidRPr="003E7BBB">
              <w:rPr>
                <w:rFonts w:ascii="Calibri" w:eastAsia="Times New Roman" w:hAnsi="Calibri" w:cs="Calibri"/>
                <w:b/>
                <w:bCs/>
                <w:color w:val="000000"/>
                <w:sz w:val="22"/>
              </w:rPr>
              <w:t>2024</w:t>
            </w:r>
          </w:p>
        </w:tc>
        <w:tc>
          <w:tcPr>
            <w:tcW w:w="695" w:type="dxa"/>
            <w:tcBorders>
              <w:top w:val="nil"/>
              <w:left w:val="nil"/>
              <w:bottom w:val="nil"/>
              <w:right w:val="nil"/>
            </w:tcBorders>
            <w:shd w:val="clear" w:color="000000" w:fill="BFBFBF"/>
            <w:vAlign w:val="center"/>
            <w:hideMark/>
          </w:tcPr>
          <w:p w14:paraId="638AD12B" w14:textId="77777777" w:rsidR="003E7BBB" w:rsidRPr="003E7BBB" w:rsidRDefault="003E7BBB" w:rsidP="00811BEC">
            <w:pPr>
              <w:spacing w:after="0" w:line="240" w:lineRule="auto"/>
              <w:jc w:val="center"/>
              <w:rPr>
                <w:rFonts w:ascii="Calibri" w:eastAsia="Times New Roman" w:hAnsi="Calibri" w:cs="Calibri"/>
                <w:b/>
                <w:bCs/>
                <w:color w:val="000000"/>
                <w:sz w:val="22"/>
              </w:rPr>
            </w:pPr>
            <w:r w:rsidRPr="003E7BBB">
              <w:rPr>
                <w:rFonts w:ascii="Calibri" w:eastAsia="Times New Roman" w:hAnsi="Calibri" w:cs="Calibri"/>
                <w:b/>
                <w:bCs/>
                <w:color w:val="000000"/>
                <w:sz w:val="22"/>
              </w:rPr>
              <w:t>2025</w:t>
            </w:r>
          </w:p>
        </w:tc>
        <w:tc>
          <w:tcPr>
            <w:tcW w:w="695" w:type="dxa"/>
            <w:tcBorders>
              <w:top w:val="nil"/>
              <w:left w:val="nil"/>
              <w:bottom w:val="nil"/>
              <w:right w:val="nil"/>
            </w:tcBorders>
            <w:shd w:val="clear" w:color="000000" w:fill="BFBFBF"/>
            <w:vAlign w:val="center"/>
            <w:hideMark/>
          </w:tcPr>
          <w:p w14:paraId="5F87407A" w14:textId="77777777" w:rsidR="003E7BBB" w:rsidRPr="003E7BBB" w:rsidRDefault="003E7BBB" w:rsidP="00811BEC">
            <w:pPr>
              <w:spacing w:after="0" w:line="240" w:lineRule="auto"/>
              <w:jc w:val="center"/>
              <w:rPr>
                <w:rFonts w:ascii="Calibri" w:eastAsia="Times New Roman" w:hAnsi="Calibri" w:cs="Calibri"/>
                <w:b/>
                <w:bCs/>
                <w:color w:val="000000"/>
                <w:sz w:val="22"/>
              </w:rPr>
            </w:pPr>
            <w:r w:rsidRPr="003E7BBB">
              <w:rPr>
                <w:rFonts w:ascii="Calibri" w:eastAsia="Times New Roman" w:hAnsi="Calibri" w:cs="Calibri"/>
                <w:b/>
                <w:bCs/>
                <w:color w:val="000000"/>
                <w:sz w:val="22"/>
              </w:rPr>
              <w:t>2026</w:t>
            </w:r>
          </w:p>
        </w:tc>
      </w:tr>
      <w:tr w:rsidR="003E7BBB" w:rsidRPr="00A87424" w14:paraId="2CE1BC4C" w14:textId="77777777" w:rsidTr="00471D95">
        <w:trPr>
          <w:trHeight w:val="340"/>
          <w:jc w:val="center"/>
        </w:trPr>
        <w:tc>
          <w:tcPr>
            <w:tcW w:w="3350" w:type="dxa"/>
            <w:tcBorders>
              <w:top w:val="nil"/>
              <w:left w:val="nil"/>
              <w:bottom w:val="nil"/>
              <w:right w:val="single" w:sz="4" w:space="0" w:color="FFFFFF"/>
            </w:tcBorders>
            <w:shd w:val="clear" w:color="000000" w:fill="D6DCE4"/>
            <w:vAlign w:val="center"/>
            <w:hideMark/>
          </w:tcPr>
          <w:p w14:paraId="312741D3" w14:textId="77777777" w:rsidR="003E7BBB" w:rsidRPr="00A87424" w:rsidRDefault="003E7BBB" w:rsidP="00811BEC">
            <w:pPr>
              <w:pStyle w:val="Tabletext"/>
              <w:spacing w:line="260" w:lineRule="exact"/>
              <w:rPr>
                <w:b/>
                <w:sz w:val="24"/>
              </w:rPr>
            </w:pPr>
            <w:r w:rsidRPr="00A87424">
              <w:rPr>
                <w:b/>
                <w:sz w:val="24"/>
              </w:rPr>
              <w:t>Revenue</w:t>
            </w:r>
          </w:p>
        </w:tc>
        <w:tc>
          <w:tcPr>
            <w:tcW w:w="1328" w:type="dxa"/>
            <w:tcBorders>
              <w:top w:val="nil"/>
              <w:left w:val="single" w:sz="4" w:space="0" w:color="FFFFFF"/>
              <w:bottom w:val="nil"/>
              <w:right w:val="single" w:sz="4" w:space="0" w:color="FFFFFF" w:themeColor="background1"/>
            </w:tcBorders>
            <w:shd w:val="clear" w:color="000000" w:fill="D6DCE4"/>
            <w:vAlign w:val="center"/>
            <w:hideMark/>
          </w:tcPr>
          <w:p w14:paraId="4A150B9A" w14:textId="77777777" w:rsidR="003E7BBB" w:rsidRPr="00A87424" w:rsidRDefault="003E7BBB" w:rsidP="00811BEC">
            <w:pPr>
              <w:pStyle w:val="Tabletext"/>
              <w:spacing w:line="260" w:lineRule="exact"/>
              <w:rPr>
                <w:b/>
                <w:sz w:val="24"/>
              </w:rPr>
            </w:pPr>
            <w:r w:rsidRPr="00A87424">
              <w:rPr>
                <w:b/>
                <w:sz w:val="24"/>
              </w:rPr>
              <w:t> </w:t>
            </w:r>
          </w:p>
        </w:tc>
        <w:tc>
          <w:tcPr>
            <w:tcW w:w="1530" w:type="dxa"/>
            <w:tcBorders>
              <w:top w:val="nil"/>
              <w:left w:val="single" w:sz="4" w:space="0" w:color="FFFFFF" w:themeColor="background1"/>
              <w:bottom w:val="nil"/>
              <w:right w:val="single" w:sz="4" w:space="0" w:color="FFFFFF" w:themeColor="background1"/>
            </w:tcBorders>
            <w:shd w:val="clear" w:color="000000" w:fill="D6DCE4"/>
            <w:vAlign w:val="center"/>
            <w:hideMark/>
          </w:tcPr>
          <w:p w14:paraId="246AE585" w14:textId="77777777" w:rsidR="003E7BBB" w:rsidRPr="009E74CC" w:rsidRDefault="003E7BBB" w:rsidP="00811BEC">
            <w:pPr>
              <w:pStyle w:val="Tabletext"/>
              <w:spacing w:line="260" w:lineRule="exact"/>
              <w:jc w:val="center"/>
              <w:rPr>
                <w:sz w:val="24"/>
              </w:rPr>
            </w:pPr>
            <w:r w:rsidRPr="009E74CC">
              <w:rPr>
                <w:sz w:val="24"/>
              </w:rPr>
              <w:t>bn NAC</w:t>
            </w:r>
          </w:p>
        </w:tc>
        <w:tc>
          <w:tcPr>
            <w:tcW w:w="2780" w:type="dxa"/>
            <w:gridSpan w:val="4"/>
            <w:tcBorders>
              <w:top w:val="nil"/>
              <w:left w:val="single" w:sz="4" w:space="0" w:color="FFFFFF" w:themeColor="background1"/>
              <w:bottom w:val="nil"/>
              <w:right w:val="nil"/>
            </w:tcBorders>
            <w:shd w:val="clear" w:color="000000" w:fill="D6DCE4"/>
            <w:vAlign w:val="center"/>
            <w:hideMark/>
          </w:tcPr>
          <w:p w14:paraId="33F3D93D" w14:textId="77777777" w:rsidR="003E7BBB" w:rsidRPr="009E74CC" w:rsidRDefault="003E7BBB" w:rsidP="00811BEC">
            <w:pPr>
              <w:pStyle w:val="Tabletext"/>
              <w:spacing w:line="260" w:lineRule="exact"/>
              <w:jc w:val="center"/>
              <w:rPr>
                <w:sz w:val="24"/>
              </w:rPr>
            </w:pPr>
            <w:r w:rsidRPr="009E74CC">
              <w:rPr>
                <w:sz w:val="24"/>
              </w:rPr>
              <w:t>% GDP</w:t>
            </w:r>
          </w:p>
        </w:tc>
      </w:tr>
      <w:tr w:rsidR="00811BEC" w:rsidRPr="003E7BBB" w14:paraId="47F1007F" w14:textId="77777777" w:rsidTr="00471D95">
        <w:trPr>
          <w:trHeight w:val="340"/>
          <w:jc w:val="center"/>
        </w:trPr>
        <w:tc>
          <w:tcPr>
            <w:tcW w:w="3350" w:type="dxa"/>
            <w:tcBorders>
              <w:top w:val="nil"/>
              <w:left w:val="nil"/>
              <w:bottom w:val="single" w:sz="4" w:space="0" w:color="FFFFFF"/>
              <w:right w:val="single" w:sz="4" w:space="0" w:color="FFFFFF"/>
            </w:tcBorders>
            <w:shd w:val="clear" w:color="000000" w:fill="F2F2F2"/>
            <w:vAlign w:val="center"/>
            <w:hideMark/>
          </w:tcPr>
          <w:p w14:paraId="6B017FDB" w14:textId="77777777" w:rsidR="003E7BBB" w:rsidRPr="003E7BBB" w:rsidRDefault="003E7BBB" w:rsidP="00811BEC">
            <w:pPr>
              <w:pStyle w:val="Tabletext"/>
              <w:spacing w:line="260" w:lineRule="exact"/>
            </w:pPr>
            <w:r w:rsidRPr="003E7BBB">
              <w:t>1. Taxes on production and imports</w:t>
            </w:r>
          </w:p>
        </w:tc>
        <w:tc>
          <w:tcPr>
            <w:tcW w:w="1328" w:type="dxa"/>
            <w:tcBorders>
              <w:top w:val="nil"/>
              <w:left w:val="single" w:sz="4" w:space="0" w:color="FFFFFF"/>
              <w:bottom w:val="single" w:sz="4" w:space="0" w:color="FFFFFF"/>
              <w:right w:val="single" w:sz="4" w:space="0" w:color="FFFFFF" w:themeColor="background1"/>
            </w:tcBorders>
            <w:shd w:val="clear" w:color="000000" w:fill="F2F2F2"/>
            <w:vAlign w:val="center"/>
            <w:hideMark/>
          </w:tcPr>
          <w:p w14:paraId="3392E301" w14:textId="77777777" w:rsidR="003E7BBB" w:rsidRPr="003E7BBB" w:rsidRDefault="003E7BBB" w:rsidP="00811BEC">
            <w:pPr>
              <w:pStyle w:val="Tabletext"/>
              <w:spacing w:line="260" w:lineRule="exact"/>
            </w:pPr>
            <w:r w:rsidRPr="003E7BBB">
              <w:t>D.2</w:t>
            </w:r>
          </w:p>
        </w:tc>
        <w:tc>
          <w:tcPr>
            <w:tcW w:w="1530" w:type="dxa"/>
            <w:tcBorders>
              <w:top w:val="nil"/>
              <w:left w:val="single" w:sz="4" w:space="0" w:color="FFFFFF" w:themeColor="background1"/>
              <w:bottom w:val="single" w:sz="4" w:space="0" w:color="FFFFFF"/>
              <w:right w:val="single" w:sz="4" w:space="0" w:color="FFFFFF" w:themeColor="background1"/>
            </w:tcBorders>
            <w:shd w:val="clear" w:color="000000" w:fill="F2F2F2"/>
            <w:vAlign w:val="center"/>
            <w:hideMark/>
          </w:tcPr>
          <w:p w14:paraId="251B6D50" w14:textId="77777777" w:rsidR="003E7BBB" w:rsidRPr="003E7BBB" w:rsidRDefault="003E7BBB" w:rsidP="00811BEC">
            <w:pPr>
              <w:pStyle w:val="Tabletext"/>
              <w:spacing w:line="260" w:lineRule="exact"/>
              <w:jc w:val="center"/>
            </w:pPr>
            <w:r w:rsidRPr="003E7BBB">
              <w:t>38.4</w:t>
            </w:r>
          </w:p>
        </w:tc>
        <w:tc>
          <w:tcPr>
            <w:tcW w:w="695" w:type="dxa"/>
            <w:tcBorders>
              <w:top w:val="nil"/>
              <w:left w:val="single" w:sz="4" w:space="0" w:color="FFFFFF" w:themeColor="background1"/>
              <w:bottom w:val="single" w:sz="4" w:space="0" w:color="FFFFFF"/>
              <w:right w:val="nil"/>
            </w:tcBorders>
            <w:shd w:val="clear" w:color="000000" w:fill="F2F2F2"/>
            <w:vAlign w:val="center"/>
            <w:hideMark/>
          </w:tcPr>
          <w:p w14:paraId="283D68A3" w14:textId="77777777" w:rsidR="003E7BBB" w:rsidRPr="003E7BBB" w:rsidRDefault="003E7BBB" w:rsidP="00811BEC">
            <w:pPr>
              <w:pStyle w:val="Tabletext"/>
              <w:spacing w:line="260" w:lineRule="exact"/>
              <w:jc w:val="center"/>
            </w:pPr>
            <w:r w:rsidRPr="003E7BBB">
              <w:t>17.1</w:t>
            </w:r>
          </w:p>
        </w:tc>
        <w:tc>
          <w:tcPr>
            <w:tcW w:w="695" w:type="dxa"/>
            <w:tcBorders>
              <w:top w:val="nil"/>
              <w:left w:val="nil"/>
              <w:bottom w:val="single" w:sz="4" w:space="0" w:color="FFFFFF"/>
              <w:right w:val="nil"/>
            </w:tcBorders>
            <w:shd w:val="clear" w:color="000000" w:fill="F2F2F2"/>
            <w:vAlign w:val="center"/>
            <w:hideMark/>
          </w:tcPr>
          <w:p w14:paraId="56E3EF22" w14:textId="77777777" w:rsidR="003E7BBB" w:rsidRPr="003E7BBB" w:rsidRDefault="003E7BBB" w:rsidP="00811BEC">
            <w:pPr>
              <w:pStyle w:val="Tabletext"/>
              <w:spacing w:line="260" w:lineRule="exact"/>
              <w:jc w:val="center"/>
            </w:pPr>
            <w:r w:rsidRPr="003E7BBB">
              <w:t>17.0</w:t>
            </w:r>
          </w:p>
        </w:tc>
        <w:tc>
          <w:tcPr>
            <w:tcW w:w="695" w:type="dxa"/>
            <w:tcBorders>
              <w:top w:val="nil"/>
              <w:left w:val="nil"/>
              <w:bottom w:val="single" w:sz="4" w:space="0" w:color="FFFFFF"/>
              <w:right w:val="nil"/>
            </w:tcBorders>
            <w:shd w:val="clear" w:color="000000" w:fill="F2F2F2"/>
            <w:vAlign w:val="center"/>
            <w:hideMark/>
          </w:tcPr>
          <w:p w14:paraId="0159D4DB" w14:textId="77777777" w:rsidR="003E7BBB" w:rsidRPr="003E7BBB" w:rsidRDefault="003E7BBB" w:rsidP="00811BEC">
            <w:pPr>
              <w:pStyle w:val="Tabletext"/>
              <w:spacing w:line="260" w:lineRule="exact"/>
              <w:jc w:val="center"/>
            </w:pPr>
            <w:r w:rsidRPr="003E7BBB">
              <w:t>17.2</w:t>
            </w:r>
          </w:p>
        </w:tc>
        <w:tc>
          <w:tcPr>
            <w:tcW w:w="695" w:type="dxa"/>
            <w:tcBorders>
              <w:top w:val="nil"/>
              <w:left w:val="nil"/>
              <w:bottom w:val="single" w:sz="4" w:space="0" w:color="FFFFFF"/>
              <w:right w:val="nil"/>
            </w:tcBorders>
            <w:shd w:val="clear" w:color="000000" w:fill="F2F2F2"/>
            <w:vAlign w:val="center"/>
            <w:hideMark/>
          </w:tcPr>
          <w:p w14:paraId="6E477F71" w14:textId="77777777" w:rsidR="003E7BBB" w:rsidRPr="003E7BBB" w:rsidRDefault="003E7BBB" w:rsidP="00811BEC">
            <w:pPr>
              <w:pStyle w:val="Tabletext"/>
              <w:spacing w:line="260" w:lineRule="exact"/>
              <w:jc w:val="center"/>
            </w:pPr>
            <w:r w:rsidRPr="003E7BBB">
              <w:t>17.2</w:t>
            </w:r>
          </w:p>
        </w:tc>
      </w:tr>
      <w:tr w:rsidR="00811BEC" w:rsidRPr="003E7BBB" w14:paraId="65145F73" w14:textId="77777777" w:rsidTr="00471D95">
        <w:trPr>
          <w:trHeight w:val="340"/>
          <w:jc w:val="center"/>
        </w:trPr>
        <w:tc>
          <w:tcPr>
            <w:tcW w:w="3350" w:type="dxa"/>
            <w:tcBorders>
              <w:top w:val="nil"/>
              <w:left w:val="nil"/>
              <w:bottom w:val="single" w:sz="4" w:space="0" w:color="FFFFFF"/>
              <w:right w:val="single" w:sz="4" w:space="0" w:color="FFFFFF"/>
            </w:tcBorders>
            <w:shd w:val="clear" w:color="000000" w:fill="D9D9D9"/>
            <w:vAlign w:val="center"/>
            <w:hideMark/>
          </w:tcPr>
          <w:p w14:paraId="03ACE37A" w14:textId="77777777" w:rsidR="003E7BBB" w:rsidRPr="003E7BBB" w:rsidRDefault="003E7BBB" w:rsidP="00811BEC">
            <w:pPr>
              <w:pStyle w:val="Tabletext"/>
              <w:spacing w:line="260" w:lineRule="exact"/>
            </w:pPr>
            <w:r w:rsidRPr="003E7BBB">
              <w:t xml:space="preserve">2. Current taxes on income, </w:t>
            </w:r>
            <w:r w:rsidR="00471D95">
              <w:br/>
            </w:r>
            <w:r w:rsidRPr="003E7BBB">
              <w:t>wealth, etc</w:t>
            </w:r>
            <w:r w:rsidR="00471D95">
              <w:t>.</w:t>
            </w:r>
          </w:p>
        </w:tc>
        <w:tc>
          <w:tcPr>
            <w:tcW w:w="1328" w:type="dxa"/>
            <w:tcBorders>
              <w:top w:val="nil"/>
              <w:left w:val="single" w:sz="4" w:space="0" w:color="FFFFFF"/>
              <w:bottom w:val="single" w:sz="4" w:space="0" w:color="FFFFFF"/>
              <w:right w:val="single" w:sz="4" w:space="0" w:color="FFFFFF" w:themeColor="background1"/>
            </w:tcBorders>
            <w:shd w:val="clear" w:color="000000" w:fill="D9D9D9"/>
            <w:vAlign w:val="center"/>
            <w:hideMark/>
          </w:tcPr>
          <w:p w14:paraId="1A9F82E9" w14:textId="77777777" w:rsidR="003E7BBB" w:rsidRPr="003E7BBB" w:rsidRDefault="003E7BBB" w:rsidP="00811BEC">
            <w:pPr>
              <w:pStyle w:val="Tabletext"/>
              <w:spacing w:line="260" w:lineRule="exact"/>
            </w:pPr>
            <w:r w:rsidRPr="003E7BBB">
              <w:t>D.5</w:t>
            </w:r>
          </w:p>
        </w:tc>
        <w:tc>
          <w:tcPr>
            <w:tcW w:w="1530" w:type="dxa"/>
            <w:tcBorders>
              <w:top w:val="nil"/>
              <w:left w:val="single" w:sz="4" w:space="0" w:color="FFFFFF" w:themeColor="background1"/>
              <w:bottom w:val="single" w:sz="4" w:space="0" w:color="FFFFFF"/>
              <w:right w:val="single" w:sz="4" w:space="0" w:color="FFFFFF" w:themeColor="background1"/>
            </w:tcBorders>
            <w:shd w:val="clear" w:color="000000" w:fill="D9D9D9"/>
            <w:vAlign w:val="center"/>
            <w:hideMark/>
          </w:tcPr>
          <w:p w14:paraId="746DD1F9" w14:textId="77777777" w:rsidR="003E7BBB" w:rsidRPr="003E7BBB" w:rsidRDefault="003E7BBB" w:rsidP="00811BEC">
            <w:pPr>
              <w:pStyle w:val="Tabletext"/>
              <w:spacing w:line="260" w:lineRule="exact"/>
              <w:jc w:val="center"/>
            </w:pPr>
            <w:r w:rsidRPr="003E7BBB">
              <w:t>22.8</w:t>
            </w:r>
          </w:p>
        </w:tc>
        <w:tc>
          <w:tcPr>
            <w:tcW w:w="695" w:type="dxa"/>
            <w:tcBorders>
              <w:top w:val="nil"/>
              <w:left w:val="single" w:sz="4" w:space="0" w:color="FFFFFF" w:themeColor="background1"/>
              <w:bottom w:val="single" w:sz="4" w:space="0" w:color="FFFFFF"/>
              <w:right w:val="nil"/>
            </w:tcBorders>
            <w:shd w:val="clear" w:color="000000" w:fill="D9D9D9"/>
            <w:vAlign w:val="center"/>
            <w:hideMark/>
          </w:tcPr>
          <w:p w14:paraId="341D398A" w14:textId="77777777" w:rsidR="003E7BBB" w:rsidRPr="003E7BBB" w:rsidRDefault="003E7BBB" w:rsidP="00811BEC">
            <w:pPr>
              <w:pStyle w:val="Tabletext"/>
              <w:spacing w:line="260" w:lineRule="exact"/>
              <w:jc w:val="center"/>
            </w:pPr>
            <w:r w:rsidRPr="003E7BBB">
              <w:t>10.1</w:t>
            </w:r>
          </w:p>
        </w:tc>
        <w:tc>
          <w:tcPr>
            <w:tcW w:w="695" w:type="dxa"/>
            <w:tcBorders>
              <w:top w:val="nil"/>
              <w:left w:val="nil"/>
              <w:bottom w:val="single" w:sz="4" w:space="0" w:color="FFFFFF"/>
              <w:right w:val="nil"/>
            </w:tcBorders>
            <w:shd w:val="clear" w:color="000000" w:fill="D9D9D9"/>
            <w:vAlign w:val="center"/>
            <w:hideMark/>
          </w:tcPr>
          <w:p w14:paraId="6035352D" w14:textId="77777777" w:rsidR="003E7BBB" w:rsidRPr="003E7BBB" w:rsidRDefault="003E7BBB" w:rsidP="00811BEC">
            <w:pPr>
              <w:pStyle w:val="Tabletext"/>
              <w:spacing w:line="260" w:lineRule="exact"/>
              <w:jc w:val="center"/>
            </w:pPr>
            <w:r w:rsidRPr="003E7BBB">
              <w:t>11.2</w:t>
            </w:r>
          </w:p>
        </w:tc>
        <w:tc>
          <w:tcPr>
            <w:tcW w:w="695" w:type="dxa"/>
            <w:tcBorders>
              <w:top w:val="nil"/>
              <w:left w:val="nil"/>
              <w:bottom w:val="single" w:sz="4" w:space="0" w:color="FFFFFF"/>
              <w:right w:val="nil"/>
            </w:tcBorders>
            <w:shd w:val="clear" w:color="000000" w:fill="D9D9D9"/>
            <w:vAlign w:val="center"/>
            <w:hideMark/>
          </w:tcPr>
          <w:p w14:paraId="7445FB93" w14:textId="77777777" w:rsidR="003E7BBB" w:rsidRPr="003E7BBB" w:rsidRDefault="003E7BBB" w:rsidP="00811BEC">
            <w:pPr>
              <w:pStyle w:val="Tabletext"/>
              <w:spacing w:line="260" w:lineRule="exact"/>
              <w:jc w:val="center"/>
            </w:pPr>
            <w:r w:rsidRPr="003E7BBB">
              <w:t>11.1</w:t>
            </w:r>
          </w:p>
        </w:tc>
        <w:tc>
          <w:tcPr>
            <w:tcW w:w="695" w:type="dxa"/>
            <w:tcBorders>
              <w:top w:val="nil"/>
              <w:left w:val="nil"/>
              <w:bottom w:val="single" w:sz="4" w:space="0" w:color="FFFFFF"/>
              <w:right w:val="nil"/>
            </w:tcBorders>
            <w:shd w:val="clear" w:color="000000" w:fill="D9D9D9"/>
            <w:vAlign w:val="center"/>
            <w:hideMark/>
          </w:tcPr>
          <w:p w14:paraId="3BD13CC0" w14:textId="77777777" w:rsidR="003E7BBB" w:rsidRPr="003E7BBB" w:rsidRDefault="003E7BBB" w:rsidP="00811BEC">
            <w:pPr>
              <w:pStyle w:val="Tabletext"/>
              <w:spacing w:line="260" w:lineRule="exact"/>
              <w:jc w:val="center"/>
            </w:pPr>
            <w:r w:rsidRPr="003E7BBB">
              <w:t>10.8</w:t>
            </w:r>
          </w:p>
        </w:tc>
      </w:tr>
      <w:tr w:rsidR="00811BEC" w:rsidRPr="003E7BBB" w14:paraId="03ABBB6C" w14:textId="77777777" w:rsidTr="00471D95">
        <w:trPr>
          <w:trHeight w:val="340"/>
          <w:jc w:val="center"/>
        </w:trPr>
        <w:tc>
          <w:tcPr>
            <w:tcW w:w="3350" w:type="dxa"/>
            <w:tcBorders>
              <w:top w:val="nil"/>
              <w:left w:val="nil"/>
              <w:bottom w:val="single" w:sz="4" w:space="0" w:color="FFFFFF"/>
              <w:right w:val="single" w:sz="4" w:space="0" w:color="FFFFFF"/>
            </w:tcBorders>
            <w:shd w:val="clear" w:color="000000" w:fill="F2F2F2"/>
            <w:vAlign w:val="center"/>
            <w:hideMark/>
          </w:tcPr>
          <w:p w14:paraId="599EA67A" w14:textId="77777777" w:rsidR="003E7BBB" w:rsidRPr="003E7BBB" w:rsidRDefault="003E7BBB" w:rsidP="00811BEC">
            <w:pPr>
              <w:pStyle w:val="Tabletext"/>
              <w:spacing w:line="260" w:lineRule="exact"/>
            </w:pPr>
            <w:r w:rsidRPr="003E7BBB">
              <w:t>3. Social contributions</w:t>
            </w:r>
          </w:p>
        </w:tc>
        <w:tc>
          <w:tcPr>
            <w:tcW w:w="1328" w:type="dxa"/>
            <w:tcBorders>
              <w:top w:val="nil"/>
              <w:left w:val="single" w:sz="4" w:space="0" w:color="FFFFFF"/>
              <w:bottom w:val="single" w:sz="4" w:space="0" w:color="FFFFFF"/>
              <w:right w:val="single" w:sz="4" w:space="0" w:color="FFFFFF" w:themeColor="background1"/>
            </w:tcBorders>
            <w:shd w:val="clear" w:color="000000" w:fill="F2F2F2"/>
            <w:vAlign w:val="center"/>
            <w:hideMark/>
          </w:tcPr>
          <w:p w14:paraId="36657F25" w14:textId="77777777" w:rsidR="003E7BBB" w:rsidRPr="003E7BBB" w:rsidRDefault="003E7BBB" w:rsidP="00811BEC">
            <w:pPr>
              <w:pStyle w:val="Tabletext"/>
              <w:spacing w:line="260" w:lineRule="exact"/>
            </w:pPr>
            <w:r w:rsidRPr="003E7BBB">
              <w:t>D.61</w:t>
            </w:r>
          </w:p>
        </w:tc>
        <w:tc>
          <w:tcPr>
            <w:tcW w:w="1530" w:type="dxa"/>
            <w:tcBorders>
              <w:top w:val="nil"/>
              <w:left w:val="single" w:sz="4" w:space="0" w:color="FFFFFF" w:themeColor="background1"/>
              <w:bottom w:val="single" w:sz="4" w:space="0" w:color="FFFFFF"/>
              <w:right w:val="single" w:sz="4" w:space="0" w:color="FFFFFF" w:themeColor="background1"/>
            </w:tcBorders>
            <w:shd w:val="clear" w:color="000000" w:fill="F2F2F2"/>
            <w:vAlign w:val="center"/>
            <w:hideMark/>
          </w:tcPr>
          <w:p w14:paraId="6ECB8CB3" w14:textId="77777777" w:rsidR="003E7BBB" w:rsidRPr="003E7BBB" w:rsidRDefault="003E7BBB" w:rsidP="00811BEC">
            <w:pPr>
              <w:pStyle w:val="Tabletext"/>
              <w:spacing w:line="260" w:lineRule="exact"/>
              <w:jc w:val="center"/>
            </w:pPr>
            <w:r w:rsidRPr="003E7BBB">
              <w:t>29.2</w:t>
            </w:r>
          </w:p>
        </w:tc>
        <w:tc>
          <w:tcPr>
            <w:tcW w:w="695" w:type="dxa"/>
            <w:tcBorders>
              <w:top w:val="nil"/>
              <w:left w:val="single" w:sz="4" w:space="0" w:color="FFFFFF" w:themeColor="background1"/>
              <w:bottom w:val="single" w:sz="4" w:space="0" w:color="FFFFFF"/>
              <w:right w:val="nil"/>
            </w:tcBorders>
            <w:shd w:val="clear" w:color="000000" w:fill="F2F2F2"/>
            <w:vAlign w:val="center"/>
            <w:hideMark/>
          </w:tcPr>
          <w:p w14:paraId="11E19C33" w14:textId="77777777" w:rsidR="003E7BBB" w:rsidRPr="003E7BBB" w:rsidRDefault="003E7BBB" w:rsidP="00811BEC">
            <w:pPr>
              <w:pStyle w:val="Tabletext"/>
              <w:spacing w:line="260" w:lineRule="exact"/>
              <w:jc w:val="center"/>
            </w:pPr>
            <w:r w:rsidRPr="003E7BBB">
              <w:t>13.0</w:t>
            </w:r>
          </w:p>
        </w:tc>
        <w:tc>
          <w:tcPr>
            <w:tcW w:w="695" w:type="dxa"/>
            <w:tcBorders>
              <w:top w:val="nil"/>
              <w:left w:val="nil"/>
              <w:bottom w:val="single" w:sz="4" w:space="0" w:color="FFFFFF"/>
              <w:right w:val="nil"/>
            </w:tcBorders>
            <w:shd w:val="clear" w:color="000000" w:fill="F2F2F2"/>
            <w:vAlign w:val="center"/>
            <w:hideMark/>
          </w:tcPr>
          <w:p w14:paraId="17321D08" w14:textId="77777777" w:rsidR="003E7BBB" w:rsidRPr="003E7BBB" w:rsidRDefault="003E7BBB" w:rsidP="00811BEC">
            <w:pPr>
              <w:pStyle w:val="Tabletext"/>
              <w:spacing w:line="260" w:lineRule="exact"/>
              <w:jc w:val="center"/>
            </w:pPr>
            <w:r w:rsidRPr="003E7BBB">
              <w:t>13.3</w:t>
            </w:r>
          </w:p>
        </w:tc>
        <w:tc>
          <w:tcPr>
            <w:tcW w:w="695" w:type="dxa"/>
            <w:tcBorders>
              <w:top w:val="nil"/>
              <w:left w:val="nil"/>
              <w:bottom w:val="single" w:sz="4" w:space="0" w:color="FFFFFF"/>
              <w:right w:val="nil"/>
            </w:tcBorders>
            <w:shd w:val="clear" w:color="000000" w:fill="F2F2F2"/>
            <w:vAlign w:val="center"/>
            <w:hideMark/>
          </w:tcPr>
          <w:p w14:paraId="789080D6" w14:textId="77777777" w:rsidR="003E7BBB" w:rsidRPr="003E7BBB" w:rsidRDefault="003E7BBB" w:rsidP="00811BEC">
            <w:pPr>
              <w:pStyle w:val="Tabletext"/>
              <w:spacing w:line="260" w:lineRule="exact"/>
              <w:jc w:val="center"/>
            </w:pPr>
            <w:r w:rsidRPr="003E7BBB">
              <w:t>13.1</w:t>
            </w:r>
          </w:p>
        </w:tc>
        <w:tc>
          <w:tcPr>
            <w:tcW w:w="695" w:type="dxa"/>
            <w:tcBorders>
              <w:top w:val="nil"/>
              <w:left w:val="nil"/>
              <w:bottom w:val="single" w:sz="4" w:space="0" w:color="FFFFFF"/>
              <w:right w:val="nil"/>
            </w:tcBorders>
            <w:shd w:val="clear" w:color="000000" w:fill="F2F2F2"/>
            <w:vAlign w:val="center"/>
            <w:hideMark/>
          </w:tcPr>
          <w:p w14:paraId="5AAB9624" w14:textId="77777777" w:rsidR="003E7BBB" w:rsidRPr="003E7BBB" w:rsidRDefault="003E7BBB" w:rsidP="00811BEC">
            <w:pPr>
              <w:pStyle w:val="Tabletext"/>
              <w:spacing w:line="260" w:lineRule="exact"/>
              <w:jc w:val="center"/>
            </w:pPr>
            <w:r w:rsidRPr="003E7BBB">
              <w:t>12.8</w:t>
            </w:r>
          </w:p>
        </w:tc>
      </w:tr>
      <w:tr w:rsidR="00811BEC" w:rsidRPr="003E7BBB" w14:paraId="2EEB028A" w14:textId="77777777" w:rsidTr="00471D95">
        <w:trPr>
          <w:trHeight w:val="340"/>
          <w:jc w:val="center"/>
        </w:trPr>
        <w:tc>
          <w:tcPr>
            <w:tcW w:w="3350" w:type="dxa"/>
            <w:tcBorders>
              <w:top w:val="nil"/>
              <w:left w:val="nil"/>
              <w:bottom w:val="single" w:sz="4" w:space="0" w:color="FFFFFF"/>
              <w:right w:val="single" w:sz="4" w:space="0" w:color="FFFFFF"/>
            </w:tcBorders>
            <w:shd w:val="clear" w:color="000000" w:fill="D9D9D9"/>
            <w:vAlign w:val="center"/>
            <w:hideMark/>
          </w:tcPr>
          <w:p w14:paraId="6E41D7A0" w14:textId="77777777" w:rsidR="003E7BBB" w:rsidRPr="003E7BBB" w:rsidRDefault="003E7BBB" w:rsidP="00811BEC">
            <w:pPr>
              <w:pStyle w:val="Tabletext"/>
              <w:spacing w:line="260" w:lineRule="exact"/>
            </w:pPr>
            <w:r w:rsidRPr="003E7BBB">
              <w:t>4. Other current revenue</w:t>
            </w:r>
          </w:p>
        </w:tc>
        <w:tc>
          <w:tcPr>
            <w:tcW w:w="1328" w:type="dxa"/>
            <w:tcBorders>
              <w:top w:val="nil"/>
              <w:left w:val="single" w:sz="4" w:space="0" w:color="FFFFFF"/>
              <w:bottom w:val="single" w:sz="4" w:space="0" w:color="FFFFFF"/>
              <w:right w:val="single" w:sz="4" w:space="0" w:color="FFFFFF" w:themeColor="background1"/>
            </w:tcBorders>
            <w:shd w:val="clear" w:color="000000" w:fill="D9D9D9"/>
            <w:vAlign w:val="center"/>
            <w:hideMark/>
          </w:tcPr>
          <w:p w14:paraId="6EFA1A92" w14:textId="77777777" w:rsidR="003E7BBB" w:rsidRPr="003E7BBB" w:rsidRDefault="003E7BBB" w:rsidP="00811BEC">
            <w:pPr>
              <w:pStyle w:val="Tabletext"/>
              <w:spacing w:line="260" w:lineRule="exact"/>
            </w:pPr>
            <w:r w:rsidRPr="003E7BBB">
              <w:t>(P.11+P.12+P.131) + D.39 + D.4 + D.7</w:t>
            </w:r>
          </w:p>
        </w:tc>
        <w:tc>
          <w:tcPr>
            <w:tcW w:w="1530" w:type="dxa"/>
            <w:tcBorders>
              <w:top w:val="nil"/>
              <w:left w:val="single" w:sz="4" w:space="0" w:color="FFFFFF" w:themeColor="background1"/>
              <w:bottom w:val="single" w:sz="4" w:space="0" w:color="FFFFFF"/>
              <w:right w:val="single" w:sz="4" w:space="0" w:color="FFFFFF" w:themeColor="background1"/>
            </w:tcBorders>
            <w:shd w:val="clear" w:color="000000" w:fill="D9D9D9"/>
            <w:vAlign w:val="center"/>
            <w:hideMark/>
          </w:tcPr>
          <w:p w14:paraId="0BDA4037" w14:textId="77777777" w:rsidR="003E7BBB" w:rsidRPr="003E7BBB" w:rsidRDefault="003E7BBB" w:rsidP="00811BEC">
            <w:pPr>
              <w:pStyle w:val="Tabletext"/>
              <w:spacing w:line="260" w:lineRule="exact"/>
              <w:jc w:val="center"/>
            </w:pPr>
            <w:r w:rsidRPr="003E7BBB">
              <w:t>11.9</w:t>
            </w:r>
          </w:p>
        </w:tc>
        <w:tc>
          <w:tcPr>
            <w:tcW w:w="695" w:type="dxa"/>
            <w:tcBorders>
              <w:top w:val="nil"/>
              <w:left w:val="single" w:sz="4" w:space="0" w:color="FFFFFF" w:themeColor="background1"/>
              <w:bottom w:val="single" w:sz="4" w:space="0" w:color="FFFFFF"/>
              <w:right w:val="nil"/>
            </w:tcBorders>
            <w:shd w:val="clear" w:color="000000" w:fill="D9D9D9"/>
            <w:vAlign w:val="center"/>
            <w:hideMark/>
          </w:tcPr>
          <w:p w14:paraId="4EDE241E" w14:textId="77777777" w:rsidR="003E7BBB" w:rsidRPr="003E7BBB" w:rsidRDefault="003E7BBB" w:rsidP="00811BEC">
            <w:pPr>
              <w:pStyle w:val="Tabletext"/>
              <w:spacing w:line="260" w:lineRule="exact"/>
              <w:jc w:val="center"/>
            </w:pPr>
            <w:r w:rsidRPr="003E7BBB">
              <w:t>5.3</w:t>
            </w:r>
          </w:p>
        </w:tc>
        <w:tc>
          <w:tcPr>
            <w:tcW w:w="695" w:type="dxa"/>
            <w:tcBorders>
              <w:top w:val="nil"/>
              <w:left w:val="nil"/>
              <w:bottom w:val="single" w:sz="4" w:space="0" w:color="FFFFFF"/>
              <w:right w:val="nil"/>
            </w:tcBorders>
            <w:shd w:val="clear" w:color="000000" w:fill="D9D9D9"/>
            <w:vAlign w:val="center"/>
            <w:hideMark/>
          </w:tcPr>
          <w:p w14:paraId="3B1C7E32" w14:textId="77777777" w:rsidR="003E7BBB" w:rsidRPr="003E7BBB" w:rsidRDefault="003E7BBB" w:rsidP="00811BEC">
            <w:pPr>
              <w:pStyle w:val="Tabletext"/>
              <w:spacing w:line="260" w:lineRule="exact"/>
              <w:jc w:val="center"/>
            </w:pPr>
            <w:r w:rsidRPr="003E7BBB">
              <w:t>5.5</w:t>
            </w:r>
          </w:p>
        </w:tc>
        <w:tc>
          <w:tcPr>
            <w:tcW w:w="695" w:type="dxa"/>
            <w:tcBorders>
              <w:top w:val="nil"/>
              <w:left w:val="nil"/>
              <w:bottom w:val="single" w:sz="4" w:space="0" w:color="FFFFFF"/>
              <w:right w:val="nil"/>
            </w:tcBorders>
            <w:shd w:val="clear" w:color="000000" w:fill="D9D9D9"/>
            <w:vAlign w:val="center"/>
            <w:hideMark/>
          </w:tcPr>
          <w:p w14:paraId="4F222233" w14:textId="77777777" w:rsidR="003E7BBB" w:rsidRPr="003E7BBB" w:rsidRDefault="003E7BBB" w:rsidP="00811BEC">
            <w:pPr>
              <w:pStyle w:val="Tabletext"/>
              <w:spacing w:line="260" w:lineRule="exact"/>
              <w:jc w:val="center"/>
            </w:pPr>
            <w:r w:rsidRPr="003E7BBB">
              <w:t>5.3</w:t>
            </w:r>
          </w:p>
        </w:tc>
        <w:tc>
          <w:tcPr>
            <w:tcW w:w="695" w:type="dxa"/>
            <w:tcBorders>
              <w:top w:val="nil"/>
              <w:left w:val="nil"/>
              <w:bottom w:val="single" w:sz="4" w:space="0" w:color="FFFFFF"/>
              <w:right w:val="nil"/>
            </w:tcBorders>
            <w:shd w:val="clear" w:color="000000" w:fill="D9D9D9"/>
            <w:vAlign w:val="center"/>
            <w:hideMark/>
          </w:tcPr>
          <w:p w14:paraId="6B86D6CA" w14:textId="77777777" w:rsidR="003E7BBB" w:rsidRPr="003E7BBB" w:rsidRDefault="003E7BBB" w:rsidP="00811BEC">
            <w:pPr>
              <w:pStyle w:val="Tabletext"/>
              <w:spacing w:line="260" w:lineRule="exact"/>
              <w:jc w:val="center"/>
            </w:pPr>
            <w:r w:rsidRPr="003E7BBB">
              <w:t>5.3</w:t>
            </w:r>
          </w:p>
        </w:tc>
      </w:tr>
      <w:tr w:rsidR="00811BEC" w:rsidRPr="003E7BBB" w14:paraId="0848FB47" w14:textId="77777777" w:rsidTr="00471D95">
        <w:trPr>
          <w:trHeight w:val="340"/>
          <w:jc w:val="center"/>
        </w:trPr>
        <w:tc>
          <w:tcPr>
            <w:tcW w:w="3350" w:type="dxa"/>
            <w:tcBorders>
              <w:top w:val="nil"/>
              <w:left w:val="nil"/>
              <w:bottom w:val="single" w:sz="4" w:space="0" w:color="FFFFFF"/>
              <w:right w:val="single" w:sz="4" w:space="0" w:color="FFFFFF"/>
            </w:tcBorders>
            <w:shd w:val="clear" w:color="000000" w:fill="F2F2F2"/>
            <w:vAlign w:val="center"/>
            <w:hideMark/>
          </w:tcPr>
          <w:p w14:paraId="08CD250E" w14:textId="77777777" w:rsidR="003E7BBB" w:rsidRPr="003E7BBB" w:rsidRDefault="003E7BBB" w:rsidP="00811BEC">
            <w:pPr>
              <w:pStyle w:val="Tabletext"/>
              <w:spacing w:line="260" w:lineRule="exact"/>
            </w:pPr>
            <w:r w:rsidRPr="003E7BBB">
              <w:t>5. Capital taxes</w:t>
            </w:r>
          </w:p>
        </w:tc>
        <w:tc>
          <w:tcPr>
            <w:tcW w:w="1328" w:type="dxa"/>
            <w:tcBorders>
              <w:top w:val="nil"/>
              <w:left w:val="single" w:sz="4" w:space="0" w:color="FFFFFF"/>
              <w:bottom w:val="single" w:sz="4" w:space="0" w:color="FFFFFF"/>
              <w:right w:val="single" w:sz="4" w:space="0" w:color="FFFFFF" w:themeColor="background1"/>
            </w:tcBorders>
            <w:shd w:val="clear" w:color="000000" w:fill="F2F2F2"/>
            <w:vAlign w:val="center"/>
            <w:hideMark/>
          </w:tcPr>
          <w:p w14:paraId="4113310D" w14:textId="77777777" w:rsidR="003E7BBB" w:rsidRPr="003E7BBB" w:rsidRDefault="003E7BBB" w:rsidP="00811BEC">
            <w:pPr>
              <w:pStyle w:val="Tabletext"/>
              <w:spacing w:line="260" w:lineRule="exact"/>
            </w:pPr>
            <w:r w:rsidRPr="003E7BBB">
              <w:t>D.91</w:t>
            </w:r>
          </w:p>
        </w:tc>
        <w:tc>
          <w:tcPr>
            <w:tcW w:w="1530" w:type="dxa"/>
            <w:tcBorders>
              <w:top w:val="nil"/>
              <w:left w:val="single" w:sz="4" w:space="0" w:color="FFFFFF" w:themeColor="background1"/>
              <w:bottom w:val="single" w:sz="4" w:space="0" w:color="FFFFFF"/>
              <w:right w:val="single" w:sz="4" w:space="0" w:color="FFFFFF" w:themeColor="background1"/>
            </w:tcBorders>
            <w:shd w:val="clear" w:color="000000" w:fill="F2F2F2"/>
            <w:vAlign w:val="center"/>
            <w:hideMark/>
          </w:tcPr>
          <w:p w14:paraId="184D8496" w14:textId="77777777" w:rsidR="003E7BBB" w:rsidRPr="003E7BBB" w:rsidRDefault="003E7BBB" w:rsidP="00811BEC">
            <w:pPr>
              <w:pStyle w:val="Tabletext"/>
              <w:spacing w:line="260" w:lineRule="exact"/>
              <w:jc w:val="center"/>
            </w:pPr>
            <w:r w:rsidRPr="003E7BBB">
              <w:t>0.3</w:t>
            </w:r>
          </w:p>
        </w:tc>
        <w:tc>
          <w:tcPr>
            <w:tcW w:w="695" w:type="dxa"/>
            <w:tcBorders>
              <w:top w:val="nil"/>
              <w:left w:val="single" w:sz="4" w:space="0" w:color="FFFFFF" w:themeColor="background1"/>
              <w:bottom w:val="single" w:sz="4" w:space="0" w:color="FFFFFF"/>
              <w:right w:val="nil"/>
            </w:tcBorders>
            <w:shd w:val="clear" w:color="000000" w:fill="F2F2F2"/>
            <w:vAlign w:val="center"/>
            <w:hideMark/>
          </w:tcPr>
          <w:p w14:paraId="70E41F31" w14:textId="77777777" w:rsidR="003E7BBB" w:rsidRPr="003E7BBB" w:rsidRDefault="003E7BBB" w:rsidP="00811BEC">
            <w:pPr>
              <w:pStyle w:val="Tabletext"/>
              <w:spacing w:line="260" w:lineRule="exact"/>
              <w:jc w:val="center"/>
            </w:pPr>
            <w:r w:rsidRPr="003E7BBB">
              <w:t>0.1</w:t>
            </w:r>
          </w:p>
        </w:tc>
        <w:tc>
          <w:tcPr>
            <w:tcW w:w="695" w:type="dxa"/>
            <w:tcBorders>
              <w:top w:val="nil"/>
              <w:left w:val="nil"/>
              <w:bottom w:val="single" w:sz="4" w:space="0" w:color="FFFFFF"/>
              <w:right w:val="nil"/>
            </w:tcBorders>
            <w:shd w:val="clear" w:color="000000" w:fill="F2F2F2"/>
            <w:vAlign w:val="center"/>
            <w:hideMark/>
          </w:tcPr>
          <w:p w14:paraId="7A8D9D8C" w14:textId="77777777" w:rsidR="003E7BBB" w:rsidRPr="003E7BBB" w:rsidRDefault="003E7BBB" w:rsidP="00811BEC">
            <w:pPr>
              <w:pStyle w:val="Tabletext"/>
              <w:spacing w:line="260" w:lineRule="exact"/>
              <w:jc w:val="center"/>
            </w:pPr>
            <w:r w:rsidRPr="003E7BBB">
              <w:t>0.1</w:t>
            </w:r>
          </w:p>
        </w:tc>
        <w:tc>
          <w:tcPr>
            <w:tcW w:w="695" w:type="dxa"/>
            <w:tcBorders>
              <w:top w:val="nil"/>
              <w:left w:val="nil"/>
              <w:bottom w:val="single" w:sz="4" w:space="0" w:color="FFFFFF"/>
              <w:right w:val="nil"/>
            </w:tcBorders>
            <w:shd w:val="clear" w:color="000000" w:fill="F2F2F2"/>
            <w:vAlign w:val="center"/>
            <w:hideMark/>
          </w:tcPr>
          <w:p w14:paraId="25E202B7" w14:textId="77777777" w:rsidR="003E7BBB" w:rsidRPr="003E7BBB" w:rsidRDefault="003E7BBB" w:rsidP="00811BEC">
            <w:pPr>
              <w:pStyle w:val="Tabletext"/>
              <w:spacing w:line="260" w:lineRule="exact"/>
              <w:jc w:val="center"/>
            </w:pPr>
            <w:r w:rsidRPr="003E7BBB">
              <w:t>0.1</w:t>
            </w:r>
          </w:p>
        </w:tc>
        <w:tc>
          <w:tcPr>
            <w:tcW w:w="695" w:type="dxa"/>
            <w:tcBorders>
              <w:top w:val="nil"/>
              <w:left w:val="nil"/>
              <w:bottom w:val="single" w:sz="4" w:space="0" w:color="FFFFFF"/>
              <w:right w:val="nil"/>
            </w:tcBorders>
            <w:shd w:val="clear" w:color="000000" w:fill="F2F2F2"/>
            <w:vAlign w:val="center"/>
            <w:hideMark/>
          </w:tcPr>
          <w:p w14:paraId="6A8EEDE3" w14:textId="77777777" w:rsidR="003E7BBB" w:rsidRPr="003E7BBB" w:rsidRDefault="003E7BBB" w:rsidP="00811BEC">
            <w:pPr>
              <w:pStyle w:val="Tabletext"/>
              <w:spacing w:line="260" w:lineRule="exact"/>
              <w:jc w:val="center"/>
            </w:pPr>
            <w:r w:rsidRPr="003E7BBB">
              <w:t>0.1</w:t>
            </w:r>
          </w:p>
        </w:tc>
      </w:tr>
      <w:tr w:rsidR="00811BEC" w:rsidRPr="003E7BBB" w14:paraId="2B049F78" w14:textId="77777777" w:rsidTr="00471D95">
        <w:trPr>
          <w:trHeight w:val="340"/>
          <w:jc w:val="center"/>
        </w:trPr>
        <w:tc>
          <w:tcPr>
            <w:tcW w:w="3350" w:type="dxa"/>
            <w:tcBorders>
              <w:top w:val="nil"/>
              <w:left w:val="nil"/>
              <w:bottom w:val="single" w:sz="4" w:space="0" w:color="FFFFFF"/>
              <w:right w:val="single" w:sz="4" w:space="0" w:color="FFFFFF"/>
            </w:tcBorders>
            <w:shd w:val="clear" w:color="000000" w:fill="D9D9D9"/>
            <w:vAlign w:val="center"/>
            <w:hideMark/>
          </w:tcPr>
          <w:p w14:paraId="72DC9627" w14:textId="77777777" w:rsidR="003E7BBB" w:rsidRPr="003E7BBB" w:rsidRDefault="003E7BBB" w:rsidP="00811BEC">
            <w:pPr>
              <w:pStyle w:val="Tabletext"/>
              <w:spacing w:line="260" w:lineRule="exact"/>
            </w:pPr>
            <w:r w:rsidRPr="003E7BBB">
              <w:t>6. Other capital revenue</w:t>
            </w:r>
          </w:p>
        </w:tc>
        <w:tc>
          <w:tcPr>
            <w:tcW w:w="1328" w:type="dxa"/>
            <w:tcBorders>
              <w:top w:val="nil"/>
              <w:left w:val="single" w:sz="4" w:space="0" w:color="FFFFFF"/>
              <w:bottom w:val="single" w:sz="4" w:space="0" w:color="FFFFFF"/>
              <w:right w:val="single" w:sz="4" w:space="0" w:color="FFFFFF" w:themeColor="background1"/>
            </w:tcBorders>
            <w:shd w:val="clear" w:color="000000" w:fill="D9D9D9"/>
            <w:vAlign w:val="center"/>
            <w:hideMark/>
          </w:tcPr>
          <w:p w14:paraId="13793B53" w14:textId="77777777" w:rsidR="003E7BBB" w:rsidRPr="003E7BBB" w:rsidRDefault="003E7BBB" w:rsidP="00811BEC">
            <w:pPr>
              <w:pStyle w:val="Tabletext"/>
              <w:spacing w:line="260" w:lineRule="exact"/>
            </w:pPr>
            <w:r w:rsidRPr="003E7BBB">
              <w:t>D.92+D.99</w:t>
            </w:r>
          </w:p>
        </w:tc>
        <w:tc>
          <w:tcPr>
            <w:tcW w:w="1530" w:type="dxa"/>
            <w:tcBorders>
              <w:top w:val="nil"/>
              <w:left w:val="single" w:sz="4" w:space="0" w:color="FFFFFF" w:themeColor="background1"/>
              <w:bottom w:val="single" w:sz="4" w:space="0" w:color="FFFFFF"/>
              <w:right w:val="single" w:sz="4" w:space="0" w:color="FFFFFF" w:themeColor="background1"/>
            </w:tcBorders>
            <w:shd w:val="clear" w:color="000000" w:fill="D9D9D9"/>
            <w:vAlign w:val="center"/>
            <w:hideMark/>
          </w:tcPr>
          <w:p w14:paraId="2CE59B06" w14:textId="77777777" w:rsidR="003E7BBB" w:rsidRPr="003E7BBB" w:rsidRDefault="003E7BBB" w:rsidP="00811BEC">
            <w:pPr>
              <w:pStyle w:val="Tabletext"/>
              <w:spacing w:line="260" w:lineRule="exact"/>
              <w:jc w:val="center"/>
            </w:pPr>
            <w:r w:rsidRPr="003E7BBB">
              <w:t>5.4</w:t>
            </w:r>
          </w:p>
        </w:tc>
        <w:tc>
          <w:tcPr>
            <w:tcW w:w="695" w:type="dxa"/>
            <w:tcBorders>
              <w:top w:val="nil"/>
              <w:left w:val="single" w:sz="4" w:space="0" w:color="FFFFFF" w:themeColor="background1"/>
              <w:bottom w:val="single" w:sz="4" w:space="0" w:color="FFFFFF"/>
              <w:right w:val="nil"/>
            </w:tcBorders>
            <w:shd w:val="clear" w:color="000000" w:fill="D9D9D9"/>
            <w:vAlign w:val="center"/>
            <w:hideMark/>
          </w:tcPr>
          <w:p w14:paraId="7F78EDAC" w14:textId="77777777" w:rsidR="003E7BBB" w:rsidRPr="003E7BBB" w:rsidRDefault="003E7BBB" w:rsidP="00811BEC">
            <w:pPr>
              <w:pStyle w:val="Tabletext"/>
              <w:spacing w:line="260" w:lineRule="exact"/>
              <w:jc w:val="center"/>
            </w:pPr>
            <w:r w:rsidRPr="003E7BBB">
              <w:t>2.4</w:t>
            </w:r>
          </w:p>
        </w:tc>
        <w:tc>
          <w:tcPr>
            <w:tcW w:w="695" w:type="dxa"/>
            <w:tcBorders>
              <w:top w:val="nil"/>
              <w:left w:val="nil"/>
              <w:bottom w:val="single" w:sz="4" w:space="0" w:color="FFFFFF"/>
              <w:right w:val="nil"/>
            </w:tcBorders>
            <w:shd w:val="clear" w:color="000000" w:fill="D9D9D9"/>
            <w:vAlign w:val="center"/>
            <w:hideMark/>
          </w:tcPr>
          <w:p w14:paraId="5D42DE09" w14:textId="77777777" w:rsidR="003E7BBB" w:rsidRPr="003E7BBB" w:rsidRDefault="003E7BBB" w:rsidP="00811BEC">
            <w:pPr>
              <w:pStyle w:val="Tabletext"/>
              <w:spacing w:line="260" w:lineRule="exact"/>
              <w:jc w:val="center"/>
            </w:pPr>
            <w:r w:rsidRPr="003E7BBB">
              <w:t>2.4</w:t>
            </w:r>
          </w:p>
        </w:tc>
        <w:tc>
          <w:tcPr>
            <w:tcW w:w="695" w:type="dxa"/>
            <w:tcBorders>
              <w:top w:val="nil"/>
              <w:left w:val="nil"/>
              <w:bottom w:val="single" w:sz="4" w:space="0" w:color="FFFFFF"/>
              <w:right w:val="nil"/>
            </w:tcBorders>
            <w:shd w:val="clear" w:color="000000" w:fill="D9D9D9"/>
            <w:vAlign w:val="center"/>
            <w:hideMark/>
          </w:tcPr>
          <w:p w14:paraId="694CF787" w14:textId="77777777" w:rsidR="003E7BBB" w:rsidRPr="003E7BBB" w:rsidRDefault="003E7BBB" w:rsidP="00811BEC">
            <w:pPr>
              <w:pStyle w:val="Tabletext"/>
              <w:spacing w:line="260" w:lineRule="exact"/>
              <w:jc w:val="center"/>
            </w:pPr>
            <w:r w:rsidRPr="003E7BBB">
              <w:t>3.3</w:t>
            </w:r>
          </w:p>
        </w:tc>
        <w:tc>
          <w:tcPr>
            <w:tcW w:w="695" w:type="dxa"/>
            <w:tcBorders>
              <w:top w:val="nil"/>
              <w:left w:val="nil"/>
              <w:bottom w:val="single" w:sz="4" w:space="0" w:color="FFFFFF"/>
              <w:right w:val="nil"/>
            </w:tcBorders>
            <w:shd w:val="clear" w:color="000000" w:fill="D9D9D9"/>
            <w:vAlign w:val="center"/>
            <w:hideMark/>
          </w:tcPr>
          <w:p w14:paraId="48C0E456" w14:textId="77777777" w:rsidR="003E7BBB" w:rsidRPr="003E7BBB" w:rsidRDefault="003E7BBB" w:rsidP="00811BEC">
            <w:pPr>
              <w:pStyle w:val="Tabletext"/>
              <w:spacing w:line="260" w:lineRule="exact"/>
              <w:jc w:val="center"/>
            </w:pPr>
            <w:r w:rsidRPr="003E7BBB">
              <w:t>4.2</w:t>
            </w:r>
          </w:p>
        </w:tc>
      </w:tr>
      <w:tr w:rsidR="00811BEC" w:rsidRPr="003E7BBB" w14:paraId="5FB356B8" w14:textId="77777777" w:rsidTr="00471D95">
        <w:trPr>
          <w:trHeight w:val="340"/>
          <w:jc w:val="center"/>
        </w:trPr>
        <w:tc>
          <w:tcPr>
            <w:tcW w:w="3350" w:type="dxa"/>
            <w:tcBorders>
              <w:top w:val="nil"/>
              <w:left w:val="nil"/>
              <w:bottom w:val="single" w:sz="4" w:space="0" w:color="FFFFFF"/>
              <w:right w:val="single" w:sz="4" w:space="0" w:color="FFFFFF"/>
            </w:tcBorders>
            <w:shd w:val="clear" w:color="000000" w:fill="F2F2F2"/>
            <w:vAlign w:val="center"/>
            <w:hideMark/>
          </w:tcPr>
          <w:p w14:paraId="6B668B78" w14:textId="77777777" w:rsidR="003E7BBB" w:rsidRPr="003E7BBB" w:rsidRDefault="003E7BBB" w:rsidP="00811BEC">
            <w:pPr>
              <w:pStyle w:val="Tabletext"/>
              <w:spacing w:line="260" w:lineRule="exact"/>
            </w:pPr>
            <w:r w:rsidRPr="003E7BBB">
              <w:t>7. Total revenue (= 1+2+3+4+5+6)</w:t>
            </w:r>
          </w:p>
        </w:tc>
        <w:tc>
          <w:tcPr>
            <w:tcW w:w="1328" w:type="dxa"/>
            <w:tcBorders>
              <w:top w:val="nil"/>
              <w:left w:val="single" w:sz="4" w:space="0" w:color="FFFFFF"/>
              <w:bottom w:val="single" w:sz="4" w:space="0" w:color="FFFFFF"/>
              <w:right w:val="single" w:sz="4" w:space="0" w:color="FFFFFF" w:themeColor="background1"/>
            </w:tcBorders>
            <w:shd w:val="clear" w:color="000000" w:fill="F2F2F2"/>
            <w:vAlign w:val="center"/>
            <w:hideMark/>
          </w:tcPr>
          <w:p w14:paraId="5801625E" w14:textId="77777777" w:rsidR="003E7BBB" w:rsidRPr="003E7BBB" w:rsidRDefault="003E7BBB" w:rsidP="00811BEC">
            <w:pPr>
              <w:pStyle w:val="Tabletext"/>
              <w:spacing w:line="260" w:lineRule="exact"/>
            </w:pPr>
            <w:r w:rsidRPr="003E7BBB">
              <w:t>TR</w:t>
            </w:r>
          </w:p>
        </w:tc>
        <w:tc>
          <w:tcPr>
            <w:tcW w:w="1530" w:type="dxa"/>
            <w:tcBorders>
              <w:top w:val="nil"/>
              <w:left w:val="single" w:sz="4" w:space="0" w:color="FFFFFF" w:themeColor="background1"/>
              <w:bottom w:val="single" w:sz="4" w:space="0" w:color="FFFFFF"/>
              <w:right w:val="single" w:sz="4" w:space="0" w:color="FFFFFF" w:themeColor="background1"/>
            </w:tcBorders>
            <w:shd w:val="clear" w:color="000000" w:fill="F2F2F2"/>
            <w:vAlign w:val="center"/>
            <w:hideMark/>
          </w:tcPr>
          <w:p w14:paraId="4827A004" w14:textId="77777777" w:rsidR="003E7BBB" w:rsidRPr="003E7BBB" w:rsidRDefault="003E7BBB" w:rsidP="00811BEC">
            <w:pPr>
              <w:pStyle w:val="Tabletext"/>
              <w:spacing w:line="260" w:lineRule="exact"/>
              <w:jc w:val="center"/>
            </w:pPr>
            <w:r w:rsidRPr="003E7BBB">
              <w:t>108.0</w:t>
            </w:r>
          </w:p>
        </w:tc>
        <w:tc>
          <w:tcPr>
            <w:tcW w:w="695" w:type="dxa"/>
            <w:tcBorders>
              <w:top w:val="nil"/>
              <w:left w:val="single" w:sz="4" w:space="0" w:color="FFFFFF" w:themeColor="background1"/>
              <w:bottom w:val="single" w:sz="4" w:space="0" w:color="FFFFFF"/>
              <w:right w:val="nil"/>
            </w:tcBorders>
            <w:shd w:val="clear" w:color="000000" w:fill="F2F2F2"/>
            <w:vAlign w:val="center"/>
            <w:hideMark/>
          </w:tcPr>
          <w:p w14:paraId="33329A90" w14:textId="77777777" w:rsidR="003E7BBB" w:rsidRPr="003E7BBB" w:rsidRDefault="003E7BBB" w:rsidP="00811BEC">
            <w:pPr>
              <w:pStyle w:val="Tabletext"/>
              <w:spacing w:line="260" w:lineRule="exact"/>
              <w:jc w:val="center"/>
            </w:pPr>
            <w:r w:rsidRPr="003E7BBB">
              <w:t>48.1</w:t>
            </w:r>
          </w:p>
        </w:tc>
        <w:tc>
          <w:tcPr>
            <w:tcW w:w="695" w:type="dxa"/>
            <w:tcBorders>
              <w:top w:val="nil"/>
              <w:left w:val="nil"/>
              <w:bottom w:val="single" w:sz="4" w:space="0" w:color="FFFFFF"/>
              <w:right w:val="nil"/>
            </w:tcBorders>
            <w:shd w:val="clear" w:color="000000" w:fill="F2F2F2"/>
            <w:vAlign w:val="center"/>
            <w:hideMark/>
          </w:tcPr>
          <w:p w14:paraId="37604960" w14:textId="77777777" w:rsidR="003E7BBB" w:rsidRPr="003E7BBB" w:rsidRDefault="003E7BBB" w:rsidP="00811BEC">
            <w:pPr>
              <w:pStyle w:val="Tabletext"/>
              <w:spacing w:line="260" w:lineRule="exact"/>
              <w:jc w:val="center"/>
            </w:pPr>
            <w:r w:rsidRPr="003E7BBB">
              <w:t>49.4</w:t>
            </w:r>
          </w:p>
        </w:tc>
        <w:tc>
          <w:tcPr>
            <w:tcW w:w="695" w:type="dxa"/>
            <w:tcBorders>
              <w:top w:val="nil"/>
              <w:left w:val="nil"/>
              <w:bottom w:val="single" w:sz="4" w:space="0" w:color="FFFFFF"/>
              <w:right w:val="nil"/>
            </w:tcBorders>
            <w:shd w:val="clear" w:color="000000" w:fill="F2F2F2"/>
            <w:vAlign w:val="center"/>
            <w:hideMark/>
          </w:tcPr>
          <w:p w14:paraId="03EBB129" w14:textId="77777777" w:rsidR="003E7BBB" w:rsidRPr="003E7BBB" w:rsidRDefault="003E7BBB" w:rsidP="00811BEC">
            <w:pPr>
              <w:pStyle w:val="Tabletext"/>
              <w:spacing w:line="260" w:lineRule="exact"/>
              <w:jc w:val="center"/>
            </w:pPr>
            <w:r w:rsidRPr="003E7BBB">
              <w:t>50.0</w:t>
            </w:r>
          </w:p>
        </w:tc>
        <w:tc>
          <w:tcPr>
            <w:tcW w:w="695" w:type="dxa"/>
            <w:tcBorders>
              <w:top w:val="nil"/>
              <w:left w:val="nil"/>
              <w:bottom w:val="single" w:sz="4" w:space="0" w:color="FFFFFF"/>
              <w:right w:val="nil"/>
            </w:tcBorders>
            <w:shd w:val="clear" w:color="000000" w:fill="F2F2F2"/>
            <w:vAlign w:val="center"/>
            <w:hideMark/>
          </w:tcPr>
          <w:p w14:paraId="03F817BD" w14:textId="77777777" w:rsidR="003E7BBB" w:rsidRPr="003E7BBB" w:rsidRDefault="003E7BBB" w:rsidP="00811BEC">
            <w:pPr>
              <w:pStyle w:val="Tabletext"/>
              <w:spacing w:line="260" w:lineRule="exact"/>
              <w:jc w:val="center"/>
            </w:pPr>
            <w:r w:rsidRPr="003E7BBB">
              <w:t>50.4</w:t>
            </w:r>
          </w:p>
        </w:tc>
      </w:tr>
      <w:tr w:rsidR="00811BEC" w:rsidRPr="003E7BBB" w14:paraId="5057235A" w14:textId="77777777" w:rsidTr="00471D95">
        <w:trPr>
          <w:trHeight w:val="340"/>
          <w:jc w:val="center"/>
        </w:trPr>
        <w:tc>
          <w:tcPr>
            <w:tcW w:w="3350" w:type="dxa"/>
            <w:tcBorders>
              <w:top w:val="nil"/>
              <w:left w:val="nil"/>
              <w:bottom w:val="single" w:sz="4" w:space="0" w:color="FFFFFF"/>
              <w:right w:val="single" w:sz="4" w:space="0" w:color="FFFFFF"/>
            </w:tcBorders>
            <w:shd w:val="clear" w:color="000000" w:fill="D9D9D9"/>
            <w:vAlign w:val="center"/>
            <w:hideMark/>
          </w:tcPr>
          <w:p w14:paraId="7E12BF5C" w14:textId="77777777" w:rsidR="003E7BBB" w:rsidRPr="003E7BBB" w:rsidRDefault="003E7BBB" w:rsidP="00811BEC">
            <w:pPr>
              <w:pStyle w:val="Tabletext"/>
              <w:spacing w:line="260" w:lineRule="exact"/>
            </w:pPr>
            <w:r w:rsidRPr="003E7BBB">
              <w:t>8. Of which: Transfers from the EU (accrued revenue, not cash)</w:t>
            </w:r>
          </w:p>
        </w:tc>
        <w:tc>
          <w:tcPr>
            <w:tcW w:w="1328" w:type="dxa"/>
            <w:tcBorders>
              <w:top w:val="nil"/>
              <w:left w:val="single" w:sz="4" w:space="0" w:color="FFFFFF"/>
              <w:bottom w:val="single" w:sz="4" w:space="0" w:color="FFFFFF"/>
              <w:right w:val="single" w:sz="4" w:space="0" w:color="FFFFFF" w:themeColor="background1"/>
            </w:tcBorders>
            <w:shd w:val="clear" w:color="000000" w:fill="D9D9D9"/>
            <w:vAlign w:val="center"/>
            <w:hideMark/>
          </w:tcPr>
          <w:p w14:paraId="3044298E" w14:textId="77777777" w:rsidR="003E7BBB" w:rsidRPr="003E7BBB" w:rsidRDefault="003E7BBB" w:rsidP="00811BEC">
            <w:pPr>
              <w:pStyle w:val="Tabletext"/>
              <w:spacing w:line="260" w:lineRule="exact"/>
            </w:pPr>
            <w:r w:rsidRPr="003E7BBB">
              <w:t>D.7EU+D.9EU</w:t>
            </w:r>
          </w:p>
        </w:tc>
        <w:tc>
          <w:tcPr>
            <w:tcW w:w="1530" w:type="dxa"/>
            <w:tcBorders>
              <w:top w:val="nil"/>
              <w:left w:val="single" w:sz="4" w:space="0" w:color="FFFFFF" w:themeColor="background1"/>
              <w:bottom w:val="single" w:sz="4" w:space="0" w:color="FFFFFF"/>
              <w:right w:val="single" w:sz="4" w:space="0" w:color="FFFFFF" w:themeColor="background1"/>
            </w:tcBorders>
            <w:shd w:val="clear" w:color="000000" w:fill="D9D9D9"/>
            <w:vAlign w:val="center"/>
            <w:hideMark/>
          </w:tcPr>
          <w:p w14:paraId="41FAED40" w14:textId="77777777" w:rsidR="003E7BBB" w:rsidRPr="003E7BBB" w:rsidRDefault="003E7BBB" w:rsidP="00811BEC">
            <w:pPr>
              <w:pStyle w:val="Tabletext"/>
              <w:spacing w:line="260" w:lineRule="exact"/>
              <w:jc w:val="center"/>
            </w:pPr>
            <w:r w:rsidRPr="003E7BBB">
              <w:t>5.7</w:t>
            </w:r>
          </w:p>
        </w:tc>
        <w:tc>
          <w:tcPr>
            <w:tcW w:w="695" w:type="dxa"/>
            <w:tcBorders>
              <w:top w:val="nil"/>
              <w:left w:val="single" w:sz="4" w:space="0" w:color="FFFFFF" w:themeColor="background1"/>
              <w:bottom w:val="single" w:sz="4" w:space="0" w:color="FFFFFF"/>
              <w:right w:val="nil"/>
            </w:tcBorders>
            <w:shd w:val="clear" w:color="000000" w:fill="D9D9D9"/>
            <w:vAlign w:val="center"/>
            <w:hideMark/>
          </w:tcPr>
          <w:p w14:paraId="526C80B9" w14:textId="77777777" w:rsidR="003E7BBB" w:rsidRPr="003E7BBB" w:rsidRDefault="003E7BBB" w:rsidP="00811BEC">
            <w:pPr>
              <w:pStyle w:val="Tabletext"/>
              <w:spacing w:line="260" w:lineRule="exact"/>
              <w:jc w:val="center"/>
            </w:pPr>
            <w:r w:rsidRPr="003E7BBB">
              <w:t>2.5</w:t>
            </w:r>
          </w:p>
        </w:tc>
        <w:tc>
          <w:tcPr>
            <w:tcW w:w="695" w:type="dxa"/>
            <w:tcBorders>
              <w:top w:val="nil"/>
              <w:left w:val="nil"/>
              <w:bottom w:val="single" w:sz="4" w:space="0" w:color="FFFFFF"/>
              <w:right w:val="nil"/>
            </w:tcBorders>
            <w:shd w:val="clear" w:color="000000" w:fill="D9D9D9"/>
            <w:vAlign w:val="center"/>
            <w:hideMark/>
          </w:tcPr>
          <w:p w14:paraId="27931632" w14:textId="77777777" w:rsidR="003E7BBB" w:rsidRPr="003E7BBB" w:rsidRDefault="003E7BBB" w:rsidP="00811BEC">
            <w:pPr>
              <w:pStyle w:val="Tabletext"/>
              <w:spacing w:line="260" w:lineRule="exact"/>
              <w:jc w:val="center"/>
            </w:pPr>
            <w:r w:rsidRPr="003E7BBB">
              <w:t>2.5</w:t>
            </w:r>
          </w:p>
        </w:tc>
        <w:tc>
          <w:tcPr>
            <w:tcW w:w="695" w:type="dxa"/>
            <w:tcBorders>
              <w:top w:val="nil"/>
              <w:left w:val="nil"/>
              <w:bottom w:val="single" w:sz="4" w:space="0" w:color="FFFFFF"/>
              <w:right w:val="nil"/>
            </w:tcBorders>
            <w:shd w:val="clear" w:color="000000" w:fill="D9D9D9"/>
            <w:vAlign w:val="center"/>
            <w:hideMark/>
          </w:tcPr>
          <w:p w14:paraId="50C73F99" w14:textId="77777777" w:rsidR="003E7BBB" w:rsidRPr="003E7BBB" w:rsidRDefault="003E7BBB" w:rsidP="00811BEC">
            <w:pPr>
              <w:pStyle w:val="Tabletext"/>
              <w:spacing w:line="260" w:lineRule="exact"/>
              <w:jc w:val="center"/>
            </w:pPr>
            <w:r w:rsidRPr="003E7BBB">
              <w:t>3.4</w:t>
            </w:r>
          </w:p>
        </w:tc>
        <w:tc>
          <w:tcPr>
            <w:tcW w:w="695" w:type="dxa"/>
            <w:tcBorders>
              <w:top w:val="nil"/>
              <w:left w:val="nil"/>
              <w:bottom w:val="single" w:sz="4" w:space="0" w:color="FFFFFF"/>
              <w:right w:val="nil"/>
            </w:tcBorders>
            <w:shd w:val="clear" w:color="000000" w:fill="D9D9D9"/>
            <w:vAlign w:val="center"/>
            <w:hideMark/>
          </w:tcPr>
          <w:p w14:paraId="06DFBCB5" w14:textId="77777777" w:rsidR="003E7BBB" w:rsidRPr="003E7BBB" w:rsidRDefault="003E7BBB" w:rsidP="00811BEC">
            <w:pPr>
              <w:pStyle w:val="Tabletext"/>
              <w:spacing w:line="260" w:lineRule="exact"/>
              <w:jc w:val="center"/>
            </w:pPr>
            <w:r w:rsidRPr="003E7BBB">
              <w:t>4.8</w:t>
            </w:r>
          </w:p>
        </w:tc>
      </w:tr>
      <w:tr w:rsidR="00811BEC" w:rsidRPr="003E7BBB" w14:paraId="33A78F7D" w14:textId="77777777" w:rsidTr="00471D95">
        <w:trPr>
          <w:trHeight w:val="340"/>
          <w:jc w:val="center"/>
        </w:trPr>
        <w:tc>
          <w:tcPr>
            <w:tcW w:w="3350" w:type="dxa"/>
            <w:tcBorders>
              <w:top w:val="nil"/>
              <w:left w:val="nil"/>
              <w:bottom w:val="single" w:sz="4" w:space="0" w:color="FFFFFF"/>
              <w:right w:val="single" w:sz="4" w:space="0" w:color="FFFFFF"/>
            </w:tcBorders>
            <w:shd w:val="clear" w:color="000000" w:fill="F2F2F2"/>
            <w:vAlign w:val="center"/>
            <w:hideMark/>
          </w:tcPr>
          <w:p w14:paraId="39F404FE" w14:textId="77777777" w:rsidR="003E7BBB" w:rsidRPr="003E7BBB" w:rsidRDefault="003E7BBB" w:rsidP="00811BEC">
            <w:pPr>
              <w:pStyle w:val="Tabletext"/>
              <w:spacing w:line="260" w:lineRule="exact"/>
            </w:pPr>
            <w:r w:rsidRPr="003E7BBB">
              <w:t>9. Total revenue other than transfers from the EU (= 7-8)</w:t>
            </w:r>
          </w:p>
        </w:tc>
        <w:tc>
          <w:tcPr>
            <w:tcW w:w="1328" w:type="dxa"/>
            <w:tcBorders>
              <w:top w:val="nil"/>
              <w:left w:val="single" w:sz="4" w:space="0" w:color="FFFFFF"/>
              <w:bottom w:val="single" w:sz="4" w:space="0" w:color="FFFFFF"/>
              <w:right w:val="single" w:sz="4" w:space="0" w:color="FFFFFF" w:themeColor="background1"/>
            </w:tcBorders>
            <w:shd w:val="clear" w:color="000000" w:fill="F2F2F2"/>
            <w:vAlign w:val="center"/>
            <w:hideMark/>
          </w:tcPr>
          <w:p w14:paraId="6170612F" w14:textId="77777777" w:rsidR="003E7BBB" w:rsidRPr="003E7BBB" w:rsidRDefault="003E7BBB" w:rsidP="00811BEC">
            <w:pPr>
              <w:pStyle w:val="Tabletext"/>
              <w:spacing w:line="260" w:lineRule="exact"/>
            </w:pPr>
            <w:r w:rsidRPr="003E7BBB">
              <w:t> </w:t>
            </w:r>
          </w:p>
        </w:tc>
        <w:tc>
          <w:tcPr>
            <w:tcW w:w="1530" w:type="dxa"/>
            <w:tcBorders>
              <w:top w:val="nil"/>
              <w:left w:val="single" w:sz="4" w:space="0" w:color="FFFFFF" w:themeColor="background1"/>
              <w:bottom w:val="single" w:sz="4" w:space="0" w:color="FFFFFF"/>
              <w:right w:val="single" w:sz="4" w:space="0" w:color="FFFFFF" w:themeColor="background1"/>
            </w:tcBorders>
            <w:shd w:val="clear" w:color="000000" w:fill="F2F2F2"/>
            <w:vAlign w:val="center"/>
            <w:hideMark/>
          </w:tcPr>
          <w:p w14:paraId="2F4D2AE8" w14:textId="77777777" w:rsidR="003E7BBB" w:rsidRPr="003E7BBB" w:rsidRDefault="003E7BBB" w:rsidP="00811BEC">
            <w:pPr>
              <w:pStyle w:val="Tabletext"/>
              <w:spacing w:line="260" w:lineRule="exact"/>
              <w:jc w:val="center"/>
            </w:pPr>
            <w:r w:rsidRPr="003E7BBB">
              <w:t>102.4</w:t>
            </w:r>
          </w:p>
        </w:tc>
        <w:tc>
          <w:tcPr>
            <w:tcW w:w="695" w:type="dxa"/>
            <w:tcBorders>
              <w:top w:val="nil"/>
              <w:left w:val="single" w:sz="4" w:space="0" w:color="FFFFFF" w:themeColor="background1"/>
              <w:bottom w:val="single" w:sz="4" w:space="0" w:color="FFFFFF"/>
              <w:right w:val="nil"/>
            </w:tcBorders>
            <w:shd w:val="clear" w:color="000000" w:fill="F2F2F2"/>
            <w:vAlign w:val="center"/>
            <w:hideMark/>
          </w:tcPr>
          <w:p w14:paraId="3E73D029" w14:textId="77777777" w:rsidR="003E7BBB" w:rsidRPr="003E7BBB" w:rsidRDefault="003E7BBB" w:rsidP="00811BEC">
            <w:pPr>
              <w:pStyle w:val="Tabletext"/>
              <w:spacing w:line="260" w:lineRule="exact"/>
              <w:jc w:val="center"/>
            </w:pPr>
            <w:r w:rsidRPr="003E7BBB">
              <w:t>45.6</w:t>
            </w:r>
          </w:p>
        </w:tc>
        <w:tc>
          <w:tcPr>
            <w:tcW w:w="695" w:type="dxa"/>
            <w:tcBorders>
              <w:top w:val="nil"/>
              <w:left w:val="nil"/>
              <w:bottom w:val="single" w:sz="4" w:space="0" w:color="FFFFFF"/>
              <w:right w:val="nil"/>
            </w:tcBorders>
            <w:shd w:val="clear" w:color="000000" w:fill="F2F2F2"/>
            <w:vAlign w:val="center"/>
            <w:hideMark/>
          </w:tcPr>
          <w:p w14:paraId="7C05927A" w14:textId="77777777" w:rsidR="003E7BBB" w:rsidRPr="003E7BBB" w:rsidRDefault="003E7BBB" w:rsidP="00811BEC">
            <w:pPr>
              <w:pStyle w:val="Tabletext"/>
              <w:spacing w:line="260" w:lineRule="exact"/>
              <w:jc w:val="center"/>
            </w:pPr>
            <w:r w:rsidRPr="003E7BBB">
              <w:t>47.0</w:t>
            </w:r>
          </w:p>
        </w:tc>
        <w:tc>
          <w:tcPr>
            <w:tcW w:w="695" w:type="dxa"/>
            <w:tcBorders>
              <w:top w:val="nil"/>
              <w:left w:val="nil"/>
              <w:bottom w:val="single" w:sz="4" w:space="0" w:color="FFFFFF"/>
              <w:right w:val="nil"/>
            </w:tcBorders>
            <w:shd w:val="clear" w:color="000000" w:fill="F2F2F2"/>
            <w:vAlign w:val="center"/>
            <w:hideMark/>
          </w:tcPr>
          <w:p w14:paraId="7CD14D80" w14:textId="77777777" w:rsidR="003E7BBB" w:rsidRPr="003E7BBB" w:rsidRDefault="003E7BBB" w:rsidP="00811BEC">
            <w:pPr>
              <w:pStyle w:val="Tabletext"/>
              <w:spacing w:line="260" w:lineRule="exact"/>
              <w:jc w:val="center"/>
            </w:pPr>
            <w:r w:rsidRPr="003E7BBB">
              <w:t>46.6</w:t>
            </w:r>
          </w:p>
        </w:tc>
        <w:tc>
          <w:tcPr>
            <w:tcW w:w="695" w:type="dxa"/>
            <w:tcBorders>
              <w:top w:val="nil"/>
              <w:left w:val="nil"/>
              <w:bottom w:val="single" w:sz="4" w:space="0" w:color="FFFFFF"/>
              <w:right w:val="nil"/>
            </w:tcBorders>
            <w:shd w:val="clear" w:color="000000" w:fill="F2F2F2"/>
            <w:vAlign w:val="center"/>
            <w:hideMark/>
          </w:tcPr>
          <w:p w14:paraId="04971905" w14:textId="77777777" w:rsidR="003E7BBB" w:rsidRPr="003E7BBB" w:rsidRDefault="003E7BBB" w:rsidP="00811BEC">
            <w:pPr>
              <w:pStyle w:val="Tabletext"/>
              <w:spacing w:line="260" w:lineRule="exact"/>
              <w:jc w:val="center"/>
            </w:pPr>
            <w:r w:rsidRPr="003E7BBB">
              <w:t>45.6</w:t>
            </w:r>
          </w:p>
        </w:tc>
      </w:tr>
      <w:tr w:rsidR="00811BEC" w:rsidRPr="003E7BBB" w14:paraId="5F4FF02F" w14:textId="77777777" w:rsidTr="00471D95">
        <w:trPr>
          <w:trHeight w:val="340"/>
          <w:jc w:val="center"/>
        </w:trPr>
        <w:tc>
          <w:tcPr>
            <w:tcW w:w="3350" w:type="dxa"/>
            <w:tcBorders>
              <w:top w:val="nil"/>
              <w:left w:val="nil"/>
              <w:bottom w:val="single" w:sz="4" w:space="0" w:color="FFFFFF"/>
              <w:right w:val="single" w:sz="4" w:space="0" w:color="FFFFFF"/>
            </w:tcBorders>
            <w:shd w:val="clear" w:color="000000" w:fill="D9D9D9"/>
            <w:vAlign w:val="center"/>
            <w:hideMark/>
          </w:tcPr>
          <w:p w14:paraId="3E386A81" w14:textId="77777777" w:rsidR="003E7BBB" w:rsidRPr="003E7BBB" w:rsidRDefault="003E7BBB" w:rsidP="00811BEC">
            <w:pPr>
              <w:pStyle w:val="Tabletext"/>
              <w:spacing w:line="260" w:lineRule="exact"/>
            </w:pPr>
            <w:r w:rsidRPr="003E7BBB">
              <w:t>10. p.m. Revenue measures (increments, excluding EU funded measures)</w:t>
            </w:r>
          </w:p>
        </w:tc>
        <w:tc>
          <w:tcPr>
            <w:tcW w:w="1328" w:type="dxa"/>
            <w:tcBorders>
              <w:top w:val="nil"/>
              <w:left w:val="single" w:sz="4" w:space="0" w:color="FFFFFF"/>
              <w:bottom w:val="single" w:sz="4" w:space="0" w:color="FFFFFF"/>
              <w:right w:val="single" w:sz="4" w:space="0" w:color="FFFFFF" w:themeColor="background1"/>
            </w:tcBorders>
            <w:shd w:val="clear" w:color="000000" w:fill="D9D9D9"/>
            <w:vAlign w:val="center"/>
            <w:hideMark/>
          </w:tcPr>
          <w:p w14:paraId="155AA444" w14:textId="77777777" w:rsidR="003E7BBB" w:rsidRPr="003E7BBB" w:rsidRDefault="003E7BBB" w:rsidP="00811BEC">
            <w:pPr>
              <w:pStyle w:val="Tabletext"/>
              <w:spacing w:line="260" w:lineRule="exact"/>
            </w:pPr>
            <w:r w:rsidRPr="003E7BBB">
              <w:t> </w:t>
            </w:r>
          </w:p>
        </w:tc>
        <w:tc>
          <w:tcPr>
            <w:tcW w:w="1530" w:type="dxa"/>
            <w:tcBorders>
              <w:top w:val="nil"/>
              <w:left w:val="single" w:sz="4" w:space="0" w:color="FFFFFF" w:themeColor="background1"/>
              <w:bottom w:val="single" w:sz="4" w:space="0" w:color="FFFFFF"/>
              <w:right w:val="single" w:sz="4" w:space="0" w:color="FFFFFF" w:themeColor="background1"/>
            </w:tcBorders>
            <w:shd w:val="clear" w:color="000000" w:fill="D9D9D9"/>
            <w:vAlign w:val="center"/>
            <w:hideMark/>
          </w:tcPr>
          <w:p w14:paraId="515C9088" w14:textId="77777777" w:rsidR="003E7BBB" w:rsidRPr="003E7BBB" w:rsidRDefault="003E7BBB" w:rsidP="00811BEC">
            <w:pPr>
              <w:pStyle w:val="Tabletext"/>
              <w:spacing w:line="260" w:lineRule="exact"/>
              <w:jc w:val="center"/>
            </w:pPr>
            <w:r w:rsidRPr="003E7BBB">
              <w:t>-4.0</w:t>
            </w:r>
          </w:p>
        </w:tc>
        <w:tc>
          <w:tcPr>
            <w:tcW w:w="695" w:type="dxa"/>
            <w:tcBorders>
              <w:top w:val="nil"/>
              <w:left w:val="single" w:sz="4" w:space="0" w:color="FFFFFF" w:themeColor="background1"/>
              <w:bottom w:val="single" w:sz="4" w:space="0" w:color="FFFFFF"/>
              <w:right w:val="nil"/>
            </w:tcBorders>
            <w:shd w:val="clear" w:color="000000" w:fill="D9D9D9"/>
            <w:vAlign w:val="center"/>
            <w:hideMark/>
          </w:tcPr>
          <w:p w14:paraId="6721845A" w14:textId="77777777" w:rsidR="003E7BBB" w:rsidRPr="003E7BBB" w:rsidRDefault="003E7BBB" w:rsidP="00811BEC">
            <w:pPr>
              <w:pStyle w:val="Tabletext"/>
              <w:spacing w:line="260" w:lineRule="exact"/>
              <w:jc w:val="center"/>
            </w:pPr>
            <w:r w:rsidRPr="003E7BBB">
              <w:t>-1.8</w:t>
            </w:r>
          </w:p>
        </w:tc>
        <w:tc>
          <w:tcPr>
            <w:tcW w:w="695" w:type="dxa"/>
            <w:tcBorders>
              <w:top w:val="nil"/>
              <w:left w:val="nil"/>
              <w:bottom w:val="single" w:sz="4" w:space="0" w:color="FFFFFF"/>
              <w:right w:val="nil"/>
            </w:tcBorders>
            <w:shd w:val="clear" w:color="000000" w:fill="D9D9D9"/>
            <w:vAlign w:val="center"/>
            <w:hideMark/>
          </w:tcPr>
          <w:p w14:paraId="0BDF4D76" w14:textId="77777777" w:rsidR="003E7BBB" w:rsidRPr="003E7BBB" w:rsidRDefault="003E7BBB" w:rsidP="00811BEC">
            <w:pPr>
              <w:pStyle w:val="Tabletext"/>
              <w:spacing w:line="260" w:lineRule="exact"/>
              <w:jc w:val="center"/>
            </w:pPr>
            <w:r w:rsidRPr="003E7BBB">
              <w:t>0.8</w:t>
            </w:r>
          </w:p>
        </w:tc>
        <w:tc>
          <w:tcPr>
            <w:tcW w:w="695" w:type="dxa"/>
            <w:tcBorders>
              <w:top w:val="nil"/>
              <w:left w:val="nil"/>
              <w:bottom w:val="single" w:sz="4" w:space="0" w:color="FFFFFF"/>
              <w:right w:val="nil"/>
            </w:tcBorders>
            <w:shd w:val="clear" w:color="000000" w:fill="D9D9D9"/>
            <w:vAlign w:val="center"/>
            <w:hideMark/>
          </w:tcPr>
          <w:p w14:paraId="10AB5667" w14:textId="77777777" w:rsidR="003E7BBB" w:rsidRPr="003E7BBB" w:rsidRDefault="003E7BBB" w:rsidP="00811BEC">
            <w:pPr>
              <w:pStyle w:val="Tabletext"/>
              <w:spacing w:line="260" w:lineRule="exact"/>
              <w:jc w:val="center"/>
            </w:pPr>
            <w:r w:rsidRPr="003E7BBB">
              <w:t>0.4</w:t>
            </w:r>
          </w:p>
        </w:tc>
        <w:tc>
          <w:tcPr>
            <w:tcW w:w="695" w:type="dxa"/>
            <w:tcBorders>
              <w:top w:val="nil"/>
              <w:left w:val="nil"/>
              <w:bottom w:val="single" w:sz="4" w:space="0" w:color="FFFFFF"/>
              <w:right w:val="nil"/>
            </w:tcBorders>
            <w:shd w:val="clear" w:color="000000" w:fill="D9D9D9"/>
            <w:vAlign w:val="center"/>
            <w:hideMark/>
          </w:tcPr>
          <w:p w14:paraId="181E592E" w14:textId="77777777" w:rsidR="003E7BBB" w:rsidRPr="003E7BBB" w:rsidRDefault="003E7BBB" w:rsidP="00811BEC">
            <w:pPr>
              <w:pStyle w:val="Tabletext"/>
              <w:spacing w:line="260" w:lineRule="exact"/>
              <w:jc w:val="center"/>
            </w:pPr>
            <w:r w:rsidRPr="003E7BBB">
              <w:t>-0.2</w:t>
            </w:r>
          </w:p>
        </w:tc>
      </w:tr>
      <w:tr w:rsidR="00811BEC" w:rsidRPr="003E7BBB" w14:paraId="63A36E87" w14:textId="77777777" w:rsidTr="00471D95">
        <w:trPr>
          <w:trHeight w:val="340"/>
          <w:jc w:val="center"/>
        </w:trPr>
        <w:tc>
          <w:tcPr>
            <w:tcW w:w="3350" w:type="dxa"/>
            <w:tcBorders>
              <w:top w:val="nil"/>
              <w:left w:val="nil"/>
              <w:bottom w:val="single" w:sz="4" w:space="0" w:color="FFFFFF"/>
              <w:right w:val="single" w:sz="4" w:space="0" w:color="FFFFFF"/>
            </w:tcBorders>
            <w:shd w:val="clear" w:color="000000" w:fill="F2F2F2"/>
            <w:vAlign w:val="center"/>
            <w:hideMark/>
          </w:tcPr>
          <w:p w14:paraId="18BE16F0" w14:textId="77777777" w:rsidR="003E7BBB" w:rsidRPr="003E7BBB" w:rsidRDefault="003E7BBB" w:rsidP="00811BEC">
            <w:pPr>
              <w:pStyle w:val="Tabletext"/>
              <w:spacing w:line="260" w:lineRule="exact"/>
            </w:pPr>
            <w:r w:rsidRPr="003E7BBB">
              <w:t>10b. p.m. Revenue reductions funded by transfers from the EU (levels)</w:t>
            </w:r>
          </w:p>
        </w:tc>
        <w:tc>
          <w:tcPr>
            <w:tcW w:w="1328" w:type="dxa"/>
            <w:tcBorders>
              <w:top w:val="nil"/>
              <w:left w:val="single" w:sz="4" w:space="0" w:color="FFFFFF"/>
              <w:bottom w:val="single" w:sz="4" w:space="0" w:color="FFFFFF"/>
              <w:right w:val="single" w:sz="4" w:space="0" w:color="FFFFFF" w:themeColor="background1"/>
            </w:tcBorders>
            <w:shd w:val="clear" w:color="000000" w:fill="F2F2F2"/>
            <w:vAlign w:val="center"/>
            <w:hideMark/>
          </w:tcPr>
          <w:p w14:paraId="4F82C330" w14:textId="77777777" w:rsidR="003E7BBB" w:rsidRPr="003E7BBB" w:rsidRDefault="003E7BBB" w:rsidP="00811BEC">
            <w:pPr>
              <w:pStyle w:val="Tabletext"/>
              <w:spacing w:line="260" w:lineRule="exact"/>
            </w:pPr>
            <w:r w:rsidRPr="003E7BBB">
              <w:t> </w:t>
            </w:r>
          </w:p>
        </w:tc>
        <w:tc>
          <w:tcPr>
            <w:tcW w:w="1530" w:type="dxa"/>
            <w:tcBorders>
              <w:top w:val="nil"/>
              <w:left w:val="single" w:sz="4" w:space="0" w:color="FFFFFF" w:themeColor="background1"/>
              <w:bottom w:val="single" w:sz="4" w:space="0" w:color="FFFFFF"/>
              <w:right w:val="single" w:sz="4" w:space="0" w:color="FFFFFF" w:themeColor="background1"/>
            </w:tcBorders>
            <w:shd w:val="clear" w:color="000000" w:fill="F2F2F2"/>
            <w:vAlign w:val="center"/>
            <w:hideMark/>
          </w:tcPr>
          <w:p w14:paraId="6686E5A5" w14:textId="77777777" w:rsidR="003E7BBB" w:rsidRPr="003E7BBB" w:rsidRDefault="003E7BBB" w:rsidP="00811BEC">
            <w:pPr>
              <w:pStyle w:val="Tabletext"/>
              <w:spacing w:line="260" w:lineRule="exact"/>
              <w:jc w:val="center"/>
            </w:pPr>
            <w:r w:rsidRPr="003E7BBB">
              <w:t>0.0</w:t>
            </w:r>
          </w:p>
        </w:tc>
        <w:tc>
          <w:tcPr>
            <w:tcW w:w="695" w:type="dxa"/>
            <w:tcBorders>
              <w:top w:val="nil"/>
              <w:left w:val="single" w:sz="4" w:space="0" w:color="FFFFFF" w:themeColor="background1"/>
              <w:bottom w:val="single" w:sz="4" w:space="0" w:color="FFFFFF"/>
              <w:right w:val="nil"/>
            </w:tcBorders>
            <w:shd w:val="clear" w:color="000000" w:fill="F2F2F2"/>
            <w:vAlign w:val="center"/>
            <w:hideMark/>
          </w:tcPr>
          <w:p w14:paraId="6024E9A5" w14:textId="77777777" w:rsidR="003E7BBB" w:rsidRPr="003E7BBB" w:rsidRDefault="003E7BBB" w:rsidP="00811BEC">
            <w:pPr>
              <w:pStyle w:val="Tabletext"/>
              <w:spacing w:line="260" w:lineRule="exact"/>
              <w:jc w:val="center"/>
            </w:pPr>
            <w:r w:rsidRPr="003E7BBB">
              <w:t>0.0</w:t>
            </w:r>
          </w:p>
        </w:tc>
        <w:tc>
          <w:tcPr>
            <w:tcW w:w="695" w:type="dxa"/>
            <w:tcBorders>
              <w:top w:val="nil"/>
              <w:left w:val="nil"/>
              <w:bottom w:val="single" w:sz="4" w:space="0" w:color="FFFFFF"/>
              <w:right w:val="nil"/>
            </w:tcBorders>
            <w:shd w:val="clear" w:color="000000" w:fill="F2F2F2"/>
            <w:vAlign w:val="center"/>
            <w:hideMark/>
          </w:tcPr>
          <w:p w14:paraId="03243EB4" w14:textId="77777777" w:rsidR="003E7BBB" w:rsidRPr="003E7BBB" w:rsidRDefault="003E7BBB" w:rsidP="00811BEC">
            <w:pPr>
              <w:pStyle w:val="Tabletext"/>
              <w:spacing w:line="260" w:lineRule="exact"/>
              <w:jc w:val="center"/>
            </w:pPr>
            <w:r w:rsidRPr="003E7BBB">
              <w:t>0.0</w:t>
            </w:r>
          </w:p>
        </w:tc>
        <w:tc>
          <w:tcPr>
            <w:tcW w:w="695" w:type="dxa"/>
            <w:tcBorders>
              <w:top w:val="nil"/>
              <w:left w:val="nil"/>
              <w:bottom w:val="single" w:sz="4" w:space="0" w:color="FFFFFF"/>
              <w:right w:val="nil"/>
            </w:tcBorders>
            <w:shd w:val="clear" w:color="000000" w:fill="F2F2F2"/>
            <w:vAlign w:val="center"/>
            <w:hideMark/>
          </w:tcPr>
          <w:p w14:paraId="2086381D" w14:textId="77777777" w:rsidR="003E7BBB" w:rsidRPr="003E7BBB" w:rsidRDefault="003E7BBB" w:rsidP="00811BEC">
            <w:pPr>
              <w:pStyle w:val="Tabletext"/>
              <w:spacing w:line="260" w:lineRule="exact"/>
              <w:jc w:val="center"/>
            </w:pPr>
            <w:r w:rsidRPr="003E7BBB">
              <w:t>0.0</w:t>
            </w:r>
          </w:p>
        </w:tc>
        <w:tc>
          <w:tcPr>
            <w:tcW w:w="695" w:type="dxa"/>
            <w:tcBorders>
              <w:top w:val="nil"/>
              <w:left w:val="nil"/>
              <w:bottom w:val="single" w:sz="4" w:space="0" w:color="FFFFFF"/>
              <w:right w:val="nil"/>
            </w:tcBorders>
            <w:shd w:val="clear" w:color="000000" w:fill="F2F2F2"/>
            <w:vAlign w:val="center"/>
            <w:hideMark/>
          </w:tcPr>
          <w:p w14:paraId="58237745" w14:textId="77777777" w:rsidR="003E7BBB" w:rsidRPr="003E7BBB" w:rsidRDefault="003E7BBB" w:rsidP="00811BEC">
            <w:pPr>
              <w:pStyle w:val="Tabletext"/>
              <w:spacing w:line="260" w:lineRule="exact"/>
              <w:jc w:val="center"/>
            </w:pPr>
            <w:r w:rsidRPr="003E7BBB">
              <w:t>0.0</w:t>
            </w:r>
          </w:p>
        </w:tc>
      </w:tr>
      <w:tr w:rsidR="00811BEC" w:rsidRPr="003E7BBB" w14:paraId="6B38CC54" w14:textId="77777777" w:rsidTr="00471D95">
        <w:trPr>
          <w:trHeight w:val="340"/>
          <w:jc w:val="center"/>
        </w:trPr>
        <w:tc>
          <w:tcPr>
            <w:tcW w:w="3350" w:type="dxa"/>
            <w:tcBorders>
              <w:top w:val="nil"/>
              <w:left w:val="nil"/>
              <w:bottom w:val="single" w:sz="4" w:space="0" w:color="FFFFFF"/>
              <w:right w:val="single" w:sz="4" w:space="0" w:color="FFFFFF"/>
            </w:tcBorders>
            <w:shd w:val="clear" w:color="000000" w:fill="D9D9D9"/>
            <w:vAlign w:val="center"/>
            <w:hideMark/>
          </w:tcPr>
          <w:p w14:paraId="0FD4106E" w14:textId="77777777" w:rsidR="003E7BBB" w:rsidRPr="003E7BBB" w:rsidRDefault="003E7BBB" w:rsidP="00811BEC">
            <w:pPr>
              <w:pStyle w:val="Tabletext"/>
              <w:spacing w:line="260" w:lineRule="exact"/>
            </w:pPr>
            <w:r w:rsidRPr="003E7BBB">
              <w:t>11. p.m. One-off revenue included in the projections (levels, excluding EU funded measures)</w:t>
            </w:r>
          </w:p>
        </w:tc>
        <w:tc>
          <w:tcPr>
            <w:tcW w:w="1328" w:type="dxa"/>
            <w:tcBorders>
              <w:top w:val="nil"/>
              <w:left w:val="single" w:sz="4" w:space="0" w:color="FFFFFF"/>
              <w:bottom w:val="single" w:sz="4" w:space="0" w:color="FFFFFF"/>
              <w:right w:val="single" w:sz="4" w:space="0" w:color="FFFFFF" w:themeColor="background1"/>
            </w:tcBorders>
            <w:shd w:val="clear" w:color="000000" w:fill="D9D9D9"/>
            <w:vAlign w:val="center"/>
            <w:hideMark/>
          </w:tcPr>
          <w:p w14:paraId="55870834" w14:textId="77777777" w:rsidR="003E7BBB" w:rsidRPr="003E7BBB" w:rsidRDefault="003E7BBB" w:rsidP="00811BEC">
            <w:pPr>
              <w:pStyle w:val="Tabletext"/>
              <w:spacing w:line="260" w:lineRule="exact"/>
            </w:pPr>
            <w:r w:rsidRPr="003E7BBB">
              <w:t> </w:t>
            </w:r>
          </w:p>
        </w:tc>
        <w:tc>
          <w:tcPr>
            <w:tcW w:w="1530" w:type="dxa"/>
            <w:tcBorders>
              <w:top w:val="nil"/>
              <w:left w:val="single" w:sz="4" w:space="0" w:color="FFFFFF" w:themeColor="background1"/>
              <w:bottom w:val="single" w:sz="4" w:space="0" w:color="FFFFFF"/>
              <w:right w:val="single" w:sz="4" w:space="0" w:color="FFFFFF" w:themeColor="background1"/>
            </w:tcBorders>
            <w:shd w:val="clear" w:color="000000" w:fill="D9D9D9"/>
            <w:vAlign w:val="center"/>
            <w:hideMark/>
          </w:tcPr>
          <w:p w14:paraId="38528E3B" w14:textId="77777777" w:rsidR="003E7BBB" w:rsidRPr="003E7BBB" w:rsidRDefault="003E7BBB" w:rsidP="00811BEC">
            <w:pPr>
              <w:pStyle w:val="Tabletext"/>
              <w:spacing w:line="260" w:lineRule="exact"/>
              <w:jc w:val="center"/>
            </w:pPr>
            <w:r w:rsidRPr="003E7BBB">
              <w:t>0.0</w:t>
            </w:r>
          </w:p>
        </w:tc>
        <w:tc>
          <w:tcPr>
            <w:tcW w:w="695" w:type="dxa"/>
            <w:tcBorders>
              <w:top w:val="nil"/>
              <w:left w:val="single" w:sz="4" w:space="0" w:color="FFFFFF" w:themeColor="background1"/>
              <w:bottom w:val="single" w:sz="4" w:space="0" w:color="FFFFFF"/>
              <w:right w:val="nil"/>
            </w:tcBorders>
            <w:shd w:val="clear" w:color="000000" w:fill="D9D9D9"/>
            <w:vAlign w:val="center"/>
            <w:hideMark/>
          </w:tcPr>
          <w:p w14:paraId="52273105" w14:textId="77777777" w:rsidR="003E7BBB" w:rsidRPr="003E7BBB" w:rsidRDefault="003E7BBB" w:rsidP="00811BEC">
            <w:pPr>
              <w:pStyle w:val="Tabletext"/>
              <w:spacing w:line="260" w:lineRule="exact"/>
              <w:jc w:val="center"/>
            </w:pPr>
            <w:r w:rsidRPr="003E7BBB">
              <w:t>0.0</w:t>
            </w:r>
          </w:p>
        </w:tc>
        <w:tc>
          <w:tcPr>
            <w:tcW w:w="695" w:type="dxa"/>
            <w:tcBorders>
              <w:top w:val="nil"/>
              <w:left w:val="nil"/>
              <w:bottom w:val="single" w:sz="4" w:space="0" w:color="FFFFFF"/>
              <w:right w:val="nil"/>
            </w:tcBorders>
            <w:shd w:val="clear" w:color="000000" w:fill="D9D9D9"/>
            <w:vAlign w:val="center"/>
            <w:hideMark/>
          </w:tcPr>
          <w:p w14:paraId="44906083" w14:textId="77777777" w:rsidR="003E7BBB" w:rsidRPr="003E7BBB" w:rsidRDefault="003E7BBB" w:rsidP="00811BEC">
            <w:pPr>
              <w:pStyle w:val="Tabletext"/>
              <w:spacing w:line="260" w:lineRule="exact"/>
              <w:jc w:val="center"/>
            </w:pPr>
            <w:r w:rsidRPr="003E7BBB">
              <w:t>0.0</w:t>
            </w:r>
          </w:p>
        </w:tc>
        <w:tc>
          <w:tcPr>
            <w:tcW w:w="695" w:type="dxa"/>
            <w:tcBorders>
              <w:top w:val="nil"/>
              <w:left w:val="nil"/>
              <w:bottom w:val="single" w:sz="4" w:space="0" w:color="FFFFFF"/>
              <w:right w:val="nil"/>
            </w:tcBorders>
            <w:shd w:val="clear" w:color="000000" w:fill="D9D9D9"/>
            <w:vAlign w:val="center"/>
            <w:hideMark/>
          </w:tcPr>
          <w:p w14:paraId="71D3574E" w14:textId="77777777" w:rsidR="003E7BBB" w:rsidRPr="003E7BBB" w:rsidRDefault="003E7BBB" w:rsidP="00811BEC">
            <w:pPr>
              <w:pStyle w:val="Tabletext"/>
              <w:spacing w:line="260" w:lineRule="exact"/>
              <w:jc w:val="center"/>
            </w:pPr>
            <w:r w:rsidRPr="003E7BBB">
              <w:t>0.0</w:t>
            </w:r>
          </w:p>
        </w:tc>
        <w:tc>
          <w:tcPr>
            <w:tcW w:w="695" w:type="dxa"/>
            <w:tcBorders>
              <w:top w:val="nil"/>
              <w:left w:val="nil"/>
              <w:bottom w:val="single" w:sz="4" w:space="0" w:color="FFFFFF"/>
              <w:right w:val="nil"/>
            </w:tcBorders>
            <w:shd w:val="clear" w:color="000000" w:fill="D9D9D9"/>
            <w:vAlign w:val="center"/>
            <w:hideMark/>
          </w:tcPr>
          <w:p w14:paraId="53C943BF" w14:textId="77777777" w:rsidR="003E7BBB" w:rsidRPr="003E7BBB" w:rsidRDefault="003E7BBB" w:rsidP="00811BEC">
            <w:pPr>
              <w:pStyle w:val="Tabletext"/>
              <w:spacing w:line="260" w:lineRule="exact"/>
              <w:jc w:val="center"/>
            </w:pPr>
            <w:r w:rsidRPr="003E7BBB">
              <w:t>0.0</w:t>
            </w:r>
          </w:p>
        </w:tc>
      </w:tr>
      <w:tr w:rsidR="003E7BBB" w:rsidRPr="00A87424" w14:paraId="5B64C602" w14:textId="77777777" w:rsidTr="00471D95">
        <w:trPr>
          <w:trHeight w:val="340"/>
          <w:jc w:val="center"/>
        </w:trPr>
        <w:tc>
          <w:tcPr>
            <w:tcW w:w="3350" w:type="dxa"/>
            <w:tcBorders>
              <w:top w:val="nil"/>
              <w:left w:val="nil"/>
              <w:bottom w:val="nil"/>
              <w:right w:val="single" w:sz="4" w:space="0" w:color="FFFFFF"/>
            </w:tcBorders>
            <w:shd w:val="clear" w:color="000000" w:fill="D6DCE4"/>
            <w:vAlign w:val="center"/>
            <w:hideMark/>
          </w:tcPr>
          <w:p w14:paraId="7D039977" w14:textId="77777777" w:rsidR="003E7BBB" w:rsidRPr="00A87424" w:rsidRDefault="003E7BBB" w:rsidP="00811BEC">
            <w:pPr>
              <w:pStyle w:val="Tabletext"/>
              <w:spacing w:line="260" w:lineRule="exact"/>
              <w:rPr>
                <w:b/>
                <w:sz w:val="24"/>
              </w:rPr>
            </w:pPr>
            <w:r w:rsidRPr="00A87424">
              <w:rPr>
                <w:b/>
                <w:sz w:val="24"/>
              </w:rPr>
              <w:t>Expenditure</w:t>
            </w:r>
          </w:p>
        </w:tc>
        <w:tc>
          <w:tcPr>
            <w:tcW w:w="1328" w:type="dxa"/>
            <w:tcBorders>
              <w:top w:val="nil"/>
              <w:left w:val="single" w:sz="4" w:space="0" w:color="FFFFFF"/>
              <w:bottom w:val="nil"/>
              <w:right w:val="single" w:sz="4" w:space="0" w:color="FFFFFF" w:themeColor="background1"/>
            </w:tcBorders>
            <w:shd w:val="clear" w:color="000000" w:fill="D6DCE4"/>
            <w:vAlign w:val="center"/>
            <w:hideMark/>
          </w:tcPr>
          <w:p w14:paraId="0E235A40" w14:textId="77777777" w:rsidR="003E7BBB" w:rsidRPr="00A87424" w:rsidRDefault="003E7BBB" w:rsidP="00811BEC">
            <w:pPr>
              <w:pStyle w:val="Tabletext"/>
              <w:spacing w:line="260" w:lineRule="exact"/>
              <w:rPr>
                <w:b/>
                <w:sz w:val="24"/>
              </w:rPr>
            </w:pPr>
            <w:r w:rsidRPr="00A87424">
              <w:rPr>
                <w:b/>
                <w:sz w:val="24"/>
              </w:rPr>
              <w:t> </w:t>
            </w:r>
          </w:p>
        </w:tc>
        <w:tc>
          <w:tcPr>
            <w:tcW w:w="1530" w:type="dxa"/>
            <w:tcBorders>
              <w:top w:val="nil"/>
              <w:left w:val="single" w:sz="4" w:space="0" w:color="FFFFFF" w:themeColor="background1"/>
              <w:bottom w:val="nil"/>
              <w:right w:val="single" w:sz="4" w:space="0" w:color="FFFFFF" w:themeColor="background1"/>
            </w:tcBorders>
            <w:shd w:val="clear" w:color="000000" w:fill="D6DCE4"/>
            <w:vAlign w:val="center"/>
            <w:hideMark/>
          </w:tcPr>
          <w:p w14:paraId="7D4A1201" w14:textId="77777777" w:rsidR="003E7BBB" w:rsidRPr="009E74CC" w:rsidRDefault="003E7BBB" w:rsidP="00811BEC">
            <w:pPr>
              <w:pStyle w:val="Tabletext"/>
              <w:spacing w:line="260" w:lineRule="exact"/>
              <w:jc w:val="center"/>
              <w:rPr>
                <w:sz w:val="24"/>
              </w:rPr>
            </w:pPr>
            <w:r w:rsidRPr="009E74CC">
              <w:rPr>
                <w:sz w:val="24"/>
              </w:rPr>
              <w:t>bn NAC</w:t>
            </w:r>
          </w:p>
        </w:tc>
        <w:tc>
          <w:tcPr>
            <w:tcW w:w="2780" w:type="dxa"/>
            <w:gridSpan w:val="4"/>
            <w:tcBorders>
              <w:top w:val="nil"/>
              <w:left w:val="single" w:sz="4" w:space="0" w:color="FFFFFF" w:themeColor="background1"/>
              <w:bottom w:val="nil"/>
              <w:right w:val="nil"/>
            </w:tcBorders>
            <w:shd w:val="clear" w:color="000000" w:fill="D6DCE4"/>
            <w:vAlign w:val="center"/>
            <w:hideMark/>
          </w:tcPr>
          <w:p w14:paraId="1DA19884" w14:textId="77777777" w:rsidR="003E7BBB" w:rsidRPr="009E74CC" w:rsidRDefault="003E7BBB" w:rsidP="00811BEC">
            <w:pPr>
              <w:pStyle w:val="Tabletext"/>
              <w:spacing w:line="260" w:lineRule="exact"/>
              <w:jc w:val="center"/>
              <w:rPr>
                <w:sz w:val="24"/>
              </w:rPr>
            </w:pPr>
            <w:r w:rsidRPr="009E74CC">
              <w:rPr>
                <w:sz w:val="24"/>
              </w:rPr>
              <w:t>% GDP</w:t>
            </w:r>
          </w:p>
        </w:tc>
      </w:tr>
      <w:tr w:rsidR="00811BEC" w:rsidRPr="003E7BBB" w14:paraId="2D03EA56" w14:textId="77777777" w:rsidTr="00471D95">
        <w:trPr>
          <w:trHeight w:val="340"/>
          <w:jc w:val="center"/>
        </w:trPr>
        <w:tc>
          <w:tcPr>
            <w:tcW w:w="3350" w:type="dxa"/>
            <w:tcBorders>
              <w:top w:val="nil"/>
              <w:left w:val="nil"/>
              <w:bottom w:val="single" w:sz="4" w:space="0" w:color="FFFFFF"/>
              <w:right w:val="single" w:sz="4" w:space="0" w:color="FFFFFF"/>
            </w:tcBorders>
            <w:shd w:val="clear" w:color="000000" w:fill="F2F2F2"/>
            <w:vAlign w:val="center"/>
            <w:hideMark/>
          </w:tcPr>
          <w:p w14:paraId="440D348F" w14:textId="77777777" w:rsidR="003E7BBB" w:rsidRPr="003E7BBB" w:rsidRDefault="003E7BBB" w:rsidP="00811BEC">
            <w:pPr>
              <w:pStyle w:val="Tabletext"/>
              <w:spacing w:line="260" w:lineRule="exact"/>
            </w:pPr>
            <w:r w:rsidRPr="003E7BBB">
              <w:t>12. Compensation of employees</w:t>
            </w:r>
          </w:p>
        </w:tc>
        <w:tc>
          <w:tcPr>
            <w:tcW w:w="1328" w:type="dxa"/>
            <w:tcBorders>
              <w:top w:val="nil"/>
              <w:left w:val="single" w:sz="4" w:space="0" w:color="FFFFFF"/>
              <w:bottom w:val="single" w:sz="4" w:space="0" w:color="FFFFFF"/>
              <w:right w:val="single" w:sz="4" w:space="0" w:color="FFFFFF" w:themeColor="background1"/>
            </w:tcBorders>
            <w:shd w:val="clear" w:color="000000" w:fill="F2F2F2"/>
            <w:vAlign w:val="center"/>
            <w:hideMark/>
          </w:tcPr>
          <w:p w14:paraId="49A63920" w14:textId="77777777" w:rsidR="003E7BBB" w:rsidRPr="003E7BBB" w:rsidRDefault="003E7BBB" w:rsidP="00811BEC">
            <w:pPr>
              <w:pStyle w:val="Tabletext"/>
              <w:spacing w:line="260" w:lineRule="exact"/>
            </w:pPr>
            <w:r w:rsidRPr="003E7BBB">
              <w:t>D.1</w:t>
            </w:r>
          </w:p>
        </w:tc>
        <w:tc>
          <w:tcPr>
            <w:tcW w:w="1530" w:type="dxa"/>
            <w:tcBorders>
              <w:top w:val="nil"/>
              <w:left w:val="single" w:sz="4" w:space="0" w:color="FFFFFF" w:themeColor="background1"/>
              <w:bottom w:val="single" w:sz="4" w:space="0" w:color="FFFFFF"/>
              <w:right w:val="single" w:sz="4" w:space="0" w:color="FFFFFF" w:themeColor="background1"/>
            </w:tcBorders>
            <w:shd w:val="clear" w:color="000000" w:fill="F2F2F2"/>
            <w:vAlign w:val="center"/>
            <w:hideMark/>
          </w:tcPr>
          <w:p w14:paraId="08EA5F0A" w14:textId="77777777" w:rsidR="003E7BBB" w:rsidRPr="003E7BBB" w:rsidRDefault="003E7BBB" w:rsidP="00811BEC">
            <w:pPr>
              <w:pStyle w:val="Tabletext"/>
              <w:spacing w:line="260" w:lineRule="exact"/>
              <w:jc w:val="center"/>
            </w:pPr>
            <w:r w:rsidRPr="003E7BBB">
              <w:t>23.5</w:t>
            </w:r>
          </w:p>
        </w:tc>
        <w:tc>
          <w:tcPr>
            <w:tcW w:w="695" w:type="dxa"/>
            <w:tcBorders>
              <w:top w:val="nil"/>
              <w:left w:val="single" w:sz="4" w:space="0" w:color="FFFFFF" w:themeColor="background1"/>
              <w:bottom w:val="single" w:sz="4" w:space="0" w:color="FFFFFF"/>
              <w:right w:val="nil"/>
            </w:tcBorders>
            <w:shd w:val="clear" w:color="000000" w:fill="F2F2F2"/>
            <w:vAlign w:val="center"/>
            <w:hideMark/>
          </w:tcPr>
          <w:p w14:paraId="224CB104" w14:textId="77777777" w:rsidR="003E7BBB" w:rsidRPr="003E7BBB" w:rsidRDefault="003E7BBB" w:rsidP="00811BEC">
            <w:pPr>
              <w:pStyle w:val="Tabletext"/>
              <w:spacing w:line="260" w:lineRule="exact"/>
              <w:jc w:val="center"/>
            </w:pPr>
            <w:r w:rsidRPr="003E7BBB">
              <w:t>10.5</w:t>
            </w:r>
          </w:p>
        </w:tc>
        <w:tc>
          <w:tcPr>
            <w:tcW w:w="695" w:type="dxa"/>
            <w:tcBorders>
              <w:top w:val="nil"/>
              <w:left w:val="nil"/>
              <w:bottom w:val="single" w:sz="4" w:space="0" w:color="FFFFFF"/>
              <w:right w:val="nil"/>
            </w:tcBorders>
            <w:shd w:val="clear" w:color="000000" w:fill="F2F2F2"/>
            <w:vAlign w:val="center"/>
            <w:hideMark/>
          </w:tcPr>
          <w:p w14:paraId="732FAAA3" w14:textId="77777777" w:rsidR="003E7BBB" w:rsidRPr="003E7BBB" w:rsidRDefault="003E7BBB" w:rsidP="00811BEC">
            <w:pPr>
              <w:pStyle w:val="Tabletext"/>
              <w:spacing w:line="260" w:lineRule="exact"/>
              <w:jc w:val="center"/>
            </w:pPr>
            <w:r w:rsidRPr="003E7BBB">
              <w:t>10.4</w:t>
            </w:r>
          </w:p>
        </w:tc>
        <w:tc>
          <w:tcPr>
            <w:tcW w:w="695" w:type="dxa"/>
            <w:tcBorders>
              <w:top w:val="nil"/>
              <w:left w:val="nil"/>
              <w:bottom w:val="single" w:sz="4" w:space="0" w:color="FFFFFF"/>
              <w:right w:val="nil"/>
            </w:tcBorders>
            <w:shd w:val="clear" w:color="000000" w:fill="F2F2F2"/>
            <w:vAlign w:val="center"/>
            <w:hideMark/>
          </w:tcPr>
          <w:p w14:paraId="06B2144C" w14:textId="77777777" w:rsidR="003E7BBB" w:rsidRPr="003E7BBB" w:rsidRDefault="003E7BBB" w:rsidP="00811BEC">
            <w:pPr>
              <w:pStyle w:val="Tabletext"/>
              <w:spacing w:line="260" w:lineRule="exact"/>
              <w:jc w:val="center"/>
            </w:pPr>
            <w:r w:rsidRPr="003E7BBB">
              <w:t>10.2</w:t>
            </w:r>
          </w:p>
        </w:tc>
        <w:tc>
          <w:tcPr>
            <w:tcW w:w="695" w:type="dxa"/>
            <w:tcBorders>
              <w:top w:val="nil"/>
              <w:left w:val="nil"/>
              <w:bottom w:val="single" w:sz="4" w:space="0" w:color="FFFFFF"/>
              <w:right w:val="nil"/>
            </w:tcBorders>
            <w:shd w:val="clear" w:color="000000" w:fill="F2F2F2"/>
            <w:vAlign w:val="center"/>
            <w:hideMark/>
          </w:tcPr>
          <w:p w14:paraId="78C15C6E" w14:textId="77777777" w:rsidR="003E7BBB" w:rsidRPr="003E7BBB" w:rsidRDefault="003E7BBB" w:rsidP="00811BEC">
            <w:pPr>
              <w:pStyle w:val="Tabletext"/>
              <w:spacing w:line="260" w:lineRule="exact"/>
              <w:jc w:val="center"/>
            </w:pPr>
            <w:r w:rsidRPr="003E7BBB">
              <w:t>10.1</w:t>
            </w:r>
          </w:p>
        </w:tc>
      </w:tr>
      <w:tr w:rsidR="00811BEC" w:rsidRPr="003E7BBB" w14:paraId="18833EFA" w14:textId="77777777" w:rsidTr="00471D95">
        <w:trPr>
          <w:trHeight w:val="340"/>
          <w:jc w:val="center"/>
        </w:trPr>
        <w:tc>
          <w:tcPr>
            <w:tcW w:w="3350" w:type="dxa"/>
            <w:tcBorders>
              <w:top w:val="nil"/>
              <w:left w:val="nil"/>
              <w:bottom w:val="single" w:sz="4" w:space="0" w:color="FFFFFF"/>
              <w:right w:val="single" w:sz="4" w:space="0" w:color="FFFFFF"/>
            </w:tcBorders>
            <w:shd w:val="clear" w:color="000000" w:fill="D9D9D9"/>
            <w:vAlign w:val="center"/>
            <w:hideMark/>
          </w:tcPr>
          <w:p w14:paraId="0A41C12F" w14:textId="77777777" w:rsidR="003E7BBB" w:rsidRPr="003E7BBB" w:rsidRDefault="003E7BBB" w:rsidP="00811BEC">
            <w:pPr>
              <w:pStyle w:val="Tabletext"/>
              <w:spacing w:line="260" w:lineRule="exact"/>
            </w:pPr>
            <w:r w:rsidRPr="003E7BBB">
              <w:t>13. Intermediate consumption</w:t>
            </w:r>
          </w:p>
        </w:tc>
        <w:tc>
          <w:tcPr>
            <w:tcW w:w="1328" w:type="dxa"/>
            <w:tcBorders>
              <w:top w:val="nil"/>
              <w:left w:val="single" w:sz="4" w:space="0" w:color="FFFFFF"/>
              <w:bottom w:val="single" w:sz="4" w:space="0" w:color="FFFFFF"/>
              <w:right w:val="single" w:sz="4" w:space="0" w:color="FFFFFF" w:themeColor="background1"/>
            </w:tcBorders>
            <w:shd w:val="clear" w:color="000000" w:fill="D9D9D9"/>
            <w:vAlign w:val="center"/>
            <w:hideMark/>
          </w:tcPr>
          <w:p w14:paraId="179CD6AF" w14:textId="77777777" w:rsidR="003E7BBB" w:rsidRPr="003E7BBB" w:rsidRDefault="003E7BBB" w:rsidP="00811BEC">
            <w:pPr>
              <w:pStyle w:val="Tabletext"/>
              <w:spacing w:line="260" w:lineRule="exact"/>
            </w:pPr>
            <w:r w:rsidRPr="003E7BBB">
              <w:t>P.2</w:t>
            </w:r>
          </w:p>
        </w:tc>
        <w:tc>
          <w:tcPr>
            <w:tcW w:w="1530" w:type="dxa"/>
            <w:tcBorders>
              <w:top w:val="nil"/>
              <w:left w:val="single" w:sz="4" w:space="0" w:color="FFFFFF" w:themeColor="background1"/>
              <w:bottom w:val="single" w:sz="4" w:space="0" w:color="FFFFFF"/>
              <w:right w:val="single" w:sz="4" w:space="0" w:color="FFFFFF" w:themeColor="background1"/>
            </w:tcBorders>
            <w:shd w:val="clear" w:color="000000" w:fill="D9D9D9"/>
            <w:vAlign w:val="center"/>
            <w:hideMark/>
          </w:tcPr>
          <w:p w14:paraId="76E4AA4C" w14:textId="77777777" w:rsidR="003E7BBB" w:rsidRPr="003E7BBB" w:rsidRDefault="003E7BBB" w:rsidP="00811BEC">
            <w:pPr>
              <w:pStyle w:val="Tabletext"/>
              <w:spacing w:line="260" w:lineRule="exact"/>
              <w:jc w:val="center"/>
            </w:pPr>
            <w:r w:rsidRPr="003E7BBB">
              <w:t>12.4</w:t>
            </w:r>
          </w:p>
        </w:tc>
        <w:tc>
          <w:tcPr>
            <w:tcW w:w="695" w:type="dxa"/>
            <w:tcBorders>
              <w:top w:val="nil"/>
              <w:left w:val="single" w:sz="4" w:space="0" w:color="FFFFFF" w:themeColor="background1"/>
              <w:bottom w:val="single" w:sz="4" w:space="0" w:color="FFFFFF"/>
              <w:right w:val="nil"/>
            </w:tcBorders>
            <w:shd w:val="clear" w:color="000000" w:fill="D9D9D9"/>
            <w:vAlign w:val="center"/>
            <w:hideMark/>
          </w:tcPr>
          <w:p w14:paraId="3D6624B0" w14:textId="77777777" w:rsidR="003E7BBB" w:rsidRPr="003E7BBB" w:rsidRDefault="003E7BBB" w:rsidP="00811BEC">
            <w:pPr>
              <w:pStyle w:val="Tabletext"/>
              <w:spacing w:line="260" w:lineRule="exact"/>
              <w:jc w:val="center"/>
            </w:pPr>
            <w:r w:rsidRPr="003E7BBB">
              <w:t>5.5</w:t>
            </w:r>
          </w:p>
        </w:tc>
        <w:tc>
          <w:tcPr>
            <w:tcW w:w="695" w:type="dxa"/>
            <w:tcBorders>
              <w:top w:val="nil"/>
              <w:left w:val="nil"/>
              <w:bottom w:val="single" w:sz="4" w:space="0" w:color="FFFFFF"/>
              <w:right w:val="nil"/>
            </w:tcBorders>
            <w:shd w:val="clear" w:color="000000" w:fill="D9D9D9"/>
            <w:vAlign w:val="center"/>
            <w:hideMark/>
          </w:tcPr>
          <w:p w14:paraId="129A502D" w14:textId="77777777" w:rsidR="003E7BBB" w:rsidRPr="003E7BBB" w:rsidRDefault="003E7BBB" w:rsidP="00811BEC">
            <w:pPr>
              <w:pStyle w:val="Tabletext"/>
              <w:spacing w:line="260" w:lineRule="exact"/>
              <w:jc w:val="center"/>
            </w:pPr>
            <w:r w:rsidRPr="003E7BBB">
              <w:t>5.2</w:t>
            </w:r>
          </w:p>
        </w:tc>
        <w:tc>
          <w:tcPr>
            <w:tcW w:w="695" w:type="dxa"/>
            <w:tcBorders>
              <w:top w:val="nil"/>
              <w:left w:val="nil"/>
              <w:bottom w:val="single" w:sz="4" w:space="0" w:color="FFFFFF"/>
              <w:right w:val="nil"/>
            </w:tcBorders>
            <w:shd w:val="clear" w:color="000000" w:fill="D9D9D9"/>
            <w:vAlign w:val="center"/>
            <w:hideMark/>
          </w:tcPr>
          <w:p w14:paraId="450298D4" w14:textId="77777777" w:rsidR="003E7BBB" w:rsidRPr="003E7BBB" w:rsidRDefault="003E7BBB" w:rsidP="00811BEC">
            <w:pPr>
              <w:pStyle w:val="Tabletext"/>
              <w:spacing w:line="260" w:lineRule="exact"/>
              <w:jc w:val="center"/>
            </w:pPr>
            <w:r w:rsidRPr="003E7BBB">
              <w:t>5.7</w:t>
            </w:r>
          </w:p>
        </w:tc>
        <w:tc>
          <w:tcPr>
            <w:tcW w:w="695" w:type="dxa"/>
            <w:tcBorders>
              <w:top w:val="nil"/>
              <w:left w:val="nil"/>
              <w:bottom w:val="single" w:sz="4" w:space="0" w:color="FFFFFF"/>
              <w:right w:val="nil"/>
            </w:tcBorders>
            <w:shd w:val="clear" w:color="000000" w:fill="D9D9D9"/>
            <w:vAlign w:val="center"/>
            <w:hideMark/>
          </w:tcPr>
          <w:p w14:paraId="0FADC5A0" w14:textId="77777777" w:rsidR="003E7BBB" w:rsidRPr="003E7BBB" w:rsidRDefault="003E7BBB" w:rsidP="00811BEC">
            <w:pPr>
              <w:pStyle w:val="Tabletext"/>
              <w:spacing w:line="260" w:lineRule="exact"/>
              <w:jc w:val="center"/>
            </w:pPr>
            <w:r w:rsidRPr="003E7BBB">
              <w:t>5.9</w:t>
            </w:r>
          </w:p>
        </w:tc>
      </w:tr>
      <w:tr w:rsidR="00811BEC" w:rsidRPr="003E7BBB" w14:paraId="098E1615" w14:textId="77777777" w:rsidTr="00471D95">
        <w:trPr>
          <w:trHeight w:val="340"/>
          <w:jc w:val="center"/>
        </w:trPr>
        <w:tc>
          <w:tcPr>
            <w:tcW w:w="3350" w:type="dxa"/>
            <w:tcBorders>
              <w:top w:val="nil"/>
              <w:left w:val="nil"/>
              <w:bottom w:val="single" w:sz="4" w:space="0" w:color="FFFFFF"/>
              <w:right w:val="single" w:sz="4" w:space="0" w:color="FFFFFF"/>
            </w:tcBorders>
            <w:shd w:val="clear" w:color="000000" w:fill="F2F2F2"/>
            <w:vAlign w:val="center"/>
            <w:hideMark/>
          </w:tcPr>
          <w:p w14:paraId="7E13CAF8" w14:textId="77777777" w:rsidR="003E7BBB" w:rsidRPr="003E7BBB" w:rsidRDefault="003E7BBB" w:rsidP="00811BEC">
            <w:pPr>
              <w:pStyle w:val="Tabletext"/>
              <w:spacing w:line="260" w:lineRule="exact"/>
            </w:pPr>
            <w:r w:rsidRPr="003E7BBB">
              <w:t>14. Interest expenditure</w:t>
            </w:r>
          </w:p>
        </w:tc>
        <w:tc>
          <w:tcPr>
            <w:tcW w:w="1328" w:type="dxa"/>
            <w:tcBorders>
              <w:top w:val="nil"/>
              <w:left w:val="single" w:sz="4" w:space="0" w:color="FFFFFF"/>
              <w:bottom w:val="single" w:sz="4" w:space="0" w:color="FFFFFF"/>
              <w:right w:val="single" w:sz="4" w:space="0" w:color="FFFFFF" w:themeColor="background1"/>
            </w:tcBorders>
            <w:shd w:val="clear" w:color="000000" w:fill="F2F2F2"/>
            <w:vAlign w:val="center"/>
            <w:hideMark/>
          </w:tcPr>
          <w:p w14:paraId="585E773D" w14:textId="77777777" w:rsidR="003E7BBB" w:rsidRPr="003E7BBB" w:rsidRDefault="003E7BBB" w:rsidP="00811BEC">
            <w:pPr>
              <w:pStyle w:val="Tabletext"/>
              <w:spacing w:line="260" w:lineRule="exact"/>
            </w:pPr>
            <w:r w:rsidRPr="003E7BBB">
              <w:t>D.41</w:t>
            </w:r>
          </w:p>
        </w:tc>
        <w:tc>
          <w:tcPr>
            <w:tcW w:w="1530" w:type="dxa"/>
            <w:tcBorders>
              <w:top w:val="nil"/>
              <w:left w:val="single" w:sz="4" w:space="0" w:color="FFFFFF" w:themeColor="background1"/>
              <w:bottom w:val="single" w:sz="4" w:space="0" w:color="FFFFFF"/>
              <w:right w:val="single" w:sz="4" w:space="0" w:color="FFFFFF" w:themeColor="background1"/>
            </w:tcBorders>
            <w:shd w:val="clear" w:color="000000" w:fill="F2F2F2"/>
            <w:vAlign w:val="center"/>
            <w:hideMark/>
          </w:tcPr>
          <w:p w14:paraId="3B1155C6" w14:textId="77777777" w:rsidR="003E7BBB" w:rsidRPr="003E7BBB" w:rsidRDefault="003E7BBB" w:rsidP="00811BEC">
            <w:pPr>
              <w:pStyle w:val="Tabletext"/>
              <w:spacing w:line="260" w:lineRule="exact"/>
              <w:jc w:val="center"/>
            </w:pPr>
            <w:r w:rsidRPr="003E7BBB">
              <w:t>7.6</w:t>
            </w:r>
          </w:p>
        </w:tc>
        <w:tc>
          <w:tcPr>
            <w:tcW w:w="695" w:type="dxa"/>
            <w:tcBorders>
              <w:top w:val="nil"/>
              <w:left w:val="single" w:sz="4" w:space="0" w:color="FFFFFF" w:themeColor="background1"/>
              <w:bottom w:val="single" w:sz="4" w:space="0" w:color="FFFFFF"/>
              <w:right w:val="nil"/>
            </w:tcBorders>
            <w:shd w:val="clear" w:color="000000" w:fill="F2F2F2"/>
            <w:vAlign w:val="center"/>
            <w:hideMark/>
          </w:tcPr>
          <w:p w14:paraId="23145503" w14:textId="77777777" w:rsidR="003E7BBB" w:rsidRPr="003E7BBB" w:rsidRDefault="003E7BBB" w:rsidP="00811BEC">
            <w:pPr>
              <w:pStyle w:val="Tabletext"/>
              <w:spacing w:line="260" w:lineRule="exact"/>
              <w:jc w:val="center"/>
            </w:pPr>
            <w:r w:rsidRPr="003E7BBB">
              <w:t>3.4</w:t>
            </w:r>
          </w:p>
        </w:tc>
        <w:tc>
          <w:tcPr>
            <w:tcW w:w="695" w:type="dxa"/>
            <w:tcBorders>
              <w:top w:val="nil"/>
              <w:left w:val="nil"/>
              <w:bottom w:val="single" w:sz="4" w:space="0" w:color="FFFFFF"/>
              <w:right w:val="nil"/>
            </w:tcBorders>
            <w:shd w:val="clear" w:color="000000" w:fill="F2F2F2"/>
            <w:vAlign w:val="center"/>
            <w:hideMark/>
          </w:tcPr>
          <w:p w14:paraId="5E0E23E3" w14:textId="77777777" w:rsidR="003E7BBB" w:rsidRPr="003E7BBB" w:rsidRDefault="003E7BBB" w:rsidP="00811BEC">
            <w:pPr>
              <w:pStyle w:val="Tabletext"/>
              <w:spacing w:line="260" w:lineRule="exact"/>
              <w:jc w:val="center"/>
            </w:pPr>
            <w:r w:rsidRPr="003E7BBB">
              <w:t>3.5</w:t>
            </w:r>
          </w:p>
        </w:tc>
        <w:tc>
          <w:tcPr>
            <w:tcW w:w="695" w:type="dxa"/>
            <w:tcBorders>
              <w:top w:val="nil"/>
              <w:left w:val="nil"/>
              <w:bottom w:val="single" w:sz="4" w:space="0" w:color="FFFFFF"/>
              <w:right w:val="nil"/>
            </w:tcBorders>
            <w:shd w:val="clear" w:color="000000" w:fill="F2F2F2"/>
            <w:vAlign w:val="center"/>
            <w:hideMark/>
          </w:tcPr>
          <w:p w14:paraId="5F83A676" w14:textId="77777777" w:rsidR="003E7BBB" w:rsidRPr="003E7BBB" w:rsidRDefault="003E7BBB" w:rsidP="00811BEC">
            <w:pPr>
              <w:pStyle w:val="Tabletext"/>
              <w:spacing w:line="260" w:lineRule="exact"/>
              <w:jc w:val="center"/>
            </w:pPr>
            <w:r w:rsidRPr="003E7BBB">
              <w:t>3.2</w:t>
            </w:r>
          </w:p>
        </w:tc>
        <w:tc>
          <w:tcPr>
            <w:tcW w:w="695" w:type="dxa"/>
            <w:tcBorders>
              <w:top w:val="nil"/>
              <w:left w:val="nil"/>
              <w:bottom w:val="single" w:sz="4" w:space="0" w:color="FFFFFF"/>
              <w:right w:val="nil"/>
            </w:tcBorders>
            <w:shd w:val="clear" w:color="000000" w:fill="F2F2F2"/>
            <w:vAlign w:val="center"/>
            <w:hideMark/>
          </w:tcPr>
          <w:p w14:paraId="5895E564" w14:textId="77777777" w:rsidR="003E7BBB" w:rsidRPr="003E7BBB" w:rsidRDefault="003E7BBB" w:rsidP="00811BEC">
            <w:pPr>
              <w:pStyle w:val="Tabletext"/>
              <w:spacing w:line="260" w:lineRule="exact"/>
              <w:jc w:val="center"/>
            </w:pPr>
            <w:r w:rsidRPr="003E7BBB">
              <w:t>3.0</w:t>
            </w:r>
          </w:p>
        </w:tc>
      </w:tr>
      <w:tr w:rsidR="00811BEC" w:rsidRPr="003E7BBB" w14:paraId="702BD0A3" w14:textId="77777777" w:rsidTr="00471D95">
        <w:trPr>
          <w:trHeight w:val="340"/>
          <w:jc w:val="center"/>
        </w:trPr>
        <w:tc>
          <w:tcPr>
            <w:tcW w:w="3350" w:type="dxa"/>
            <w:tcBorders>
              <w:top w:val="nil"/>
              <w:left w:val="nil"/>
              <w:bottom w:val="single" w:sz="4" w:space="0" w:color="FFFFFF"/>
              <w:right w:val="single" w:sz="4" w:space="0" w:color="FFFFFF"/>
            </w:tcBorders>
            <w:shd w:val="clear" w:color="000000" w:fill="D9D9D9"/>
            <w:vAlign w:val="center"/>
            <w:hideMark/>
          </w:tcPr>
          <w:p w14:paraId="2AF1D48F" w14:textId="77777777" w:rsidR="003E7BBB" w:rsidRPr="003E7BBB" w:rsidRDefault="003E7BBB" w:rsidP="00811BEC">
            <w:pPr>
              <w:pStyle w:val="Tabletext"/>
              <w:spacing w:line="260" w:lineRule="exact"/>
            </w:pPr>
            <w:r w:rsidRPr="003E7BBB">
              <w:t>15. Social benefits other than social transfers in kind</w:t>
            </w:r>
          </w:p>
        </w:tc>
        <w:tc>
          <w:tcPr>
            <w:tcW w:w="1328" w:type="dxa"/>
            <w:tcBorders>
              <w:top w:val="nil"/>
              <w:left w:val="single" w:sz="4" w:space="0" w:color="FFFFFF"/>
              <w:bottom w:val="single" w:sz="4" w:space="0" w:color="FFFFFF"/>
              <w:right w:val="single" w:sz="4" w:space="0" w:color="FFFFFF" w:themeColor="background1"/>
            </w:tcBorders>
            <w:shd w:val="clear" w:color="000000" w:fill="D9D9D9"/>
            <w:vAlign w:val="center"/>
            <w:hideMark/>
          </w:tcPr>
          <w:p w14:paraId="1A743CE1" w14:textId="77777777" w:rsidR="003E7BBB" w:rsidRPr="003E7BBB" w:rsidRDefault="003E7BBB" w:rsidP="00811BEC">
            <w:pPr>
              <w:pStyle w:val="Tabletext"/>
              <w:spacing w:line="260" w:lineRule="exact"/>
            </w:pPr>
            <w:r w:rsidRPr="003E7BBB">
              <w:t>D.62</w:t>
            </w:r>
          </w:p>
        </w:tc>
        <w:tc>
          <w:tcPr>
            <w:tcW w:w="1530" w:type="dxa"/>
            <w:tcBorders>
              <w:top w:val="nil"/>
              <w:left w:val="single" w:sz="4" w:space="0" w:color="FFFFFF" w:themeColor="background1"/>
              <w:bottom w:val="single" w:sz="4" w:space="0" w:color="FFFFFF"/>
              <w:right w:val="single" w:sz="4" w:space="0" w:color="FFFFFF" w:themeColor="background1"/>
            </w:tcBorders>
            <w:shd w:val="clear" w:color="000000" w:fill="D9D9D9"/>
            <w:vAlign w:val="center"/>
            <w:hideMark/>
          </w:tcPr>
          <w:p w14:paraId="78504FCA" w14:textId="77777777" w:rsidR="003E7BBB" w:rsidRPr="003E7BBB" w:rsidRDefault="003E7BBB" w:rsidP="00811BEC">
            <w:pPr>
              <w:pStyle w:val="Tabletext"/>
              <w:spacing w:line="260" w:lineRule="exact"/>
              <w:jc w:val="center"/>
            </w:pPr>
            <w:r w:rsidRPr="003E7BBB">
              <w:t>38.8</w:t>
            </w:r>
          </w:p>
        </w:tc>
        <w:tc>
          <w:tcPr>
            <w:tcW w:w="695" w:type="dxa"/>
            <w:tcBorders>
              <w:top w:val="nil"/>
              <w:left w:val="single" w:sz="4" w:space="0" w:color="FFFFFF" w:themeColor="background1"/>
              <w:bottom w:val="single" w:sz="4" w:space="0" w:color="FFFFFF"/>
              <w:right w:val="nil"/>
            </w:tcBorders>
            <w:shd w:val="clear" w:color="000000" w:fill="D9D9D9"/>
            <w:vAlign w:val="center"/>
            <w:hideMark/>
          </w:tcPr>
          <w:p w14:paraId="3C11E03C" w14:textId="77777777" w:rsidR="003E7BBB" w:rsidRPr="003E7BBB" w:rsidRDefault="003E7BBB" w:rsidP="00811BEC">
            <w:pPr>
              <w:pStyle w:val="Tabletext"/>
              <w:spacing w:line="260" w:lineRule="exact"/>
              <w:jc w:val="center"/>
            </w:pPr>
            <w:r w:rsidRPr="003E7BBB">
              <w:t>17.3</w:t>
            </w:r>
          </w:p>
        </w:tc>
        <w:tc>
          <w:tcPr>
            <w:tcW w:w="695" w:type="dxa"/>
            <w:tcBorders>
              <w:top w:val="nil"/>
              <w:left w:val="nil"/>
              <w:bottom w:val="single" w:sz="4" w:space="0" w:color="FFFFFF"/>
              <w:right w:val="nil"/>
            </w:tcBorders>
            <w:shd w:val="clear" w:color="000000" w:fill="D9D9D9"/>
            <w:vAlign w:val="center"/>
            <w:hideMark/>
          </w:tcPr>
          <w:p w14:paraId="14D42E59" w14:textId="77777777" w:rsidR="003E7BBB" w:rsidRPr="003E7BBB" w:rsidRDefault="003E7BBB" w:rsidP="00811BEC">
            <w:pPr>
              <w:pStyle w:val="Tabletext"/>
              <w:spacing w:line="260" w:lineRule="exact"/>
              <w:jc w:val="center"/>
            </w:pPr>
            <w:r w:rsidRPr="003E7BBB">
              <w:t>16.7</w:t>
            </w:r>
          </w:p>
        </w:tc>
        <w:tc>
          <w:tcPr>
            <w:tcW w:w="695" w:type="dxa"/>
            <w:tcBorders>
              <w:top w:val="nil"/>
              <w:left w:val="nil"/>
              <w:bottom w:val="single" w:sz="4" w:space="0" w:color="FFFFFF"/>
              <w:right w:val="nil"/>
            </w:tcBorders>
            <w:shd w:val="clear" w:color="000000" w:fill="D9D9D9"/>
            <w:vAlign w:val="center"/>
            <w:hideMark/>
          </w:tcPr>
          <w:p w14:paraId="2B02C9ED" w14:textId="77777777" w:rsidR="003E7BBB" w:rsidRPr="003E7BBB" w:rsidRDefault="003E7BBB" w:rsidP="00811BEC">
            <w:pPr>
              <w:pStyle w:val="Tabletext"/>
              <w:spacing w:line="260" w:lineRule="exact"/>
              <w:jc w:val="center"/>
            </w:pPr>
            <w:r w:rsidRPr="003E7BBB">
              <w:t>16.4</w:t>
            </w:r>
          </w:p>
        </w:tc>
        <w:tc>
          <w:tcPr>
            <w:tcW w:w="695" w:type="dxa"/>
            <w:tcBorders>
              <w:top w:val="nil"/>
              <w:left w:val="nil"/>
              <w:bottom w:val="single" w:sz="4" w:space="0" w:color="FFFFFF"/>
              <w:right w:val="nil"/>
            </w:tcBorders>
            <w:shd w:val="clear" w:color="000000" w:fill="D9D9D9"/>
            <w:vAlign w:val="center"/>
            <w:hideMark/>
          </w:tcPr>
          <w:p w14:paraId="2509486A" w14:textId="77777777" w:rsidR="003E7BBB" w:rsidRPr="003E7BBB" w:rsidRDefault="003E7BBB" w:rsidP="00811BEC">
            <w:pPr>
              <w:pStyle w:val="Tabletext"/>
              <w:spacing w:line="260" w:lineRule="exact"/>
              <w:jc w:val="center"/>
            </w:pPr>
            <w:r w:rsidRPr="003E7BBB">
              <w:t>16.8</w:t>
            </w:r>
          </w:p>
        </w:tc>
      </w:tr>
      <w:tr w:rsidR="00811BEC" w:rsidRPr="003E7BBB" w14:paraId="1FE623E0" w14:textId="77777777" w:rsidTr="00471D95">
        <w:trPr>
          <w:trHeight w:val="340"/>
          <w:jc w:val="center"/>
        </w:trPr>
        <w:tc>
          <w:tcPr>
            <w:tcW w:w="3350" w:type="dxa"/>
            <w:tcBorders>
              <w:top w:val="nil"/>
              <w:left w:val="nil"/>
              <w:bottom w:val="single" w:sz="4" w:space="0" w:color="FFFFFF"/>
              <w:right w:val="single" w:sz="4" w:space="0" w:color="FFFFFF"/>
            </w:tcBorders>
            <w:shd w:val="clear" w:color="000000" w:fill="F2F2F2"/>
            <w:vAlign w:val="center"/>
            <w:hideMark/>
          </w:tcPr>
          <w:p w14:paraId="5BEFFE04" w14:textId="77777777" w:rsidR="003E7BBB" w:rsidRPr="003E7BBB" w:rsidRDefault="003E7BBB" w:rsidP="00811BEC">
            <w:pPr>
              <w:pStyle w:val="Tabletext"/>
              <w:spacing w:line="260" w:lineRule="exact"/>
            </w:pPr>
            <w:r w:rsidRPr="003E7BBB">
              <w:t>16. Social transfers in kind via market producers</w:t>
            </w:r>
          </w:p>
        </w:tc>
        <w:tc>
          <w:tcPr>
            <w:tcW w:w="1328" w:type="dxa"/>
            <w:tcBorders>
              <w:top w:val="nil"/>
              <w:left w:val="single" w:sz="4" w:space="0" w:color="FFFFFF"/>
              <w:bottom w:val="single" w:sz="4" w:space="0" w:color="FFFFFF"/>
              <w:right w:val="single" w:sz="4" w:space="0" w:color="FFFFFF" w:themeColor="background1"/>
            </w:tcBorders>
            <w:shd w:val="clear" w:color="000000" w:fill="F2F2F2"/>
            <w:vAlign w:val="center"/>
            <w:hideMark/>
          </w:tcPr>
          <w:p w14:paraId="20F0C296" w14:textId="77777777" w:rsidR="003E7BBB" w:rsidRPr="003E7BBB" w:rsidRDefault="003E7BBB" w:rsidP="00811BEC">
            <w:pPr>
              <w:pStyle w:val="Tabletext"/>
              <w:spacing w:line="260" w:lineRule="exact"/>
            </w:pPr>
            <w:r w:rsidRPr="003E7BBB">
              <w:t>D.632</w:t>
            </w:r>
          </w:p>
        </w:tc>
        <w:tc>
          <w:tcPr>
            <w:tcW w:w="1530" w:type="dxa"/>
            <w:tcBorders>
              <w:top w:val="nil"/>
              <w:left w:val="single" w:sz="4" w:space="0" w:color="FFFFFF" w:themeColor="background1"/>
              <w:bottom w:val="single" w:sz="4" w:space="0" w:color="FFFFFF"/>
              <w:right w:val="single" w:sz="4" w:space="0" w:color="FFFFFF" w:themeColor="background1"/>
            </w:tcBorders>
            <w:shd w:val="clear" w:color="000000" w:fill="F2F2F2"/>
            <w:vAlign w:val="center"/>
            <w:hideMark/>
          </w:tcPr>
          <w:p w14:paraId="4F65B3E2" w14:textId="77777777" w:rsidR="003E7BBB" w:rsidRPr="003E7BBB" w:rsidRDefault="003E7BBB" w:rsidP="00811BEC">
            <w:pPr>
              <w:pStyle w:val="Tabletext"/>
              <w:spacing w:line="260" w:lineRule="exact"/>
              <w:jc w:val="center"/>
            </w:pPr>
            <w:r w:rsidRPr="003E7BBB">
              <w:t>7.1</w:t>
            </w:r>
          </w:p>
        </w:tc>
        <w:tc>
          <w:tcPr>
            <w:tcW w:w="695" w:type="dxa"/>
            <w:tcBorders>
              <w:top w:val="nil"/>
              <w:left w:val="single" w:sz="4" w:space="0" w:color="FFFFFF" w:themeColor="background1"/>
              <w:bottom w:val="single" w:sz="4" w:space="0" w:color="FFFFFF"/>
              <w:right w:val="nil"/>
            </w:tcBorders>
            <w:shd w:val="clear" w:color="000000" w:fill="F2F2F2"/>
            <w:vAlign w:val="center"/>
            <w:hideMark/>
          </w:tcPr>
          <w:p w14:paraId="0BB2B235" w14:textId="77777777" w:rsidR="003E7BBB" w:rsidRPr="003E7BBB" w:rsidRDefault="003E7BBB" w:rsidP="00811BEC">
            <w:pPr>
              <w:pStyle w:val="Tabletext"/>
              <w:spacing w:line="260" w:lineRule="exact"/>
              <w:jc w:val="center"/>
            </w:pPr>
            <w:r w:rsidRPr="003E7BBB">
              <w:t>3.2</w:t>
            </w:r>
          </w:p>
        </w:tc>
        <w:tc>
          <w:tcPr>
            <w:tcW w:w="695" w:type="dxa"/>
            <w:tcBorders>
              <w:top w:val="nil"/>
              <w:left w:val="nil"/>
              <w:bottom w:val="single" w:sz="4" w:space="0" w:color="FFFFFF"/>
              <w:right w:val="nil"/>
            </w:tcBorders>
            <w:shd w:val="clear" w:color="000000" w:fill="F2F2F2"/>
            <w:vAlign w:val="center"/>
            <w:hideMark/>
          </w:tcPr>
          <w:p w14:paraId="616B4B35" w14:textId="77777777" w:rsidR="003E7BBB" w:rsidRPr="003E7BBB" w:rsidRDefault="003E7BBB" w:rsidP="00811BEC">
            <w:pPr>
              <w:pStyle w:val="Tabletext"/>
              <w:spacing w:line="260" w:lineRule="exact"/>
              <w:jc w:val="center"/>
            </w:pPr>
            <w:r w:rsidRPr="003E7BBB">
              <w:t>2.8</w:t>
            </w:r>
          </w:p>
        </w:tc>
        <w:tc>
          <w:tcPr>
            <w:tcW w:w="695" w:type="dxa"/>
            <w:tcBorders>
              <w:top w:val="nil"/>
              <w:left w:val="nil"/>
              <w:bottom w:val="single" w:sz="4" w:space="0" w:color="FFFFFF"/>
              <w:right w:val="nil"/>
            </w:tcBorders>
            <w:shd w:val="clear" w:color="000000" w:fill="F2F2F2"/>
            <w:vAlign w:val="center"/>
            <w:hideMark/>
          </w:tcPr>
          <w:p w14:paraId="6C3113AE" w14:textId="77777777" w:rsidR="003E7BBB" w:rsidRPr="003E7BBB" w:rsidRDefault="003E7BBB" w:rsidP="00811BEC">
            <w:pPr>
              <w:pStyle w:val="Tabletext"/>
              <w:spacing w:line="260" w:lineRule="exact"/>
              <w:jc w:val="center"/>
            </w:pPr>
            <w:r w:rsidRPr="003E7BBB">
              <w:t>2.8</w:t>
            </w:r>
          </w:p>
        </w:tc>
        <w:tc>
          <w:tcPr>
            <w:tcW w:w="695" w:type="dxa"/>
            <w:tcBorders>
              <w:top w:val="nil"/>
              <w:left w:val="nil"/>
              <w:bottom w:val="single" w:sz="4" w:space="0" w:color="FFFFFF"/>
              <w:right w:val="nil"/>
            </w:tcBorders>
            <w:shd w:val="clear" w:color="000000" w:fill="F2F2F2"/>
            <w:vAlign w:val="center"/>
            <w:hideMark/>
          </w:tcPr>
          <w:p w14:paraId="31CCFBD7" w14:textId="77777777" w:rsidR="003E7BBB" w:rsidRPr="003E7BBB" w:rsidRDefault="003E7BBB" w:rsidP="00811BEC">
            <w:pPr>
              <w:pStyle w:val="Tabletext"/>
              <w:spacing w:line="260" w:lineRule="exact"/>
              <w:jc w:val="center"/>
            </w:pPr>
            <w:r w:rsidRPr="003E7BBB">
              <w:t>2.5</w:t>
            </w:r>
          </w:p>
        </w:tc>
      </w:tr>
      <w:tr w:rsidR="00811BEC" w:rsidRPr="003E7BBB" w14:paraId="39FB8310" w14:textId="77777777" w:rsidTr="00471D95">
        <w:trPr>
          <w:trHeight w:val="340"/>
          <w:jc w:val="center"/>
        </w:trPr>
        <w:tc>
          <w:tcPr>
            <w:tcW w:w="3350" w:type="dxa"/>
            <w:tcBorders>
              <w:top w:val="nil"/>
              <w:left w:val="nil"/>
              <w:bottom w:val="single" w:sz="4" w:space="0" w:color="FFFFFF"/>
              <w:right w:val="single" w:sz="4" w:space="0" w:color="FFFFFF"/>
            </w:tcBorders>
            <w:shd w:val="clear" w:color="000000" w:fill="D9D9D9"/>
            <w:vAlign w:val="center"/>
            <w:hideMark/>
          </w:tcPr>
          <w:p w14:paraId="5AFB07C3" w14:textId="77777777" w:rsidR="003E7BBB" w:rsidRPr="003E7BBB" w:rsidRDefault="003E7BBB" w:rsidP="00811BEC">
            <w:pPr>
              <w:pStyle w:val="Tabletext"/>
              <w:spacing w:line="260" w:lineRule="exact"/>
            </w:pPr>
            <w:r w:rsidRPr="003E7BBB">
              <w:t>17. Subsidies</w:t>
            </w:r>
          </w:p>
        </w:tc>
        <w:tc>
          <w:tcPr>
            <w:tcW w:w="1328" w:type="dxa"/>
            <w:tcBorders>
              <w:top w:val="nil"/>
              <w:left w:val="single" w:sz="4" w:space="0" w:color="FFFFFF"/>
              <w:bottom w:val="single" w:sz="4" w:space="0" w:color="FFFFFF"/>
              <w:right w:val="single" w:sz="4" w:space="0" w:color="FFFFFF" w:themeColor="background1"/>
            </w:tcBorders>
            <w:shd w:val="clear" w:color="000000" w:fill="D9D9D9"/>
            <w:vAlign w:val="center"/>
            <w:hideMark/>
          </w:tcPr>
          <w:p w14:paraId="6B65B74D" w14:textId="77777777" w:rsidR="003E7BBB" w:rsidRPr="003E7BBB" w:rsidRDefault="003E7BBB" w:rsidP="00811BEC">
            <w:pPr>
              <w:pStyle w:val="Tabletext"/>
              <w:spacing w:line="260" w:lineRule="exact"/>
            </w:pPr>
            <w:r w:rsidRPr="003E7BBB">
              <w:t>D.3</w:t>
            </w:r>
          </w:p>
        </w:tc>
        <w:tc>
          <w:tcPr>
            <w:tcW w:w="1530" w:type="dxa"/>
            <w:tcBorders>
              <w:top w:val="nil"/>
              <w:left w:val="single" w:sz="4" w:space="0" w:color="FFFFFF" w:themeColor="background1"/>
              <w:bottom w:val="single" w:sz="4" w:space="0" w:color="FFFFFF"/>
              <w:right w:val="single" w:sz="4" w:space="0" w:color="FFFFFF" w:themeColor="background1"/>
            </w:tcBorders>
            <w:shd w:val="clear" w:color="000000" w:fill="D9D9D9"/>
            <w:vAlign w:val="center"/>
            <w:hideMark/>
          </w:tcPr>
          <w:p w14:paraId="383601A7" w14:textId="77777777" w:rsidR="003E7BBB" w:rsidRPr="003E7BBB" w:rsidRDefault="003E7BBB" w:rsidP="00811BEC">
            <w:pPr>
              <w:pStyle w:val="Tabletext"/>
              <w:spacing w:line="260" w:lineRule="exact"/>
              <w:jc w:val="center"/>
            </w:pPr>
            <w:r w:rsidRPr="003E7BBB">
              <w:t>4.5</w:t>
            </w:r>
          </w:p>
        </w:tc>
        <w:tc>
          <w:tcPr>
            <w:tcW w:w="695" w:type="dxa"/>
            <w:tcBorders>
              <w:top w:val="nil"/>
              <w:left w:val="single" w:sz="4" w:space="0" w:color="FFFFFF" w:themeColor="background1"/>
              <w:bottom w:val="single" w:sz="4" w:space="0" w:color="FFFFFF"/>
              <w:right w:val="nil"/>
            </w:tcBorders>
            <w:shd w:val="clear" w:color="000000" w:fill="D9D9D9"/>
            <w:vAlign w:val="center"/>
            <w:hideMark/>
          </w:tcPr>
          <w:p w14:paraId="0AEA471A" w14:textId="77777777" w:rsidR="003E7BBB" w:rsidRPr="003E7BBB" w:rsidRDefault="003E7BBB" w:rsidP="00811BEC">
            <w:pPr>
              <w:pStyle w:val="Tabletext"/>
              <w:spacing w:line="260" w:lineRule="exact"/>
              <w:jc w:val="center"/>
            </w:pPr>
            <w:r w:rsidRPr="003E7BBB">
              <w:t>2.0</w:t>
            </w:r>
          </w:p>
        </w:tc>
        <w:tc>
          <w:tcPr>
            <w:tcW w:w="695" w:type="dxa"/>
            <w:tcBorders>
              <w:top w:val="nil"/>
              <w:left w:val="nil"/>
              <w:bottom w:val="single" w:sz="4" w:space="0" w:color="FFFFFF"/>
              <w:right w:val="nil"/>
            </w:tcBorders>
            <w:shd w:val="clear" w:color="000000" w:fill="D9D9D9"/>
            <w:vAlign w:val="center"/>
            <w:hideMark/>
          </w:tcPr>
          <w:p w14:paraId="58B66558" w14:textId="77777777" w:rsidR="003E7BBB" w:rsidRPr="003E7BBB" w:rsidRDefault="003E7BBB" w:rsidP="00811BEC">
            <w:pPr>
              <w:pStyle w:val="Tabletext"/>
              <w:spacing w:line="260" w:lineRule="exact"/>
              <w:jc w:val="center"/>
            </w:pPr>
            <w:r w:rsidRPr="003E7BBB">
              <w:t>1.4</w:t>
            </w:r>
          </w:p>
        </w:tc>
        <w:tc>
          <w:tcPr>
            <w:tcW w:w="695" w:type="dxa"/>
            <w:tcBorders>
              <w:top w:val="nil"/>
              <w:left w:val="nil"/>
              <w:bottom w:val="single" w:sz="4" w:space="0" w:color="FFFFFF"/>
              <w:right w:val="nil"/>
            </w:tcBorders>
            <w:shd w:val="clear" w:color="000000" w:fill="D9D9D9"/>
            <w:vAlign w:val="center"/>
            <w:hideMark/>
          </w:tcPr>
          <w:p w14:paraId="685AC3F2" w14:textId="77777777" w:rsidR="003E7BBB" w:rsidRPr="003E7BBB" w:rsidRDefault="003E7BBB" w:rsidP="00811BEC">
            <w:pPr>
              <w:pStyle w:val="Tabletext"/>
              <w:spacing w:line="260" w:lineRule="exact"/>
              <w:jc w:val="center"/>
            </w:pPr>
            <w:r w:rsidRPr="003E7BBB">
              <w:t>1.3</w:t>
            </w:r>
          </w:p>
        </w:tc>
        <w:tc>
          <w:tcPr>
            <w:tcW w:w="695" w:type="dxa"/>
            <w:tcBorders>
              <w:top w:val="nil"/>
              <w:left w:val="nil"/>
              <w:bottom w:val="single" w:sz="4" w:space="0" w:color="FFFFFF"/>
              <w:right w:val="nil"/>
            </w:tcBorders>
            <w:shd w:val="clear" w:color="000000" w:fill="D9D9D9"/>
            <w:vAlign w:val="center"/>
            <w:hideMark/>
          </w:tcPr>
          <w:p w14:paraId="7D1C1917" w14:textId="77777777" w:rsidR="003E7BBB" w:rsidRPr="003E7BBB" w:rsidRDefault="003E7BBB" w:rsidP="00811BEC">
            <w:pPr>
              <w:pStyle w:val="Tabletext"/>
              <w:spacing w:line="260" w:lineRule="exact"/>
              <w:jc w:val="center"/>
            </w:pPr>
            <w:r w:rsidRPr="003E7BBB">
              <w:t>1.2</w:t>
            </w:r>
          </w:p>
        </w:tc>
      </w:tr>
      <w:tr w:rsidR="00811BEC" w:rsidRPr="003E7BBB" w14:paraId="5730D67F" w14:textId="77777777" w:rsidTr="00471D95">
        <w:trPr>
          <w:trHeight w:val="340"/>
          <w:jc w:val="center"/>
        </w:trPr>
        <w:tc>
          <w:tcPr>
            <w:tcW w:w="3350" w:type="dxa"/>
            <w:tcBorders>
              <w:top w:val="nil"/>
              <w:left w:val="nil"/>
              <w:bottom w:val="single" w:sz="4" w:space="0" w:color="FFFFFF"/>
              <w:right w:val="single" w:sz="4" w:space="0" w:color="FFFFFF"/>
            </w:tcBorders>
            <w:shd w:val="clear" w:color="000000" w:fill="F2F2F2"/>
            <w:vAlign w:val="center"/>
            <w:hideMark/>
          </w:tcPr>
          <w:p w14:paraId="00DFD276" w14:textId="77777777" w:rsidR="003E7BBB" w:rsidRPr="003E7BBB" w:rsidRDefault="003E7BBB" w:rsidP="00811BEC">
            <w:pPr>
              <w:pStyle w:val="Tabletext"/>
              <w:spacing w:line="260" w:lineRule="exact"/>
            </w:pPr>
            <w:r w:rsidRPr="003E7BBB">
              <w:t>18. Other current expenditure</w:t>
            </w:r>
          </w:p>
        </w:tc>
        <w:tc>
          <w:tcPr>
            <w:tcW w:w="1328" w:type="dxa"/>
            <w:tcBorders>
              <w:top w:val="nil"/>
              <w:left w:val="single" w:sz="4" w:space="0" w:color="FFFFFF"/>
              <w:bottom w:val="single" w:sz="4" w:space="0" w:color="FFFFFF"/>
              <w:right w:val="single" w:sz="4" w:space="0" w:color="FFFFFF" w:themeColor="background1"/>
            </w:tcBorders>
            <w:shd w:val="clear" w:color="000000" w:fill="F2F2F2"/>
            <w:vAlign w:val="center"/>
            <w:hideMark/>
          </w:tcPr>
          <w:p w14:paraId="25999D96" w14:textId="77777777" w:rsidR="003E7BBB" w:rsidRPr="003E7BBB" w:rsidRDefault="003E7BBB" w:rsidP="00811BEC">
            <w:pPr>
              <w:pStyle w:val="Tabletext"/>
              <w:spacing w:line="260" w:lineRule="exact"/>
            </w:pPr>
            <w:r w:rsidRPr="003E7BBB">
              <w:t>D.29 + (D.4-D.41) + D.5 + D.7 + D.8</w:t>
            </w:r>
          </w:p>
        </w:tc>
        <w:tc>
          <w:tcPr>
            <w:tcW w:w="1530" w:type="dxa"/>
            <w:tcBorders>
              <w:top w:val="nil"/>
              <w:left w:val="single" w:sz="4" w:space="0" w:color="FFFFFF" w:themeColor="background1"/>
              <w:bottom w:val="single" w:sz="4" w:space="0" w:color="FFFFFF"/>
              <w:right w:val="single" w:sz="4" w:space="0" w:color="FFFFFF" w:themeColor="background1"/>
            </w:tcBorders>
            <w:shd w:val="clear" w:color="000000" w:fill="F2F2F2"/>
            <w:vAlign w:val="center"/>
            <w:hideMark/>
          </w:tcPr>
          <w:p w14:paraId="113F371F" w14:textId="77777777" w:rsidR="003E7BBB" w:rsidRPr="003E7BBB" w:rsidRDefault="003E7BBB" w:rsidP="00811BEC">
            <w:pPr>
              <w:pStyle w:val="Tabletext"/>
              <w:spacing w:line="260" w:lineRule="exact"/>
              <w:jc w:val="center"/>
            </w:pPr>
            <w:r w:rsidRPr="003E7BBB">
              <w:t>3.1</w:t>
            </w:r>
          </w:p>
        </w:tc>
        <w:tc>
          <w:tcPr>
            <w:tcW w:w="695" w:type="dxa"/>
            <w:tcBorders>
              <w:top w:val="nil"/>
              <w:left w:val="single" w:sz="4" w:space="0" w:color="FFFFFF" w:themeColor="background1"/>
              <w:bottom w:val="single" w:sz="4" w:space="0" w:color="FFFFFF"/>
              <w:right w:val="nil"/>
            </w:tcBorders>
            <w:shd w:val="clear" w:color="000000" w:fill="F2F2F2"/>
            <w:vAlign w:val="center"/>
            <w:hideMark/>
          </w:tcPr>
          <w:p w14:paraId="41326502" w14:textId="77777777" w:rsidR="003E7BBB" w:rsidRPr="003E7BBB" w:rsidRDefault="003E7BBB" w:rsidP="00811BEC">
            <w:pPr>
              <w:pStyle w:val="Tabletext"/>
              <w:spacing w:line="260" w:lineRule="exact"/>
              <w:jc w:val="center"/>
            </w:pPr>
            <w:r w:rsidRPr="003E7BBB">
              <w:t>1.4</w:t>
            </w:r>
          </w:p>
        </w:tc>
        <w:tc>
          <w:tcPr>
            <w:tcW w:w="695" w:type="dxa"/>
            <w:tcBorders>
              <w:top w:val="nil"/>
              <w:left w:val="nil"/>
              <w:bottom w:val="single" w:sz="4" w:space="0" w:color="FFFFFF"/>
              <w:right w:val="nil"/>
            </w:tcBorders>
            <w:shd w:val="clear" w:color="000000" w:fill="F2F2F2"/>
            <w:vAlign w:val="center"/>
            <w:hideMark/>
          </w:tcPr>
          <w:p w14:paraId="4559DD86" w14:textId="77777777" w:rsidR="003E7BBB" w:rsidRPr="003E7BBB" w:rsidRDefault="003E7BBB" w:rsidP="00811BEC">
            <w:pPr>
              <w:pStyle w:val="Tabletext"/>
              <w:spacing w:line="260" w:lineRule="exact"/>
              <w:jc w:val="center"/>
            </w:pPr>
            <w:r w:rsidRPr="003E7BBB">
              <w:t>1.5</w:t>
            </w:r>
          </w:p>
        </w:tc>
        <w:tc>
          <w:tcPr>
            <w:tcW w:w="695" w:type="dxa"/>
            <w:tcBorders>
              <w:top w:val="nil"/>
              <w:left w:val="nil"/>
              <w:bottom w:val="single" w:sz="4" w:space="0" w:color="FFFFFF"/>
              <w:right w:val="nil"/>
            </w:tcBorders>
            <w:shd w:val="clear" w:color="000000" w:fill="F2F2F2"/>
            <w:vAlign w:val="center"/>
            <w:hideMark/>
          </w:tcPr>
          <w:p w14:paraId="23942D1B" w14:textId="77777777" w:rsidR="003E7BBB" w:rsidRPr="003E7BBB" w:rsidRDefault="003E7BBB" w:rsidP="00811BEC">
            <w:pPr>
              <w:pStyle w:val="Tabletext"/>
              <w:spacing w:line="260" w:lineRule="exact"/>
              <w:jc w:val="center"/>
            </w:pPr>
            <w:r w:rsidRPr="003E7BBB">
              <w:t>1.5</w:t>
            </w:r>
          </w:p>
        </w:tc>
        <w:tc>
          <w:tcPr>
            <w:tcW w:w="695" w:type="dxa"/>
            <w:tcBorders>
              <w:top w:val="nil"/>
              <w:left w:val="nil"/>
              <w:bottom w:val="single" w:sz="4" w:space="0" w:color="FFFFFF"/>
              <w:right w:val="nil"/>
            </w:tcBorders>
            <w:shd w:val="clear" w:color="000000" w:fill="F2F2F2"/>
            <w:vAlign w:val="center"/>
            <w:hideMark/>
          </w:tcPr>
          <w:p w14:paraId="06932CF8" w14:textId="77777777" w:rsidR="003E7BBB" w:rsidRPr="003E7BBB" w:rsidRDefault="003E7BBB" w:rsidP="00811BEC">
            <w:pPr>
              <w:pStyle w:val="Tabletext"/>
              <w:spacing w:line="260" w:lineRule="exact"/>
              <w:jc w:val="center"/>
            </w:pPr>
            <w:r w:rsidRPr="003E7BBB">
              <w:t>1.9</w:t>
            </w:r>
          </w:p>
        </w:tc>
      </w:tr>
      <w:tr w:rsidR="00811BEC" w:rsidRPr="003E7BBB" w14:paraId="6637FB88" w14:textId="77777777" w:rsidTr="00471D95">
        <w:trPr>
          <w:trHeight w:val="340"/>
          <w:jc w:val="center"/>
        </w:trPr>
        <w:tc>
          <w:tcPr>
            <w:tcW w:w="3350" w:type="dxa"/>
            <w:tcBorders>
              <w:top w:val="nil"/>
              <w:left w:val="nil"/>
              <w:bottom w:val="single" w:sz="4" w:space="0" w:color="FFFFFF"/>
              <w:right w:val="single" w:sz="4" w:space="0" w:color="FFFFFF"/>
            </w:tcBorders>
            <w:shd w:val="clear" w:color="000000" w:fill="D9D9D9"/>
            <w:vAlign w:val="center"/>
            <w:hideMark/>
          </w:tcPr>
          <w:p w14:paraId="07A1AD04" w14:textId="77777777" w:rsidR="003E7BBB" w:rsidRPr="003E7BBB" w:rsidRDefault="003E7BBB" w:rsidP="00811BEC">
            <w:pPr>
              <w:pStyle w:val="Tabletext"/>
              <w:spacing w:line="260" w:lineRule="exact"/>
            </w:pPr>
            <w:r w:rsidRPr="003E7BBB">
              <w:t>19. Gross fixed capital formation</w:t>
            </w:r>
          </w:p>
        </w:tc>
        <w:tc>
          <w:tcPr>
            <w:tcW w:w="1328" w:type="dxa"/>
            <w:tcBorders>
              <w:top w:val="nil"/>
              <w:left w:val="single" w:sz="4" w:space="0" w:color="FFFFFF"/>
              <w:bottom w:val="single" w:sz="4" w:space="0" w:color="FFFFFF"/>
              <w:right w:val="single" w:sz="4" w:space="0" w:color="FFFFFF" w:themeColor="background1"/>
            </w:tcBorders>
            <w:shd w:val="clear" w:color="000000" w:fill="D9D9D9"/>
            <w:vAlign w:val="center"/>
            <w:hideMark/>
          </w:tcPr>
          <w:p w14:paraId="607734FD" w14:textId="77777777" w:rsidR="003E7BBB" w:rsidRPr="003E7BBB" w:rsidRDefault="003E7BBB" w:rsidP="00811BEC">
            <w:pPr>
              <w:pStyle w:val="Tabletext"/>
              <w:spacing w:line="260" w:lineRule="exact"/>
            </w:pPr>
            <w:r w:rsidRPr="003E7BBB">
              <w:t>P.51</w:t>
            </w:r>
          </w:p>
        </w:tc>
        <w:tc>
          <w:tcPr>
            <w:tcW w:w="1530" w:type="dxa"/>
            <w:tcBorders>
              <w:top w:val="nil"/>
              <w:left w:val="single" w:sz="4" w:space="0" w:color="FFFFFF" w:themeColor="background1"/>
              <w:bottom w:val="single" w:sz="4" w:space="0" w:color="FFFFFF"/>
              <w:right w:val="single" w:sz="4" w:space="0" w:color="FFFFFF" w:themeColor="background1"/>
            </w:tcBorders>
            <w:shd w:val="clear" w:color="000000" w:fill="D9D9D9"/>
            <w:vAlign w:val="center"/>
            <w:hideMark/>
          </w:tcPr>
          <w:p w14:paraId="5838B323" w14:textId="77777777" w:rsidR="003E7BBB" w:rsidRPr="003E7BBB" w:rsidRDefault="003E7BBB" w:rsidP="00811BEC">
            <w:pPr>
              <w:pStyle w:val="Tabletext"/>
              <w:spacing w:line="260" w:lineRule="exact"/>
              <w:jc w:val="center"/>
            </w:pPr>
            <w:r w:rsidRPr="003E7BBB">
              <w:t>9.1</w:t>
            </w:r>
          </w:p>
        </w:tc>
        <w:tc>
          <w:tcPr>
            <w:tcW w:w="695" w:type="dxa"/>
            <w:tcBorders>
              <w:top w:val="nil"/>
              <w:left w:val="single" w:sz="4" w:space="0" w:color="FFFFFF" w:themeColor="background1"/>
              <w:bottom w:val="single" w:sz="4" w:space="0" w:color="FFFFFF"/>
              <w:right w:val="nil"/>
            </w:tcBorders>
            <w:shd w:val="clear" w:color="000000" w:fill="D9D9D9"/>
            <w:vAlign w:val="center"/>
            <w:hideMark/>
          </w:tcPr>
          <w:p w14:paraId="123D2EC4" w14:textId="77777777" w:rsidR="003E7BBB" w:rsidRPr="003E7BBB" w:rsidRDefault="003E7BBB" w:rsidP="00811BEC">
            <w:pPr>
              <w:pStyle w:val="Tabletext"/>
              <w:spacing w:line="260" w:lineRule="exact"/>
              <w:jc w:val="center"/>
            </w:pPr>
            <w:r w:rsidRPr="003E7BBB">
              <w:t>4.0</w:t>
            </w:r>
          </w:p>
        </w:tc>
        <w:tc>
          <w:tcPr>
            <w:tcW w:w="695" w:type="dxa"/>
            <w:tcBorders>
              <w:top w:val="nil"/>
              <w:left w:val="nil"/>
              <w:bottom w:val="single" w:sz="4" w:space="0" w:color="FFFFFF"/>
              <w:right w:val="nil"/>
            </w:tcBorders>
            <w:shd w:val="clear" w:color="000000" w:fill="D9D9D9"/>
            <w:vAlign w:val="center"/>
            <w:hideMark/>
          </w:tcPr>
          <w:p w14:paraId="5037E201" w14:textId="77777777" w:rsidR="003E7BBB" w:rsidRPr="003E7BBB" w:rsidRDefault="003E7BBB" w:rsidP="00811BEC">
            <w:pPr>
              <w:pStyle w:val="Tabletext"/>
              <w:spacing w:line="260" w:lineRule="exact"/>
              <w:jc w:val="center"/>
            </w:pPr>
            <w:r w:rsidRPr="003E7BBB">
              <w:t>4.3</w:t>
            </w:r>
          </w:p>
        </w:tc>
        <w:tc>
          <w:tcPr>
            <w:tcW w:w="695" w:type="dxa"/>
            <w:tcBorders>
              <w:top w:val="nil"/>
              <w:left w:val="nil"/>
              <w:bottom w:val="single" w:sz="4" w:space="0" w:color="FFFFFF"/>
              <w:right w:val="nil"/>
            </w:tcBorders>
            <w:shd w:val="clear" w:color="000000" w:fill="D9D9D9"/>
            <w:vAlign w:val="center"/>
            <w:hideMark/>
          </w:tcPr>
          <w:p w14:paraId="0AE6212D" w14:textId="77777777" w:rsidR="003E7BBB" w:rsidRPr="003E7BBB" w:rsidRDefault="003E7BBB" w:rsidP="00811BEC">
            <w:pPr>
              <w:pStyle w:val="Tabletext"/>
              <w:spacing w:line="260" w:lineRule="exact"/>
              <w:jc w:val="center"/>
            </w:pPr>
            <w:r w:rsidRPr="003E7BBB">
              <w:t>4.8</w:t>
            </w:r>
          </w:p>
        </w:tc>
        <w:tc>
          <w:tcPr>
            <w:tcW w:w="695" w:type="dxa"/>
            <w:tcBorders>
              <w:top w:val="nil"/>
              <w:left w:val="nil"/>
              <w:bottom w:val="single" w:sz="4" w:space="0" w:color="FFFFFF"/>
              <w:right w:val="nil"/>
            </w:tcBorders>
            <w:shd w:val="clear" w:color="000000" w:fill="D9D9D9"/>
            <w:vAlign w:val="center"/>
            <w:hideMark/>
          </w:tcPr>
          <w:p w14:paraId="39936289" w14:textId="77777777" w:rsidR="003E7BBB" w:rsidRPr="003E7BBB" w:rsidRDefault="003E7BBB" w:rsidP="00811BEC">
            <w:pPr>
              <w:pStyle w:val="Tabletext"/>
              <w:spacing w:line="260" w:lineRule="exact"/>
              <w:jc w:val="center"/>
            </w:pPr>
            <w:r w:rsidRPr="003E7BBB">
              <w:t>6.6</w:t>
            </w:r>
          </w:p>
        </w:tc>
      </w:tr>
      <w:tr w:rsidR="00811BEC" w:rsidRPr="003E7BBB" w14:paraId="26B40580" w14:textId="77777777" w:rsidTr="00471D95">
        <w:trPr>
          <w:trHeight w:val="340"/>
          <w:jc w:val="center"/>
        </w:trPr>
        <w:tc>
          <w:tcPr>
            <w:tcW w:w="3350" w:type="dxa"/>
            <w:tcBorders>
              <w:top w:val="nil"/>
              <w:left w:val="nil"/>
              <w:bottom w:val="single" w:sz="4" w:space="0" w:color="FFFFFF"/>
              <w:right w:val="single" w:sz="4" w:space="0" w:color="FFFFFF"/>
            </w:tcBorders>
            <w:shd w:val="clear" w:color="000000" w:fill="F2F2F2"/>
            <w:vAlign w:val="center"/>
            <w:hideMark/>
          </w:tcPr>
          <w:p w14:paraId="0CB9817A" w14:textId="77777777" w:rsidR="003E7BBB" w:rsidRPr="003E7BBB" w:rsidRDefault="003E7BBB" w:rsidP="00811BEC">
            <w:pPr>
              <w:pStyle w:val="Tabletext"/>
              <w:spacing w:line="260" w:lineRule="exact"/>
            </w:pPr>
            <w:r w:rsidRPr="003E7BBB">
              <w:t>20. Of which: Nationally financed public investment</w:t>
            </w:r>
          </w:p>
        </w:tc>
        <w:tc>
          <w:tcPr>
            <w:tcW w:w="1328" w:type="dxa"/>
            <w:tcBorders>
              <w:top w:val="nil"/>
              <w:left w:val="single" w:sz="4" w:space="0" w:color="FFFFFF"/>
              <w:bottom w:val="single" w:sz="4" w:space="0" w:color="FFFFFF"/>
              <w:right w:val="single" w:sz="4" w:space="0" w:color="FFFFFF" w:themeColor="background1"/>
            </w:tcBorders>
            <w:shd w:val="clear" w:color="000000" w:fill="F2F2F2"/>
            <w:vAlign w:val="center"/>
            <w:hideMark/>
          </w:tcPr>
          <w:p w14:paraId="43A8DC78" w14:textId="77777777" w:rsidR="003E7BBB" w:rsidRPr="003E7BBB" w:rsidRDefault="003E7BBB" w:rsidP="00811BEC">
            <w:pPr>
              <w:pStyle w:val="Tabletext"/>
              <w:spacing w:line="260" w:lineRule="exact"/>
            </w:pPr>
            <w:r w:rsidRPr="003E7BBB">
              <w:t> </w:t>
            </w:r>
          </w:p>
        </w:tc>
        <w:tc>
          <w:tcPr>
            <w:tcW w:w="1530" w:type="dxa"/>
            <w:tcBorders>
              <w:top w:val="nil"/>
              <w:left w:val="single" w:sz="4" w:space="0" w:color="FFFFFF" w:themeColor="background1"/>
              <w:bottom w:val="single" w:sz="4" w:space="0" w:color="FFFFFF"/>
              <w:right w:val="single" w:sz="4" w:space="0" w:color="FFFFFF" w:themeColor="background1"/>
            </w:tcBorders>
            <w:shd w:val="clear" w:color="000000" w:fill="F2F2F2"/>
            <w:vAlign w:val="center"/>
            <w:hideMark/>
          </w:tcPr>
          <w:p w14:paraId="401EB572" w14:textId="77777777" w:rsidR="003E7BBB" w:rsidRPr="003E7BBB" w:rsidRDefault="003E7BBB" w:rsidP="00811BEC">
            <w:pPr>
              <w:pStyle w:val="Tabletext"/>
              <w:spacing w:line="260" w:lineRule="exact"/>
              <w:jc w:val="center"/>
            </w:pPr>
            <w:r w:rsidRPr="003E7BBB">
              <w:t>5.6</w:t>
            </w:r>
          </w:p>
        </w:tc>
        <w:tc>
          <w:tcPr>
            <w:tcW w:w="695" w:type="dxa"/>
            <w:tcBorders>
              <w:top w:val="nil"/>
              <w:left w:val="single" w:sz="4" w:space="0" w:color="FFFFFF" w:themeColor="background1"/>
              <w:bottom w:val="single" w:sz="4" w:space="0" w:color="FFFFFF"/>
              <w:right w:val="nil"/>
            </w:tcBorders>
            <w:shd w:val="clear" w:color="000000" w:fill="F2F2F2"/>
            <w:vAlign w:val="center"/>
            <w:hideMark/>
          </w:tcPr>
          <w:p w14:paraId="7523A5AF" w14:textId="77777777" w:rsidR="003E7BBB" w:rsidRPr="003E7BBB" w:rsidRDefault="003E7BBB" w:rsidP="00811BEC">
            <w:pPr>
              <w:pStyle w:val="Tabletext"/>
              <w:spacing w:line="260" w:lineRule="exact"/>
              <w:jc w:val="center"/>
            </w:pPr>
            <w:r w:rsidRPr="003E7BBB">
              <w:t>2.5</w:t>
            </w:r>
          </w:p>
        </w:tc>
        <w:tc>
          <w:tcPr>
            <w:tcW w:w="695" w:type="dxa"/>
            <w:tcBorders>
              <w:top w:val="nil"/>
              <w:left w:val="nil"/>
              <w:bottom w:val="single" w:sz="4" w:space="0" w:color="FFFFFF"/>
              <w:right w:val="nil"/>
            </w:tcBorders>
            <w:shd w:val="clear" w:color="000000" w:fill="F2F2F2"/>
            <w:vAlign w:val="center"/>
            <w:hideMark/>
          </w:tcPr>
          <w:p w14:paraId="73983184" w14:textId="77777777" w:rsidR="003E7BBB" w:rsidRPr="003E7BBB" w:rsidRDefault="003E7BBB" w:rsidP="00811BEC">
            <w:pPr>
              <w:pStyle w:val="Tabletext"/>
              <w:spacing w:line="260" w:lineRule="exact"/>
              <w:jc w:val="center"/>
            </w:pPr>
            <w:r w:rsidRPr="003E7BBB">
              <w:t>2.8</w:t>
            </w:r>
          </w:p>
        </w:tc>
        <w:tc>
          <w:tcPr>
            <w:tcW w:w="695" w:type="dxa"/>
            <w:tcBorders>
              <w:top w:val="nil"/>
              <w:left w:val="nil"/>
              <w:bottom w:val="single" w:sz="4" w:space="0" w:color="FFFFFF"/>
              <w:right w:val="nil"/>
            </w:tcBorders>
            <w:shd w:val="clear" w:color="000000" w:fill="F2F2F2"/>
            <w:vAlign w:val="center"/>
            <w:hideMark/>
          </w:tcPr>
          <w:p w14:paraId="30B09A67" w14:textId="77777777" w:rsidR="003E7BBB" w:rsidRPr="003E7BBB" w:rsidRDefault="003E7BBB" w:rsidP="00811BEC">
            <w:pPr>
              <w:pStyle w:val="Tabletext"/>
              <w:spacing w:line="260" w:lineRule="exact"/>
              <w:jc w:val="center"/>
            </w:pPr>
            <w:r w:rsidRPr="003E7BBB">
              <w:t>2.9</w:t>
            </w:r>
          </w:p>
        </w:tc>
        <w:tc>
          <w:tcPr>
            <w:tcW w:w="695" w:type="dxa"/>
            <w:tcBorders>
              <w:top w:val="nil"/>
              <w:left w:val="nil"/>
              <w:bottom w:val="single" w:sz="4" w:space="0" w:color="FFFFFF"/>
              <w:right w:val="nil"/>
            </w:tcBorders>
            <w:shd w:val="clear" w:color="000000" w:fill="F2F2F2"/>
            <w:vAlign w:val="center"/>
            <w:hideMark/>
          </w:tcPr>
          <w:p w14:paraId="0220283B" w14:textId="77777777" w:rsidR="003E7BBB" w:rsidRPr="003E7BBB" w:rsidRDefault="003E7BBB" w:rsidP="00811BEC">
            <w:pPr>
              <w:pStyle w:val="Tabletext"/>
              <w:spacing w:line="260" w:lineRule="exact"/>
              <w:jc w:val="center"/>
            </w:pPr>
            <w:r w:rsidRPr="003E7BBB">
              <w:t>2.8</w:t>
            </w:r>
          </w:p>
        </w:tc>
      </w:tr>
      <w:tr w:rsidR="00811BEC" w:rsidRPr="003E7BBB" w14:paraId="01C0BCAA" w14:textId="77777777" w:rsidTr="00471D95">
        <w:trPr>
          <w:trHeight w:val="340"/>
          <w:jc w:val="center"/>
        </w:trPr>
        <w:tc>
          <w:tcPr>
            <w:tcW w:w="3350" w:type="dxa"/>
            <w:tcBorders>
              <w:top w:val="nil"/>
              <w:left w:val="nil"/>
              <w:bottom w:val="single" w:sz="4" w:space="0" w:color="FFFFFF"/>
              <w:right w:val="single" w:sz="4" w:space="0" w:color="FFFFFF"/>
            </w:tcBorders>
            <w:shd w:val="clear" w:color="000000" w:fill="D9D9D9"/>
            <w:vAlign w:val="center"/>
            <w:hideMark/>
          </w:tcPr>
          <w:p w14:paraId="6343BD77" w14:textId="77777777" w:rsidR="003E7BBB" w:rsidRPr="003E7BBB" w:rsidRDefault="003E7BBB" w:rsidP="00811BEC">
            <w:pPr>
              <w:pStyle w:val="Tabletext"/>
              <w:spacing w:line="260" w:lineRule="exact"/>
            </w:pPr>
            <w:r w:rsidRPr="003E7BBB">
              <w:t>21. Capital transfers</w:t>
            </w:r>
          </w:p>
        </w:tc>
        <w:tc>
          <w:tcPr>
            <w:tcW w:w="1328" w:type="dxa"/>
            <w:tcBorders>
              <w:top w:val="nil"/>
              <w:left w:val="single" w:sz="4" w:space="0" w:color="FFFFFF"/>
              <w:bottom w:val="single" w:sz="4" w:space="0" w:color="FFFFFF"/>
              <w:right w:val="single" w:sz="4" w:space="0" w:color="FFFFFF" w:themeColor="background1"/>
            </w:tcBorders>
            <w:shd w:val="clear" w:color="000000" w:fill="D9D9D9"/>
            <w:vAlign w:val="center"/>
            <w:hideMark/>
          </w:tcPr>
          <w:p w14:paraId="38C87764" w14:textId="77777777" w:rsidR="003E7BBB" w:rsidRPr="003E7BBB" w:rsidRDefault="003E7BBB" w:rsidP="00811BEC">
            <w:pPr>
              <w:pStyle w:val="Tabletext"/>
              <w:spacing w:line="260" w:lineRule="exact"/>
            </w:pPr>
            <w:r w:rsidRPr="003E7BBB">
              <w:t>D.9</w:t>
            </w:r>
          </w:p>
        </w:tc>
        <w:tc>
          <w:tcPr>
            <w:tcW w:w="1530" w:type="dxa"/>
            <w:tcBorders>
              <w:top w:val="nil"/>
              <w:left w:val="single" w:sz="4" w:space="0" w:color="FFFFFF" w:themeColor="background1"/>
              <w:bottom w:val="single" w:sz="4" w:space="0" w:color="FFFFFF"/>
              <w:right w:val="single" w:sz="4" w:space="0" w:color="FFFFFF" w:themeColor="background1"/>
            </w:tcBorders>
            <w:shd w:val="clear" w:color="000000" w:fill="D9D9D9"/>
            <w:vAlign w:val="center"/>
            <w:hideMark/>
          </w:tcPr>
          <w:p w14:paraId="7D990626" w14:textId="77777777" w:rsidR="003E7BBB" w:rsidRPr="003E7BBB" w:rsidRDefault="003E7BBB" w:rsidP="00811BEC">
            <w:pPr>
              <w:pStyle w:val="Tabletext"/>
              <w:spacing w:line="260" w:lineRule="exact"/>
              <w:jc w:val="center"/>
            </w:pPr>
            <w:r w:rsidRPr="003E7BBB">
              <w:t>5.3</w:t>
            </w:r>
          </w:p>
        </w:tc>
        <w:tc>
          <w:tcPr>
            <w:tcW w:w="695" w:type="dxa"/>
            <w:tcBorders>
              <w:top w:val="nil"/>
              <w:left w:val="single" w:sz="4" w:space="0" w:color="FFFFFF" w:themeColor="background1"/>
              <w:bottom w:val="single" w:sz="4" w:space="0" w:color="FFFFFF"/>
              <w:right w:val="nil"/>
            </w:tcBorders>
            <w:shd w:val="clear" w:color="000000" w:fill="D9D9D9"/>
            <w:vAlign w:val="center"/>
            <w:hideMark/>
          </w:tcPr>
          <w:p w14:paraId="728DE34D" w14:textId="77777777" w:rsidR="003E7BBB" w:rsidRPr="003E7BBB" w:rsidRDefault="003E7BBB" w:rsidP="00811BEC">
            <w:pPr>
              <w:pStyle w:val="Tabletext"/>
              <w:spacing w:line="260" w:lineRule="exact"/>
              <w:jc w:val="center"/>
            </w:pPr>
            <w:r w:rsidRPr="003E7BBB">
              <w:t>2.3</w:t>
            </w:r>
          </w:p>
        </w:tc>
        <w:tc>
          <w:tcPr>
            <w:tcW w:w="695" w:type="dxa"/>
            <w:tcBorders>
              <w:top w:val="nil"/>
              <w:left w:val="nil"/>
              <w:bottom w:val="single" w:sz="4" w:space="0" w:color="FFFFFF"/>
              <w:right w:val="nil"/>
            </w:tcBorders>
            <w:shd w:val="clear" w:color="000000" w:fill="D9D9D9"/>
            <w:vAlign w:val="center"/>
            <w:hideMark/>
          </w:tcPr>
          <w:p w14:paraId="4855F8C8" w14:textId="77777777" w:rsidR="003E7BBB" w:rsidRPr="003E7BBB" w:rsidRDefault="003E7BBB" w:rsidP="00811BEC">
            <w:pPr>
              <w:pStyle w:val="Tabletext"/>
              <w:spacing w:line="260" w:lineRule="exact"/>
              <w:jc w:val="center"/>
            </w:pPr>
            <w:r w:rsidRPr="003E7BBB">
              <w:t>2.3</w:t>
            </w:r>
          </w:p>
        </w:tc>
        <w:tc>
          <w:tcPr>
            <w:tcW w:w="695" w:type="dxa"/>
            <w:tcBorders>
              <w:top w:val="nil"/>
              <w:left w:val="nil"/>
              <w:bottom w:val="single" w:sz="4" w:space="0" w:color="FFFFFF"/>
              <w:right w:val="nil"/>
            </w:tcBorders>
            <w:shd w:val="clear" w:color="000000" w:fill="D9D9D9"/>
            <w:vAlign w:val="center"/>
            <w:hideMark/>
          </w:tcPr>
          <w:p w14:paraId="2535FB95" w14:textId="77777777" w:rsidR="003E7BBB" w:rsidRPr="003E7BBB" w:rsidRDefault="003E7BBB" w:rsidP="00811BEC">
            <w:pPr>
              <w:pStyle w:val="Tabletext"/>
              <w:spacing w:line="260" w:lineRule="exact"/>
              <w:jc w:val="center"/>
            </w:pPr>
            <w:r w:rsidRPr="003E7BBB">
              <w:t>2.5</w:t>
            </w:r>
          </w:p>
        </w:tc>
        <w:tc>
          <w:tcPr>
            <w:tcW w:w="695" w:type="dxa"/>
            <w:tcBorders>
              <w:top w:val="nil"/>
              <w:left w:val="nil"/>
              <w:bottom w:val="single" w:sz="4" w:space="0" w:color="FFFFFF"/>
              <w:right w:val="nil"/>
            </w:tcBorders>
            <w:shd w:val="clear" w:color="000000" w:fill="D9D9D9"/>
            <w:vAlign w:val="center"/>
            <w:hideMark/>
          </w:tcPr>
          <w:p w14:paraId="23013E53" w14:textId="77777777" w:rsidR="003E7BBB" w:rsidRPr="003E7BBB" w:rsidRDefault="003E7BBB" w:rsidP="00811BEC">
            <w:pPr>
              <w:pStyle w:val="Tabletext"/>
              <w:spacing w:line="260" w:lineRule="exact"/>
              <w:jc w:val="center"/>
            </w:pPr>
            <w:r w:rsidRPr="003E7BBB">
              <w:t>2.0</w:t>
            </w:r>
          </w:p>
        </w:tc>
      </w:tr>
      <w:tr w:rsidR="00811BEC" w:rsidRPr="003E7BBB" w14:paraId="0E1C879B" w14:textId="77777777" w:rsidTr="00471D95">
        <w:trPr>
          <w:trHeight w:val="340"/>
          <w:jc w:val="center"/>
        </w:trPr>
        <w:tc>
          <w:tcPr>
            <w:tcW w:w="3350" w:type="dxa"/>
            <w:tcBorders>
              <w:top w:val="nil"/>
              <w:left w:val="nil"/>
              <w:bottom w:val="single" w:sz="4" w:space="0" w:color="FFFFFF"/>
              <w:right w:val="single" w:sz="4" w:space="0" w:color="FFFFFF"/>
            </w:tcBorders>
            <w:shd w:val="clear" w:color="000000" w:fill="F2F2F2"/>
            <w:vAlign w:val="center"/>
            <w:hideMark/>
          </w:tcPr>
          <w:p w14:paraId="5A12764F" w14:textId="77777777" w:rsidR="003E7BBB" w:rsidRPr="003E7BBB" w:rsidRDefault="003E7BBB" w:rsidP="00811BEC">
            <w:pPr>
              <w:pStyle w:val="Tabletext"/>
              <w:spacing w:line="260" w:lineRule="exact"/>
            </w:pPr>
            <w:r w:rsidRPr="003E7BBB">
              <w:t>22. Other capital expenditure</w:t>
            </w:r>
          </w:p>
        </w:tc>
        <w:tc>
          <w:tcPr>
            <w:tcW w:w="1328" w:type="dxa"/>
            <w:tcBorders>
              <w:top w:val="nil"/>
              <w:left w:val="single" w:sz="4" w:space="0" w:color="FFFFFF"/>
              <w:bottom w:val="single" w:sz="4" w:space="0" w:color="FFFFFF"/>
              <w:right w:val="single" w:sz="4" w:space="0" w:color="FFFFFF" w:themeColor="background1"/>
            </w:tcBorders>
            <w:shd w:val="clear" w:color="000000" w:fill="F2F2F2"/>
            <w:vAlign w:val="center"/>
            <w:hideMark/>
          </w:tcPr>
          <w:p w14:paraId="1151A985" w14:textId="77777777" w:rsidR="003E7BBB" w:rsidRPr="003E7BBB" w:rsidRDefault="003E7BBB" w:rsidP="00811BEC">
            <w:pPr>
              <w:pStyle w:val="Tabletext"/>
              <w:spacing w:line="260" w:lineRule="exact"/>
            </w:pPr>
            <w:r w:rsidRPr="003E7BBB">
              <w:t>P.52+P.53+NP</w:t>
            </w:r>
          </w:p>
        </w:tc>
        <w:tc>
          <w:tcPr>
            <w:tcW w:w="1530" w:type="dxa"/>
            <w:tcBorders>
              <w:top w:val="nil"/>
              <w:left w:val="single" w:sz="4" w:space="0" w:color="FFFFFF" w:themeColor="background1"/>
              <w:bottom w:val="single" w:sz="4" w:space="0" w:color="FFFFFF"/>
              <w:right w:val="single" w:sz="4" w:space="0" w:color="FFFFFF" w:themeColor="background1"/>
            </w:tcBorders>
            <w:shd w:val="clear" w:color="000000" w:fill="F2F2F2"/>
            <w:vAlign w:val="center"/>
            <w:hideMark/>
          </w:tcPr>
          <w:p w14:paraId="04E0FE41" w14:textId="77777777" w:rsidR="003E7BBB" w:rsidRPr="003E7BBB" w:rsidRDefault="003E7BBB" w:rsidP="00811BEC">
            <w:pPr>
              <w:pStyle w:val="Tabletext"/>
              <w:spacing w:line="260" w:lineRule="exact"/>
              <w:jc w:val="center"/>
            </w:pPr>
            <w:r w:rsidRPr="003E7BBB">
              <w:t>-0.1</w:t>
            </w:r>
          </w:p>
        </w:tc>
        <w:tc>
          <w:tcPr>
            <w:tcW w:w="695" w:type="dxa"/>
            <w:tcBorders>
              <w:top w:val="nil"/>
              <w:left w:val="single" w:sz="4" w:space="0" w:color="FFFFFF" w:themeColor="background1"/>
              <w:bottom w:val="single" w:sz="4" w:space="0" w:color="FFFFFF"/>
              <w:right w:val="nil"/>
            </w:tcBorders>
            <w:shd w:val="clear" w:color="000000" w:fill="F2F2F2"/>
            <w:vAlign w:val="center"/>
            <w:hideMark/>
          </w:tcPr>
          <w:p w14:paraId="4686BA29" w14:textId="77777777" w:rsidR="003E7BBB" w:rsidRPr="003E7BBB" w:rsidRDefault="003E7BBB" w:rsidP="00811BEC">
            <w:pPr>
              <w:pStyle w:val="Tabletext"/>
              <w:spacing w:line="260" w:lineRule="exact"/>
              <w:jc w:val="center"/>
            </w:pPr>
            <w:r w:rsidRPr="003E7BBB">
              <w:t>0.0</w:t>
            </w:r>
          </w:p>
        </w:tc>
        <w:tc>
          <w:tcPr>
            <w:tcW w:w="695" w:type="dxa"/>
            <w:tcBorders>
              <w:top w:val="nil"/>
              <w:left w:val="nil"/>
              <w:bottom w:val="single" w:sz="4" w:space="0" w:color="FFFFFF"/>
              <w:right w:val="nil"/>
            </w:tcBorders>
            <w:shd w:val="clear" w:color="000000" w:fill="F2F2F2"/>
            <w:vAlign w:val="center"/>
            <w:hideMark/>
          </w:tcPr>
          <w:p w14:paraId="39A099BA" w14:textId="77777777" w:rsidR="003E7BBB" w:rsidRPr="003E7BBB" w:rsidRDefault="003E7BBB" w:rsidP="00811BEC">
            <w:pPr>
              <w:pStyle w:val="Tabletext"/>
              <w:spacing w:line="260" w:lineRule="exact"/>
              <w:jc w:val="center"/>
            </w:pPr>
            <w:r w:rsidRPr="003E7BBB">
              <w:t>0.0</w:t>
            </w:r>
          </w:p>
        </w:tc>
        <w:tc>
          <w:tcPr>
            <w:tcW w:w="695" w:type="dxa"/>
            <w:tcBorders>
              <w:top w:val="nil"/>
              <w:left w:val="nil"/>
              <w:bottom w:val="single" w:sz="4" w:space="0" w:color="FFFFFF"/>
              <w:right w:val="nil"/>
            </w:tcBorders>
            <w:shd w:val="clear" w:color="000000" w:fill="F2F2F2"/>
            <w:vAlign w:val="center"/>
            <w:hideMark/>
          </w:tcPr>
          <w:p w14:paraId="61363E73" w14:textId="77777777" w:rsidR="003E7BBB" w:rsidRPr="003E7BBB" w:rsidRDefault="003E7BBB" w:rsidP="00811BEC">
            <w:pPr>
              <w:pStyle w:val="Tabletext"/>
              <w:spacing w:line="260" w:lineRule="exact"/>
              <w:jc w:val="center"/>
            </w:pPr>
            <w:r w:rsidRPr="003E7BBB">
              <w:t>0.0</w:t>
            </w:r>
          </w:p>
        </w:tc>
        <w:tc>
          <w:tcPr>
            <w:tcW w:w="695" w:type="dxa"/>
            <w:tcBorders>
              <w:top w:val="nil"/>
              <w:left w:val="nil"/>
              <w:bottom w:val="single" w:sz="4" w:space="0" w:color="FFFFFF"/>
              <w:right w:val="nil"/>
            </w:tcBorders>
            <w:shd w:val="clear" w:color="000000" w:fill="F2F2F2"/>
            <w:vAlign w:val="center"/>
            <w:hideMark/>
          </w:tcPr>
          <w:p w14:paraId="79069F5C" w14:textId="77777777" w:rsidR="003E7BBB" w:rsidRPr="003E7BBB" w:rsidRDefault="003E7BBB" w:rsidP="00811BEC">
            <w:pPr>
              <w:pStyle w:val="Tabletext"/>
              <w:spacing w:line="260" w:lineRule="exact"/>
              <w:jc w:val="center"/>
            </w:pPr>
            <w:r w:rsidRPr="003E7BBB">
              <w:t>0.0</w:t>
            </w:r>
          </w:p>
        </w:tc>
      </w:tr>
      <w:tr w:rsidR="00811BEC" w:rsidRPr="003E7BBB" w14:paraId="5F5B36D0" w14:textId="77777777" w:rsidTr="00471D95">
        <w:trPr>
          <w:trHeight w:val="340"/>
          <w:jc w:val="center"/>
        </w:trPr>
        <w:tc>
          <w:tcPr>
            <w:tcW w:w="3350" w:type="dxa"/>
            <w:tcBorders>
              <w:top w:val="nil"/>
              <w:left w:val="nil"/>
              <w:bottom w:val="single" w:sz="4" w:space="0" w:color="FFFFFF"/>
              <w:right w:val="single" w:sz="4" w:space="0" w:color="FFFFFF"/>
            </w:tcBorders>
            <w:shd w:val="clear" w:color="000000" w:fill="D9D9D9"/>
            <w:vAlign w:val="center"/>
            <w:hideMark/>
          </w:tcPr>
          <w:p w14:paraId="778B1075" w14:textId="77777777" w:rsidR="003E7BBB" w:rsidRPr="003E7BBB" w:rsidRDefault="003E7BBB" w:rsidP="00811BEC">
            <w:pPr>
              <w:pStyle w:val="Tabletext"/>
              <w:spacing w:line="260" w:lineRule="exact"/>
            </w:pPr>
            <w:r w:rsidRPr="003E7BBB">
              <w:t>23. Total expenditure (= 12+13+14+15+16+17+18+19+21+22)</w:t>
            </w:r>
          </w:p>
        </w:tc>
        <w:tc>
          <w:tcPr>
            <w:tcW w:w="1328" w:type="dxa"/>
            <w:tcBorders>
              <w:top w:val="nil"/>
              <w:left w:val="single" w:sz="4" w:space="0" w:color="FFFFFF"/>
              <w:bottom w:val="single" w:sz="4" w:space="0" w:color="FFFFFF"/>
              <w:right w:val="single" w:sz="4" w:space="0" w:color="FFFFFF" w:themeColor="background1"/>
            </w:tcBorders>
            <w:shd w:val="clear" w:color="000000" w:fill="D9D9D9"/>
            <w:vAlign w:val="center"/>
            <w:hideMark/>
          </w:tcPr>
          <w:p w14:paraId="2D035FD3" w14:textId="77777777" w:rsidR="003E7BBB" w:rsidRPr="003E7BBB" w:rsidRDefault="003E7BBB" w:rsidP="00811BEC">
            <w:pPr>
              <w:pStyle w:val="Tabletext"/>
              <w:spacing w:line="260" w:lineRule="exact"/>
            </w:pPr>
            <w:r w:rsidRPr="003E7BBB">
              <w:t>TE</w:t>
            </w:r>
          </w:p>
        </w:tc>
        <w:tc>
          <w:tcPr>
            <w:tcW w:w="1530" w:type="dxa"/>
            <w:tcBorders>
              <w:top w:val="nil"/>
              <w:left w:val="single" w:sz="4" w:space="0" w:color="FFFFFF" w:themeColor="background1"/>
              <w:bottom w:val="single" w:sz="4" w:space="0" w:color="FFFFFF"/>
              <w:right w:val="single" w:sz="4" w:space="0" w:color="FFFFFF" w:themeColor="background1"/>
            </w:tcBorders>
            <w:shd w:val="clear" w:color="000000" w:fill="D9D9D9"/>
            <w:vAlign w:val="center"/>
            <w:hideMark/>
          </w:tcPr>
          <w:p w14:paraId="757FFD49" w14:textId="77777777" w:rsidR="003E7BBB" w:rsidRPr="003E7BBB" w:rsidRDefault="003E7BBB" w:rsidP="00811BEC">
            <w:pPr>
              <w:pStyle w:val="Tabletext"/>
              <w:spacing w:line="260" w:lineRule="exact"/>
              <w:jc w:val="center"/>
            </w:pPr>
            <w:r w:rsidRPr="003E7BBB">
              <w:t>111.3</w:t>
            </w:r>
          </w:p>
        </w:tc>
        <w:tc>
          <w:tcPr>
            <w:tcW w:w="695" w:type="dxa"/>
            <w:tcBorders>
              <w:top w:val="nil"/>
              <w:left w:val="single" w:sz="4" w:space="0" w:color="FFFFFF" w:themeColor="background1"/>
              <w:bottom w:val="single" w:sz="4" w:space="0" w:color="FFFFFF"/>
              <w:right w:val="nil"/>
            </w:tcBorders>
            <w:shd w:val="clear" w:color="000000" w:fill="D9D9D9"/>
            <w:vAlign w:val="center"/>
            <w:hideMark/>
          </w:tcPr>
          <w:p w14:paraId="4A24DF57" w14:textId="77777777" w:rsidR="003E7BBB" w:rsidRPr="003E7BBB" w:rsidRDefault="003E7BBB" w:rsidP="00811BEC">
            <w:pPr>
              <w:pStyle w:val="Tabletext"/>
              <w:spacing w:line="260" w:lineRule="exact"/>
              <w:jc w:val="center"/>
            </w:pPr>
            <w:r w:rsidRPr="003E7BBB">
              <w:t>49.5</w:t>
            </w:r>
          </w:p>
        </w:tc>
        <w:tc>
          <w:tcPr>
            <w:tcW w:w="695" w:type="dxa"/>
            <w:tcBorders>
              <w:top w:val="nil"/>
              <w:left w:val="nil"/>
              <w:bottom w:val="single" w:sz="4" w:space="0" w:color="FFFFFF"/>
              <w:right w:val="nil"/>
            </w:tcBorders>
            <w:shd w:val="clear" w:color="000000" w:fill="D9D9D9"/>
            <w:vAlign w:val="center"/>
            <w:hideMark/>
          </w:tcPr>
          <w:p w14:paraId="0398F655" w14:textId="77777777" w:rsidR="003E7BBB" w:rsidRPr="003E7BBB" w:rsidRDefault="003E7BBB" w:rsidP="00811BEC">
            <w:pPr>
              <w:pStyle w:val="Tabletext"/>
              <w:spacing w:line="260" w:lineRule="exact"/>
              <w:jc w:val="center"/>
            </w:pPr>
            <w:r w:rsidRPr="003E7BBB">
              <w:t>48.1</w:t>
            </w:r>
          </w:p>
        </w:tc>
        <w:tc>
          <w:tcPr>
            <w:tcW w:w="695" w:type="dxa"/>
            <w:tcBorders>
              <w:top w:val="nil"/>
              <w:left w:val="nil"/>
              <w:bottom w:val="single" w:sz="4" w:space="0" w:color="FFFFFF"/>
              <w:right w:val="nil"/>
            </w:tcBorders>
            <w:shd w:val="clear" w:color="000000" w:fill="D9D9D9"/>
            <w:vAlign w:val="center"/>
            <w:hideMark/>
          </w:tcPr>
          <w:p w14:paraId="1E2ED9AC" w14:textId="77777777" w:rsidR="003E7BBB" w:rsidRPr="003E7BBB" w:rsidRDefault="003E7BBB" w:rsidP="00811BEC">
            <w:pPr>
              <w:pStyle w:val="Tabletext"/>
              <w:spacing w:line="260" w:lineRule="exact"/>
              <w:jc w:val="center"/>
            </w:pPr>
            <w:r w:rsidRPr="003E7BBB">
              <w:t>48.3</w:t>
            </w:r>
          </w:p>
        </w:tc>
        <w:tc>
          <w:tcPr>
            <w:tcW w:w="695" w:type="dxa"/>
            <w:tcBorders>
              <w:top w:val="nil"/>
              <w:left w:val="nil"/>
              <w:bottom w:val="single" w:sz="4" w:space="0" w:color="FFFFFF"/>
              <w:right w:val="nil"/>
            </w:tcBorders>
            <w:shd w:val="clear" w:color="000000" w:fill="D9D9D9"/>
            <w:vAlign w:val="center"/>
            <w:hideMark/>
          </w:tcPr>
          <w:p w14:paraId="06615735" w14:textId="77777777" w:rsidR="003E7BBB" w:rsidRPr="003E7BBB" w:rsidRDefault="003E7BBB" w:rsidP="00811BEC">
            <w:pPr>
              <w:pStyle w:val="Tabletext"/>
              <w:spacing w:line="260" w:lineRule="exact"/>
              <w:jc w:val="center"/>
            </w:pPr>
            <w:r w:rsidRPr="003E7BBB">
              <w:t>50.2</w:t>
            </w:r>
          </w:p>
        </w:tc>
      </w:tr>
      <w:tr w:rsidR="00811BEC" w:rsidRPr="003E7BBB" w14:paraId="2F18D11F" w14:textId="77777777" w:rsidTr="00471D95">
        <w:trPr>
          <w:trHeight w:val="340"/>
          <w:jc w:val="center"/>
        </w:trPr>
        <w:tc>
          <w:tcPr>
            <w:tcW w:w="3350" w:type="dxa"/>
            <w:tcBorders>
              <w:top w:val="nil"/>
              <w:left w:val="nil"/>
              <w:bottom w:val="single" w:sz="4" w:space="0" w:color="FFFFFF"/>
              <w:right w:val="single" w:sz="4" w:space="0" w:color="FFFFFF"/>
            </w:tcBorders>
            <w:shd w:val="clear" w:color="000000" w:fill="F2F2F2"/>
            <w:vAlign w:val="center"/>
            <w:hideMark/>
          </w:tcPr>
          <w:p w14:paraId="4952A9FF" w14:textId="77777777" w:rsidR="003E7BBB" w:rsidRPr="003E7BBB" w:rsidRDefault="003E7BBB" w:rsidP="00811BEC">
            <w:pPr>
              <w:pStyle w:val="Tabletext"/>
              <w:spacing w:line="260" w:lineRule="exact"/>
            </w:pPr>
            <w:r w:rsidRPr="003E7BBB">
              <w:t>24. Of which: Expenditure funded by transfers from the EU</w:t>
            </w:r>
          </w:p>
        </w:tc>
        <w:tc>
          <w:tcPr>
            <w:tcW w:w="1328" w:type="dxa"/>
            <w:tcBorders>
              <w:top w:val="nil"/>
              <w:left w:val="single" w:sz="4" w:space="0" w:color="FFFFFF"/>
              <w:bottom w:val="single" w:sz="4" w:space="0" w:color="FFFFFF"/>
              <w:right w:val="single" w:sz="4" w:space="0" w:color="FFFFFF" w:themeColor="background1"/>
            </w:tcBorders>
            <w:shd w:val="clear" w:color="000000" w:fill="F2F2F2"/>
            <w:vAlign w:val="center"/>
            <w:hideMark/>
          </w:tcPr>
          <w:p w14:paraId="03506CB7" w14:textId="77777777" w:rsidR="003E7BBB" w:rsidRPr="003E7BBB" w:rsidRDefault="003E7BBB" w:rsidP="00811BEC">
            <w:pPr>
              <w:pStyle w:val="Tabletext"/>
              <w:spacing w:line="260" w:lineRule="exact"/>
            </w:pPr>
            <w:r w:rsidRPr="003E7BBB">
              <w:t> </w:t>
            </w:r>
          </w:p>
        </w:tc>
        <w:tc>
          <w:tcPr>
            <w:tcW w:w="1530" w:type="dxa"/>
            <w:tcBorders>
              <w:top w:val="nil"/>
              <w:left w:val="single" w:sz="4" w:space="0" w:color="FFFFFF" w:themeColor="background1"/>
              <w:bottom w:val="single" w:sz="4" w:space="0" w:color="FFFFFF"/>
              <w:right w:val="single" w:sz="4" w:space="0" w:color="FFFFFF" w:themeColor="background1"/>
            </w:tcBorders>
            <w:shd w:val="clear" w:color="000000" w:fill="F2F2F2"/>
            <w:vAlign w:val="center"/>
            <w:hideMark/>
          </w:tcPr>
          <w:p w14:paraId="3F674A20" w14:textId="77777777" w:rsidR="003E7BBB" w:rsidRPr="003E7BBB" w:rsidRDefault="003E7BBB" w:rsidP="00811BEC">
            <w:pPr>
              <w:pStyle w:val="Tabletext"/>
              <w:spacing w:line="260" w:lineRule="exact"/>
              <w:jc w:val="center"/>
            </w:pPr>
            <w:r w:rsidRPr="003E7BBB">
              <w:t>5.7</w:t>
            </w:r>
          </w:p>
        </w:tc>
        <w:tc>
          <w:tcPr>
            <w:tcW w:w="695" w:type="dxa"/>
            <w:tcBorders>
              <w:top w:val="nil"/>
              <w:left w:val="single" w:sz="4" w:space="0" w:color="FFFFFF" w:themeColor="background1"/>
              <w:bottom w:val="single" w:sz="4" w:space="0" w:color="FFFFFF"/>
              <w:right w:val="nil"/>
            </w:tcBorders>
            <w:shd w:val="clear" w:color="000000" w:fill="F2F2F2"/>
            <w:vAlign w:val="center"/>
            <w:hideMark/>
          </w:tcPr>
          <w:p w14:paraId="78937674" w14:textId="77777777" w:rsidR="003E7BBB" w:rsidRPr="003E7BBB" w:rsidRDefault="003E7BBB" w:rsidP="00811BEC">
            <w:pPr>
              <w:pStyle w:val="Tabletext"/>
              <w:spacing w:line="260" w:lineRule="exact"/>
              <w:jc w:val="center"/>
            </w:pPr>
            <w:r w:rsidRPr="003E7BBB">
              <w:t>2.5</w:t>
            </w:r>
          </w:p>
        </w:tc>
        <w:tc>
          <w:tcPr>
            <w:tcW w:w="695" w:type="dxa"/>
            <w:tcBorders>
              <w:top w:val="nil"/>
              <w:left w:val="nil"/>
              <w:bottom w:val="single" w:sz="4" w:space="0" w:color="FFFFFF"/>
              <w:right w:val="nil"/>
            </w:tcBorders>
            <w:shd w:val="clear" w:color="000000" w:fill="F2F2F2"/>
            <w:vAlign w:val="center"/>
            <w:hideMark/>
          </w:tcPr>
          <w:p w14:paraId="4C344643" w14:textId="77777777" w:rsidR="003E7BBB" w:rsidRPr="003E7BBB" w:rsidRDefault="003E7BBB" w:rsidP="00811BEC">
            <w:pPr>
              <w:pStyle w:val="Tabletext"/>
              <w:spacing w:line="260" w:lineRule="exact"/>
              <w:jc w:val="center"/>
            </w:pPr>
            <w:r w:rsidRPr="003E7BBB">
              <w:t>2.5</w:t>
            </w:r>
          </w:p>
        </w:tc>
        <w:tc>
          <w:tcPr>
            <w:tcW w:w="695" w:type="dxa"/>
            <w:tcBorders>
              <w:top w:val="nil"/>
              <w:left w:val="nil"/>
              <w:bottom w:val="single" w:sz="4" w:space="0" w:color="FFFFFF"/>
              <w:right w:val="nil"/>
            </w:tcBorders>
            <w:shd w:val="clear" w:color="000000" w:fill="F2F2F2"/>
            <w:vAlign w:val="center"/>
            <w:hideMark/>
          </w:tcPr>
          <w:p w14:paraId="0C785794" w14:textId="77777777" w:rsidR="003E7BBB" w:rsidRPr="003E7BBB" w:rsidRDefault="003E7BBB" w:rsidP="00811BEC">
            <w:pPr>
              <w:pStyle w:val="Tabletext"/>
              <w:spacing w:line="260" w:lineRule="exact"/>
              <w:jc w:val="center"/>
            </w:pPr>
            <w:r w:rsidRPr="003E7BBB">
              <w:t>3.4</w:t>
            </w:r>
          </w:p>
        </w:tc>
        <w:tc>
          <w:tcPr>
            <w:tcW w:w="695" w:type="dxa"/>
            <w:tcBorders>
              <w:top w:val="nil"/>
              <w:left w:val="nil"/>
              <w:bottom w:val="single" w:sz="4" w:space="0" w:color="FFFFFF"/>
              <w:right w:val="nil"/>
            </w:tcBorders>
            <w:shd w:val="clear" w:color="000000" w:fill="F2F2F2"/>
            <w:vAlign w:val="center"/>
            <w:hideMark/>
          </w:tcPr>
          <w:p w14:paraId="7FC47711" w14:textId="77777777" w:rsidR="003E7BBB" w:rsidRPr="003E7BBB" w:rsidRDefault="003E7BBB" w:rsidP="00811BEC">
            <w:pPr>
              <w:pStyle w:val="Tabletext"/>
              <w:spacing w:line="260" w:lineRule="exact"/>
              <w:jc w:val="center"/>
            </w:pPr>
            <w:r w:rsidRPr="003E7BBB">
              <w:t>4.8</w:t>
            </w:r>
          </w:p>
        </w:tc>
      </w:tr>
      <w:tr w:rsidR="00811BEC" w:rsidRPr="003E7BBB" w14:paraId="2ECF5F12" w14:textId="77777777" w:rsidTr="00471D95">
        <w:trPr>
          <w:trHeight w:val="340"/>
          <w:jc w:val="center"/>
        </w:trPr>
        <w:tc>
          <w:tcPr>
            <w:tcW w:w="3350" w:type="dxa"/>
            <w:tcBorders>
              <w:top w:val="nil"/>
              <w:left w:val="nil"/>
              <w:bottom w:val="single" w:sz="4" w:space="0" w:color="FFFFFF"/>
              <w:right w:val="single" w:sz="4" w:space="0" w:color="FFFFFF"/>
            </w:tcBorders>
            <w:shd w:val="clear" w:color="000000" w:fill="D9D9D9"/>
            <w:vAlign w:val="center"/>
            <w:hideMark/>
          </w:tcPr>
          <w:p w14:paraId="661B552C" w14:textId="77777777" w:rsidR="003E7BBB" w:rsidRPr="003E7BBB" w:rsidRDefault="003E7BBB" w:rsidP="00811BEC">
            <w:pPr>
              <w:pStyle w:val="Tabletext"/>
              <w:spacing w:line="260" w:lineRule="exact"/>
            </w:pPr>
            <w:r w:rsidRPr="003E7BBB">
              <w:t>25. Nationally financed expenditure (23-24)</w:t>
            </w:r>
          </w:p>
        </w:tc>
        <w:tc>
          <w:tcPr>
            <w:tcW w:w="1328" w:type="dxa"/>
            <w:tcBorders>
              <w:top w:val="nil"/>
              <w:left w:val="single" w:sz="4" w:space="0" w:color="FFFFFF"/>
              <w:bottom w:val="single" w:sz="4" w:space="0" w:color="FFFFFF"/>
              <w:right w:val="single" w:sz="4" w:space="0" w:color="FFFFFF" w:themeColor="background1"/>
            </w:tcBorders>
            <w:shd w:val="clear" w:color="000000" w:fill="D9D9D9"/>
            <w:vAlign w:val="center"/>
            <w:hideMark/>
          </w:tcPr>
          <w:p w14:paraId="419F5AB1" w14:textId="77777777" w:rsidR="003E7BBB" w:rsidRPr="003E7BBB" w:rsidRDefault="003E7BBB" w:rsidP="00811BEC">
            <w:pPr>
              <w:pStyle w:val="Tabletext"/>
              <w:spacing w:line="260" w:lineRule="exact"/>
            </w:pPr>
            <w:r w:rsidRPr="003E7BBB">
              <w:t> </w:t>
            </w:r>
          </w:p>
        </w:tc>
        <w:tc>
          <w:tcPr>
            <w:tcW w:w="1530" w:type="dxa"/>
            <w:tcBorders>
              <w:top w:val="nil"/>
              <w:left w:val="single" w:sz="4" w:space="0" w:color="FFFFFF" w:themeColor="background1"/>
              <w:bottom w:val="single" w:sz="4" w:space="0" w:color="FFFFFF"/>
              <w:right w:val="single" w:sz="4" w:space="0" w:color="FFFFFF" w:themeColor="background1"/>
            </w:tcBorders>
            <w:shd w:val="clear" w:color="000000" w:fill="D9D9D9"/>
            <w:vAlign w:val="center"/>
            <w:hideMark/>
          </w:tcPr>
          <w:p w14:paraId="19670CBF" w14:textId="77777777" w:rsidR="003E7BBB" w:rsidRPr="003E7BBB" w:rsidRDefault="003E7BBB" w:rsidP="00811BEC">
            <w:pPr>
              <w:pStyle w:val="Tabletext"/>
              <w:spacing w:line="260" w:lineRule="exact"/>
              <w:jc w:val="center"/>
            </w:pPr>
            <w:r w:rsidRPr="003E7BBB">
              <w:t>105.6</w:t>
            </w:r>
          </w:p>
        </w:tc>
        <w:tc>
          <w:tcPr>
            <w:tcW w:w="695" w:type="dxa"/>
            <w:tcBorders>
              <w:top w:val="nil"/>
              <w:left w:val="single" w:sz="4" w:space="0" w:color="FFFFFF" w:themeColor="background1"/>
              <w:bottom w:val="single" w:sz="4" w:space="0" w:color="FFFFFF"/>
              <w:right w:val="nil"/>
            </w:tcBorders>
            <w:shd w:val="clear" w:color="000000" w:fill="D9D9D9"/>
            <w:vAlign w:val="center"/>
            <w:hideMark/>
          </w:tcPr>
          <w:p w14:paraId="2160CA10" w14:textId="77777777" w:rsidR="003E7BBB" w:rsidRPr="003E7BBB" w:rsidRDefault="003E7BBB" w:rsidP="00811BEC">
            <w:pPr>
              <w:pStyle w:val="Tabletext"/>
              <w:spacing w:line="260" w:lineRule="exact"/>
              <w:jc w:val="center"/>
            </w:pPr>
            <w:r w:rsidRPr="003E7BBB">
              <w:t>47.0</w:t>
            </w:r>
          </w:p>
        </w:tc>
        <w:tc>
          <w:tcPr>
            <w:tcW w:w="695" w:type="dxa"/>
            <w:tcBorders>
              <w:top w:val="nil"/>
              <w:left w:val="nil"/>
              <w:bottom w:val="single" w:sz="4" w:space="0" w:color="FFFFFF"/>
              <w:right w:val="nil"/>
            </w:tcBorders>
            <w:shd w:val="clear" w:color="000000" w:fill="D9D9D9"/>
            <w:vAlign w:val="center"/>
            <w:hideMark/>
          </w:tcPr>
          <w:p w14:paraId="19349704" w14:textId="77777777" w:rsidR="003E7BBB" w:rsidRPr="003E7BBB" w:rsidRDefault="003E7BBB" w:rsidP="00811BEC">
            <w:pPr>
              <w:pStyle w:val="Tabletext"/>
              <w:spacing w:line="260" w:lineRule="exact"/>
              <w:jc w:val="center"/>
            </w:pPr>
            <w:r w:rsidRPr="003E7BBB">
              <w:t>45.6</w:t>
            </w:r>
          </w:p>
        </w:tc>
        <w:tc>
          <w:tcPr>
            <w:tcW w:w="695" w:type="dxa"/>
            <w:tcBorders>
              <w:top w:val="nil"/>
              <w:left w:val="nil"/>
              <w:bottom w:val="single" w:sz="4" w:space="0" w:color="FFFFFF"/>
              <w:right w:val="nil"/>
            </w:tcBorders>
            <w:shd w:val="clear" w:color="000000" w:fill="D9D9D9"/>
            <w:vAlign w:val="center"/>
            <w:hideMark/>
          </w:tcPr>
          <w:p w14:paraId="119227B5" w14:textId="77777777" w:rsidR="003E7BBB" w:rsidRPr="003E7BBB" w:rsidRDefault="003E7BBB" w:rsidP="00811BEC">
            <w:pPr>
              <w:pStyle w:val="Tabletext"/>
              <w:spacing w:line="260" w:lineRule="exact"/>
              <w:jc w:val="center"/>
            </w:pPr>
            <w:r w:rsidRPr="003E7BBB">
              <w:t>44.9</w:t>
            </w:r>
          </w:p>
        </w:tc>
        <w:tc>
          <w:tcPr>
            <w:tcW w:w="695" w:type="dxa"/>
            <w:tcBorders>
              <w:top w:val="nil"/>
              <w:left w:val="nil"/>
              <w:bottom w:val="single" w:sz="4" w:space="0" w:color="FFFFFF"/>
              <w:right w:val="nil"/>
            </w:tcBorders>
            <w:shd w:val="clear" w:color="000000" w:fill="D9D9D9"/>
            <w:vAlign w:val="center"/>
            <w:hideMark/>
          </w:tcPr>
          <w:p w14:paraId="2F0A0786" w14:textId="77777777" w:rsidR="003E7BBB" w:rsidRPr="003E7BBB" w:rsidRDefault="003E7BBB" w:rsidP="00811BEC">
            <w:pPr>
              <w:pStyle w:val="Tabletext"/>
              <w:spacing w:line="260" w:lineRule="exact"/>
              <w:jc w:val="center"/>
            </w:pPr>
            <w:r w:rsidRPr="003E7BBB">
              <w:t>45.4</w:t>
            </w:r>
          </w:p>
        </w:tc>
      </w:tr>
      <w:tr w:rsidR="00811BEC" w:rsidRPr="003E7BBB" w14:paraId="35D361CE" w14:textId="77777777" w:rsidTr="00F540B8">
        <w:trPr>
          <w:trHeight w:val="699"/>
          <w:jc w:val="center"/>
        </w:trPr>
        <w:tc>
          <w:tcPr>
            <w:tcW w:w="3350" w:type="dxa"/>
            <w:tcBorders>
              <w:top w:val="nil"/>
              <w:left w:val="nil"/>
              <w:bottom w:val="single" w:sz="4" w:space="0" w:color="FFFFFF"/>
              <w:right w:val="single" w:sz="4" w:space="0" w:color="FFFFFF"/>
            </w:tcBorders>
            <w:shd w:val="clear" w:color="auto" w:fill="BFBFBF" w:themeFill="background1" w:themeFillShade="BF"/>
            <w:vAlign w:val="center"/>
          </w:tcPr>
          <w:p w14:paraId="647F02A3" w14:textId="77777777" w:rsidR="00811BEC" w:rsidRPr="003E7BBB" w:rsidRDefault="00811BEC" w:rsidP="00811BEC">
            <w:pPr>
              <w:pStyle w:val="Tabletext"/>
              <w:spacing w:line="260" w:lineRule="exact"/>
            </w:pPr>
            <w:r w:rsidRPr="003E7BBB">
              <w:rPr>
                <w:rFonts w:cs="Calibri"/>
                <w:b/>
                <w:bCs/>
                <w:color w:val="000000"/>
                <w:sz w:val="22"/>
              </w:rPr>
              <w:lastRenderedPageBreak/>
              <w:t> </w:t>
            </w:r>
          </w:p>
        </w:tc>
        <w:tc>
          <w:tcPr>
            <w:tcW w:w="1328"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vAlign w:val="center"/>
          </w:tcPr>
          <w:p w14:paraId="779523E4" w14:textId="77777777" w:rsidR="00811BEC" w:rsidRPr="003E7BBB" w:rsidRDefault="00811BEC" w:rsidP="00811BEC">
            <w:pPr>
              <w:pStyle w:val="Tabletext"/>
              <w:spacing w:line="260" w:lineRule="exact"/>
            </w:pPr>
            <w:r w:rsidRPr="003E7BBB">
              <w:rPr>
                <w:rFonts w:cs="Calibri"/>
                <w:b/>
                <w:bCs/>
                <w:color w:val="000000"/>
                <w:sz w:val="22"/>
              </w:rPr>
              <w:t>ESA Code</w:t>
            </w:r>
          </w:p>
        </w:tc>
        <w:tc>
          <w:tcPr>
            <w:tcW w:w="1530" w:type="dxa"/>
            <w:tcBorders>
              <w:top w:val="single" w:sz="4" w:space="0" w:color="FFFFFF"/>
              <w:left w:val="single" w:sz="4" w:space="0" w:color="FFFFFF"/>
              <w:bottom w:val="single" w:sz="4" w:space="0" w:color="FFFFFF"/>
              <w:right w:val="single" w:sz="4" w:space="0" w:color="FFFFFF"/>
            </w:tcBorders>
            <w:shd w:val="clear" w:color="auto" w:fill="BFBFBF" w:themeFill="background1" w:themeFillShade="BF"/>
            <w:vAlign w:val="center"/>
          </w:tcPr>
          <w:p w14:paraId="2F8EEB9F" w14:textId="77777777" w:rsidR="00811BEC" w:rsidRPr="003E7BBB" w:rsidRDefault="00811BEC" w:rsidP="00811BEC">
            <w:pPr>
              <w:pStyle w:val="Tabletext"/>
              <w:spacing w:line="260" w:lineRule="exact"/>
              <w:jc w:val="center"/>
            </w:pPr>
            <w:r w:rsidRPr="003E7BBB">
              <w:rPr>
                <w:rFonts w:cs="Calibri"/>
                <w:b/>
                <w:bCs/>
                <w:color w:val="000000"/>
                <w:sz w:val="22"/>
              </w:rPr>
              <w:t>2023 (Levels)</w:t>
            </w:r>
          </w:p>
        </w:tc>
        <w:tc>
          <w:tcPr>
            <w:tcW w:w="695" w:type="dxa"/>
            <w:tcBorders>
              <w:top w:val="nil"/>
              <w:left w:val="single" w:sz="4" w:space="0" w:color="FFFFFF"/>
              <w:bottom w:val="single" w:sz="4" w:space="0" w:color="FFFFFF"/>
              <w:right w:val="nil"/>
            </w:tcBorders>
            <w:shd w:val="clear" w:color="auto" w:fill="BFBFBF" w:themeFill="background1" w:themeFillShade="BF"/>
            <w:vAlign w:val="center"/>
          </w:tcPr>
          <w:p w14:paraId="18F20E1A" w14:textId="77777777" w:rsidR="00811BEC" w:rsidRPr="003E7BBB" w:rsidRDefault="00811BEC" w:rsidP="00811BEC">
            <w:pPr>
              <w:pStyle w:val="Tabletext"/>
              <w:spacing w:line="260" w:lineRule="exact"/>
              <w:jc w:val="center"/>
            </w:pPr>
            <w:r w:rsidRPr="003E7BBB">
              <w:rPr>
                <w:rFonts w:cs="Calibri"/>
                <w:b/>
                <w:bCs/>
                <w:color w:val="000000"/>
                <w:sz w:val="22"/>
              </w:rPr>
              <w:t>2023</w:t>
            </w:r>
          </w:p>
        </w:tc>
        <w:tc>
          <w:tcPr>
            <w:tcW w:w="695" w:type="dxa"/>
            <w:tcBorders>
              <w:top w:val="nil"/>
              <w:left w:val="nil"/>
              <w:bottom w:val="single" w:sz="4" w:space="0" w:color="FFFFFF"/>
              <w:right w:val="nil"/>
            </w:tcBorders>
            <w:shd w:val="clear" w:color="auto" w:fill="BFBFBF" w:themeFill="background1" w:themeFillShade="BF"/>
            <w:vAlign w:val="center"/>
          </w:tcPr>
          <w:p w14:paraId="1913BF09" w14:textId="77777777" w:rsidR="00811BEC" w:rsidRPr="003E7BBB" w:rsidRDefault="00811BEC" w:rsidP="00811BEC">
            <w:pPr>
              <w:pStyle w:val="Tabletext"/>
              <w:spacing w:line="260" w:lineRule="exact"/>
              <w:jc w:val="center"/>
            </w:pPr>
            <w:r w:rsidRPr="003E7BBB">
              <w:rPr>
                <w:rFonts w:cs="Calibri"/>
                <w:b/>
                <w:bCs/>
                <w:color w:val="000000"/>
                <w:sz w:val="22"/>
              </w:rPr>
              <w:t>2024</w:t>
            </w:r>
          </w:p>
        </w:tc>
        <w:tc>
          <w:tcPr>
            <w:tcW w:w="695" w:type="dxa"/>
            <w:tcBorders>
              <w:top w:val="nil"/>
              <w:left w:val="nil"/>
              <w:bottom w:val="single" w:sz="4" w:space="0" w:color="FFFFFF"/>
              <w:right w:val="nil"/>
            </w:tcBorders>
            <w:shd w:val="clear" w:color="auto" w:fill="BFBFBF" w:themeFill="background1" w:themeFillShade="BF"/>
            <w:vAlign w:val="center"/>
          </w:tcPr>
          <w:p w14:paraId="2594699A" w14:textId="77777777" w:rsidR="00811BEC" w:rsidRPr="003E7BBB" w:rsidRDefault="00811BEC" w:rsidP="00811BEC">
            <w:pPr>
              <w:pStyle w:val="Tabletext"/>
              <w:spacing w:line="260" w:lineRule="exact"/>
              <w:jc w:val="center"/>
            </w:pPr>
            <w:r w:rsidRPr="003E7BBB">
              <w:rPr>
                <w:rFonts w:cs="Calibri"/>
                <w:b/>
                <w:bCs/>
                <w:color w:val="000000"/>
                <w:sz w:val="22"/>
              </w:rPr>
              <w:t>2025</w:t>
            </w:r>
          </w:p>
        </w:tc>
        <w:tc>
          <w:tcPr>
            <w:tcW w:w="695" w:type="dxa"/>
            <w:tcBorders>
              <w:top w:val="nil"/>
              <w:left w:val="nil"/>
              <w:bottom w:val="single" w:sz="4" w:space="0" w:color="FFFFFF"/>
              <w:right w:val="nil"/>
            </w:tcBorders>
            <w:shd w:val="clear" w:color="auto" w:fill="BFBFBF" w:themeFill="background1" w:themeFillShade="BF"/>
            <w:vAlign w:val="center"/>
          </w:tcPr>
          <w:p w14:paraId="49A40EAA" w14:textId="77777777" w:rsidR="00811BEC" w:rsidRPr="003E7BBB" w:rsidRDefault="00811BEC" w:rsidP="00811BEC">
            <w:pPr>
              <w:pStyle w:val="Tabletext"/>
              <w:spacing w:line="260" w:lineRule="exact"/>
              <w:jc w:val="center"/>
            </w:pPr>
            <w:r w:rsidRPr="003E7BBB">
              <w:rPr>
                <w:rFonts w:cs="Calibri"/>
                <w:b/>
                <w:bCs/>
                <w:color w:val="000000"/>
                <w:sz w:val="22"/>
              </w:rPr>
              <w:t>2026</w:t>
            </w:r>
          </w:p>
        </w:tc>
      </w:tr>
      <w:tr w:rsidR="00811BEC" w:rsidRPr="003E7BBB" w14:paraId="03D93AF4" w14:textId="77777777" w:rsidTr="00471D95">
        <w:trPr>
          <w:trHeight w:val="340"/>
          <w:jc w:val="center"/>
        </w:trPr>
        <w:tc>
          <w:tcPr>
            <w:tcW w:w="3350" w:type="dxa"/>
            <w:tcBorders>
              <w:top w:val="nil"/>
              <w:left w:val="nil"/>
              <w:bottom w:val="single" w:sz="4" w:space="0" w:color="FFFFFF"/>
              <w:right w:val="single" w:sz="4" w:space="0" w:color="FFFFFF"/>
            </w:tcBorders>
            <w:shd w:val="clear" w:color="000000" w:fill="F2F2F2"/>
            <w:vAlign w:val="center"/>
            <w:hideMark/>
          </w:tcPr>
          <w:p w14:paraId="095BF1B5" w14:textId="77777777" w:rsidR="00811BEC" w:rsidRPr="003E7BBB" w:rsidRDefault="00811BEC" w:rsidP="00811BEC">
            <w:pPr>
              <w:pStyle w:val="Tabletext"/>
              <w:spacing w:line="260" w:lineRule="exact"/>
            </w:pPr>
            <w:r w:rsidRPr="003E7BBB">
              <w:t>26. p.m. National co-financing of programmes funded by the Union</w:t>
            </w:r>
          </w:p>
        </w:tc>
        <w:tc>
          <w:tcPr>
            <w:tcW w:w="1328" w:type="dxa"/>
            <w:tcBorders>
              <w:top w:val="nil"/>
              <w:left w:val="single" w:sz="4" w:space="0" w:color="FFFFFF"/>
              <w:bottom w:val="single" w:sz="4" w:space="0" w:color="FFFFFF"/>
              <w:right w:val="single" w:sz="4" w:space="0" w:color="FFFFFF"/>
            </w:tcBorders>
            <w:shd w:val="clear" w:color="000000" w:fill="F2F2F2"/>
            <w:vAlign w:val="center"/>
            <w:hideMark/>
          </w:tcPr>
          <w:p w14:paraId="27546660" w14:textId="77777777" w:rsidR="00811BEC" w:rsidRPr="003E7BBB" w:rsidRDefault="00811BEC" w:rsidP="00811BEC">
            <w:pPr>
              <w:pStyle w:val="Tabletext"/>
              <w:spacing w:line="260" w:lineRule="exact"/>
            </w:pPr>
            <w:r w:rsidRPr="003E7BBB">
              <w:t> </w:t>
            </w:r>
          </w:p>
        </w:tc>
        <w:tc>
          <w:tcPr>
            <w:tcW w:w="1530" w:type="dxa"/>
            <w:tcBorders>
              <w:top w:val="nil"/>
              <w:left w:val="single" w:sz="4" w:space="0" w:color="FFFFFF"/>
              <w:bottom w:val="single" w:sz="4" w:space="0" w:color="FFFFFF"/>
              <w:right w:val="single" w:sz="4" w:space="0" w:color="FFFFFF"/>
            </w:tcBorders>
            <w:shd w:val="clear" w:color="000000" w:fill="F2F2F2"/>
            <w:vAlign w:val="center"/>
            <w:hideMark/>
          </w:tcPr>
          <w:p w14:paraId="6BE83E80" w14:textId="77777777" w:rsidR="00811BEC" w:rsidRPr="003E7BBB" w:rsidRDefault="00811BEC" w:rsidP="00811BEC">
            <w:pPr>
              <w:pStyle w:val="Tabletext"/>
              <w:spacing w:line="260" w:lineRule="exact"/>
              <w:jc w:val="center"/>
            </w:pPr>
            <w:r w:rsidRPr="003E7BBB">
              <w:t>0.7</w:t>
            </w:r>
          </w:p>
        </w:tc>
        <w:tc>
          <w:tcPr>
            <w:tcW w:w="695" w:type="dxa"/>
            <w:tcBorders>
              <w:top w:val="nil"/>
              <w:left w:val="single" w:sz="4" w:space="0" w:color="FFFFFF"/>
              <w:bottom w:val="single" w:sz="4" w:space="0" w:color="FFFFFF"/>
              <w:right w:val="nil"/>
            </w:tcBorders>
            <w:shd w:val="clear" w:color="000000" w:fill="F2F2F2"/>
            <w:vAlign w:val="center"/>
            <w:hideMark/>
          </w:tcPr>
          <w:p w14:paraId="47B2953B" w14:textId="77777777" w:rsidR="00811BEC" w:rsidRPr="003E7BBB" w:rsidRDefault="00811BEC" w:rsidP="00811BEC">
            <w:pPr>
              <w:pStyle w:val="Tabletext"/>
              <w:spacing w:line="260" w:lineRule="exact"/>
              <w:jc w:val="center"/>
            </w:pPr>
            <w:r w:rsidRPr="003E7BBB">
              <w:t>0.3</w:t>
            </w:r>
          </w:p>
        </w:tc>
        <w:tc>
          <w:tcPr>
            <w:tcW w:w="695" w:type="dxa"/>
            <w:tcBorders>
              <w:top w:val="nil"/>
              <w:left w:val="nil"/>
              <w:bottom w:val="single" w:sz="4" w:space="0" w:color="FFFFFF"/>
              <w:right w:val="nil"/>
            </w:tcBorders>
            <w:shd w:val="clear" w:color="000000" w:fill="F2F2F2"/>
            <w:vAlign w:val="center"/>
            <w:hideMark/>
          </w:tcPr>
          <w:p w14:paraId="2913E575" w14:textId="77777777" w:rsidR="00811BEC" w:rsidRPr="003E7BBB" w:rsidRDefault="00811BEC" w:rsidP="00811BEC">
            <w:pPr>
              <w:pStyle w:val="Tabletext"/>
              <w:spacing w:line="260" w:lineRule="exact"/>
              <w:jc w:val="center"/>
            </w:pPr>
            <w:r w:rsidRPr="003E7BBB">
              <w:t>0.3</w:t>
            </w:r>
          </w:p>
        </w:tc>
        <w:tc>
          <w:tcPr>
            <w:tcW w:w="695" w:type="dxa"/>
            <w:tcBorders>
              <w:top w:val="nil"/>
              <w:left w:val="nil"/>
              <w:bottom w:val="single" w:sz="4" w:space="0" w:color="FFFFFF"/>
              <w:right w:val="nil"/>
            </w:tcBorders>
            <w:shd w:val="clear" w:color="000000" w:fill="F2F2F2"/>
            <w:vAlign w:val="center"/>
            <w:hideMark/>
          </w:tcPr>
          <w:p w14:paraId="7B5677FE" w14:textId="77777777" w:rsidR="00811BEC" w:rsidRPr="003E7BBB" w:rsidRDefault="00811BEC" w:rsidP="00811BEC">
            <w:pPr>
              <w:pStyle w:val="Tabletext"/>
              <w:spacing w:line="260" w:lineRule="exact"/>
              <w:jc w:val="center"/>
            </w:pPr>
            <w:r w:rsidRPr="003E7BBB">
              <w:t>0.3</w:t>
            </w:r>
          </w:p>
        </w:tc>
        <w:tc>
          <w:tcPr>
            <w:tcW w:w="695" w:type="dxa"/>
            <w:tcBorders>
              <w:top w:val="nil"/>
              <w:left w:val="nil"/>
              <w:bottom w:val="single" w:sz="4" w:space="0" w:color="FFFFFF"/>
              <w:right w:val="nil"/>
            </w:tcBorders>
            <w:shd w:val="clear" w:color="000000" w:fill="F2F2F2"/>
            <w:vAlign w:val="center"/>
            <w:hideMark/>
          </w:tcPr>
          <w:p w14:paraId="3F4637D8" w14:textId="77777777" w:rsidR="00811BEC" w:rsidRPr="003E7BBB" w:rsidRDefault="00811BEC" w:rsidP="00811BEC">
            <w:pPr>
              <w:pStyle w:val="Tabletext"/>
              <w:spacing w:line="260" w:lineRule="exact"/>
              <w:jc w:val="center"/>
            </w:pPr>
            <w:r w:rsidRPr="003E7BBB">
              <w:t>0.5</w:t>
            </w:r>
          </w:p>
        </w:tc>
      </w:tr>
      <w:tr w:rsidR="00811BEC" w:rsidRPr="003E7BBB" w14:paraId="46AAEF39" w14:textId="77777777" w:rsidTr="00471D95">
        <w:trPr>
          <w:trHeight w:val="340"/>
          <w:jc w:val="center"/>
        </w:trPr>
        <w:tc>
          <w:tcPr>
            <w:tcW w:w="3350" w:type="dxa"/>
            <w:tcBorders>
              <w:top w:val="nil"/>
              <w:left w:val="nil"/>
              <w:bottom w:val="single" w:sz="4" w:space="0" w:color="FFFFFF"/>
              <w:right w:val="single" w:sz="4" w:space="0" w:color="FFFFFF"/>
            </w:tcBorders>
            <w:shd w:val="clear" w:color="000000" w:fill="D9D9D9"/>
            <w:vAlign w:val="center"/>
            <w:hideMark/>
          </w:tcPr>
          <w:p w14:paraId="3FB7622E" w14:textId="77777777" w:rsidR="00811BEC" w:rsidRPr="003E7BBB" w:rsidRDefault="00811BEC" w:rsidP="00811BEC">
            <w:pPr>
              <w:pStyle w:val="Tabletext"/>
              <w:spacing w:line="260" w:lineRule="exact"/>
            </w:pPr>
            <w:r w:rsidRPr="003E7BBB">
              <w:t>27. p.m. Cyclical component of unemployment benefits</w:t>
            </w:r>
          </w:p>
        </w:tc>
        <w:tc>
          <w:tcPr>
            <w:tcW w:w="1328" w:type="dxa"/>
            <w:tcBorders>
              <w:top w:val="nil"/>
              <w:left w:val="single" w:sz="4" w:space="0" w:color="FFFFFF"/>
              <w:bottom w:val="single" w:sz="4" w:space="0" w:color="FFFFFF"/>
              <w:right w:val="single" w:sz="4" w:space="0" w:color="FFFFFF"/>
            </w:tcBorders>
            <w:shd w:val="clear" w:color="000000" w:fill="D9D9D9"/>
            <w:vAlign w:val="center"/>
            <w:hideMark/>
          </w:tcPr>
          <w:p w14:paraId="793E59BF" w14:textId="77777777" w:rsidR="00811BEC" w:rsidRPr="003E7BBB" w:rsidRDefault="00811BEC" w:rsidP="00811BEC">
            <w:pPr>
              <w:pStyle w:val="Tabletext"/>
              <w:spacing w:line="260" w:lineRule="exact"/>
            </w:pPr>
            <w:r w:rsidRPr="003E7BBB">
              <w:t> </w:t>
            </w:r>
          </w:p>
        </w:tc>
        <w:tc>
          <w:tcPr>
            <w:tcW w:w="1530" w:type="dxa"/>
            <w:tcBorders>
              <w:top w:val="nil"/>
              <w:left w:val="single" w:sz="4" w:space="0" w:color="FFFFFF"/>
              <w:bottom w:val="single" w:sz="4" w:space="0" w:color="FFFFFF"/>
              <w:right w:val="single" w:sz="4" w:space="0" w:color="FFFFFF"/>
            </w:tcBorders>
            <w:shd w:val="clear" w:color="000000" w:fill="D9D9D9"/>
            <w:vAlign w:val="center"/>
            <w:hideMark/>
          </w:tcPr>
          <w:p w14:paraId="6805E8D3" w14:textId="77777777" w:rsidR="00811BEC" w:rsidRPr="003E7BBB" w:rsidRDefault="00811BEC" w:rsidP="00811BEC">
            <w:pPr>
              <w:pStyle w:val="Tabletext"/>
              <w:spacing w:line="260" w:lineRule="exact"/>
              <w:jc w:val="center"/>
            </w:pPr>
            <w:r w:rsidRPr="003E7BBB">
              <w:t>0.3</w:t>
            </w:r>
          </w:p>
        </w:tc>
        <w:tc>
          <w:tcPr>
            <w:tcW w:w="695" w:type="dxa"/>
            <w:tcBorders>
              <w:top w:val="nil"/>
              <w:left w:val="single" w:sz="4" w:space="0" w:color="FFFFFF"/>
              <w:bottom w:val="single" w:sz="4" w:space="0" w:color="FFFFFF"/>
              <w:right w:val="nil"/>
            </w:tcBorders>
            <w:shd w:val="clear" w:color="000000" w:fill="D9D9D9"/>
            <w:vAlign w:val="center"/>
            <w:hideMark/>
          </w:tcPr>
          <w:p w14:paraId="45C1CAFB" w14:textId="77777777" w:rsidR="00811BEC" w:rsidRPr="003E7BBB" w:rsidRDefault="00811BEC" w:rsidP="00811BEC">
            <w:pPr>
              <w:pStyle w:val="Tabletext"/>
              <w:spacing w:line="260" w:lineRule="exact"/>
              <w:jc w:val="center"/>
            </w:pPr>
            <w:r w:rsidRPr="003E7BBB">
              <w:t>0.1</w:t>
            </w:r>
          </w:p>
        </w:tc>
        <w:tc>
          <w:tcPr>
            <w:tcW w:w="695" w:type="dxa"/>
            <w:tcBorders>
              <w:top w:val="nil"/>
              <w:left w:val="nil"/>
              <w:bottom w:val="single" w:sz="4" w:space="0" w:color="FFFFFF"/>
              <w:right w:val="nil"/>
            </w:tcBorders>
            <w:shd w:val="clear" w:color="000000" w:fill="D9D9D9"/>
            <w:vAlign w:val="center"/>
            <w:hideMark/>
          </w:tcPr>
          <w:p w14:paraId="3694E157" w14:textId="77777777" w:rsidR="00811BEC" w:rsidRPr="003E7BBB" w:rsidRDefault="00811BEC" w:rsidP="00811BEC">
            <w:pPr>
              <w:pStyle w:val="Tabletext"/>
              <w:spacing w:line="260" w:lineRule="exact"/>
              <w:jc w:val="center"/>
            </w:pPr>
            <w:r w:rsidRPr="003E7BBB">
              <w:t>0.1</w:t>
            </w:r>
          </w:p>
        </w:tc>
        <w:tc>
          <w:tcPr>
            <w:tcW w:w="695" w:type="dxa"/>
            <w:tcBorders>
              <w:top w:val="nil"/>
              <w:left w:val="nil"/>
              <w:bottom w:val="single" w:sz="4" w:space="0" w:color="FFFFFF"/>
              <w:right w:val="nil"/>
            </w:tcBorders>
            <w:shd w:val="clear" w:color="000000" w:fill="D9D9D9"/>
            <w:vAlign w:val="center"/>
            <w:hideMark/>
          </w:tcPr>
          <w:p w14:paraId="08959E80" w14:textId="77777777" w:rsidR="00811BEC" w:rsidRPr="003E7BBB" w:rsidRDefault="00811BEC" w:rsidP="00811BEC">
            <w:pPr>
              <w:pStyle w:val="Tabletext"/>
              <w:spacing w:line="260" w:lineRule="exact"/>
              <w:jc w:val="center"/>
            </w:pPr>
            <w:r w:rsidRPr="003E7BBB">
              <w:t>0.0</w:t>
            </w:r>
          </w:p>
        </w:tc>
        <w:tc>
          <w:tcPr>
            <w:tcW w:w="695" w:type="dxa"/>
            <w:tcBorders>
              <w:top w:val="nil"/>
              <w:left w:val="nil"/>
              <w:bottom w:val="single" w:sz="4" w:space="0" w:color="FFFFFF"/>
              <w:right w:val="nil"/>
            </w:tcBorders>
            <w:shd w:val="clear" w:color="000000" w:fill="D9D9D9"/>
            <w:vAlign w:val="center"/>
            <w:hideMark/>
          </w:tcPr>
          <w:p w14:paraId="6EEE4A72" w14:textId="77777777" w:rsidR="00811BEC" w:rsidRPr="003E7BBB" w:rsidRDefault="00811BEC" w:rsidP="00811BEC">
            <w:pPr>
              <w:pStyle w:val="Tabletext"/>
              <w:spacing w:line="260" w:lineRule="exact"/>
              <w:jc w:val="center"/>
            </w:pPr>
            <w:r w:rsidRPr="003E7BBB">
              <w:t>-0.1</w:t>
            </w:r>
          </w:p>
        </w:tc>
      </w:tr>
      <w:tr w:rsidR="00811BEC" w:rsidRPr="003E7BBB" w14:paraId="7AD6F26E" w14:textId="77777777" w:rsidTr="00471D95">
        <w:trPr>
          <w:trHeight w:val="340"/>
          <w:jc w:val="center"/>
        </w:trPr>
        <w:tc>
          <w:tcPr>
            <w:tcW w:w="3350" w:type="dxa"/>
            <w:tcBorders>
              <w:top w:val="nil"/>
              <w:left w:val="nil"/>
              <w:bottom w:val="single" w:sz="4" w:space="0" w:color="FFFFFF"/>
              <w:right w:val="single" w:sz="4" w:space="0" w:color="FFFFFF"/>
            </w:tcBorders>
            <w:shd w:val="clear" w:color="000000" w:fill="F2F2F2"/>
            <w:vAlign w:val="center"/>
            <w:hideMark/>
          </w:tcPr>
          <w:p w14:paraId="26A848A2" w14:textId="77777777" w:rsidR="00811BEC" w:rsidRPr="003E7BBB" w:rsidRDefault="00811BEC" w:rsidP="00811BEC">
            <w:pPr>
              <w:pStyle w:val="Tabletext"/>
              <w:spacing w:line="260" w:lineRule="exact"/>
            </w:pPr>
            <w:r w:rsidRPr="003E7BBB">
              <w:t>28. p.m. One-off expenditure included in the projections (levels, excluding EU funded measures)</w:t>
            </w:r>
          </w:p>
        </w:tc>
        <w:tc>
          <w:tcPr>
            <w:tcW w:w="1328" w:type="dxa"/>
            <w:tcBorders>
              <w:top w:val="nil"/>
              <w:left w:val="single" w:sz="4" w:space="0" w:color="FFFFFF"/>
              <w:bottom w:val="single" w:sz="4" w:space="0" w:color="FFFFFF"/>
              <w:right w:val="single" w:sz="4" w:space="0" w:color="FFFFFF"/>
            </w:tcBorders>
            <w:shd w:val="clear" w:color="000000" w:fill="F2F2F2"/>
            <w:vAlign w:val="center"/>
            <w:hideMark/>
          </w:tcPr>
          <w:p w14:paraId="20F72A0C" w14:textId="77777777" w:rsidR="00811BEC" w:rsidRPr="003E7BBB" w:rsidRDefault="00811BEC" w:rsidP="00811BEC">
            <w:pPr>
              <w:pStyle w:val="Tabletext"/>
              <w:spacing w:line="260" w:lineRule="exact"/>
            </w:pPr>
            <w:r w:rsidRPr="003E7BBB">
              <w:t> </w:t>
            </w:r>
          </w:p>
        </w:tc>
        <w:tc>
          <w:tcPr>
            <w:tcW w:w="1530" w:type="dxa"/>
            <w:tcBorders>
              <w:top w:val="nil"/>
              <w:left w:val="single" w:sz="4" w:space="0" w:color="FFFFFF"/>
              <w:bottom w:val="single" w:sz="4" w:space="0" w:color="FFFFFF"/>
              <w:right w:val="single" w:sz="4" w:space="0" w:color="FFFFFF"/>
            </w:tcBorders>
            <w:shd w:val="clear" w:color="000000" w:fill="F2F2F2"/>
            <w:vAlign w:val="center"/>
            <w:hideMark/>
          </w:tcPr>
          <w:p w14:paraId="4514D4DE" w14:textId="77777777" w:rsidR="00811BEC" w:rsidRPr="003E7BBB" w:rsidRDefault="00811BEC" w:rsidP="00811BEC">
            <w:pPr>
              <w:pStyle w:val="Tabletext"/>
              <w:spacing w:line="260" w:lineRule="exact"/>
              <w:jc w:val="center"/>
            </w:pPr>
            <w:r w:rsidRPr="003E7BBB">
              <w:t>0.3</w:t>
            </w:r>
          </w:p>
        </w:tc>
        <w:tc>
          <w:tcPr>
            <w:tcW w:w="695" w:type="dxa"/>
            <w:tcBorders>
              <w:top w:val="nil"/>
              <w:left w:val="single" w:sz="4" w:space="0" w:color="FFFFFF"/>
              <w:bottom w:val="single" w:sz="4" w:space="0" w:color="FFFFFF"/>
              <w:right w:val="nil"/>
            </w:tcBorders>
            <w:shd w:val="clear" w:color="000000" w:fill="F2F2F2"/>
            <w:vAlign w:val="center"/>
            <w:hideMark/>
          </w:tcPr>
          <w:p w14:paraId="4B371F91" w14:textId="77777777" w:rsidR="00811BEC" w:rsidRPr="003E7BBB" w:rsidRDefault="00811BEC" w:rsidP="00811BEC">
            <w:pPr>
              <w:pStyle w:val="Tabletext"/>
              <w:spacing w:line="260" w:lineRule="exact"/>
              <w:jc w:val="center"/>
            </w:pPr>
            <w:r w:rsidRPr="003E7BBB">
              <w:t>0.1</w:t>
            </w:r>
          </w:p>
        </w:tc>
        <w:tc>
          <w:tcPr>
            <w:tcW w:w="695" w:type="dxa"/>
            <w:tcBorders>
              <w:top w:val="nil"/>
              <w:left w:val="nil"/>
              <w:bottom w:val="single" w:sz="4" w:space="0" w:color="FFFFFF"/>
              <w:right w:val="nil"/>
            </w:tcBorders>
            <w:shd w:val="clear" w:color="000000" w:fill="F2F2F2"/>
            <w:vAlign w:val="center"/>
            <w:hideMark/>
          </w:tcPr>
          <w:p w14:paraId="1CC2CC21" w14:textId="77777777" w:rsidR="00811BEC" w:rsidRPr="003E7BBB" w:rsidRDefault="00811BEC" w:rsidP="00811BEC">
            <w:pPr>
              <w:pStyle w:val="Tabletext"/>
              <w:spacing w:line="260" w:lineRule="exact"/>
              <w:jc w:val="center"/>
            </w:pPr>
            <w:r w:rsidRPr="003E7BBB">
              <w:t>0.2</w:t>
            </w:r>
          </w:p>
        </w:tc>
        <w:tc>
          <w:tcPr>
            <w:tcW w:w="695" w:type="dxa"/>
            <w:tcBorders>
              <w:top w:val="nil"/>
              <w:left w:val="nil"/>
              <w:bottom w:val="single" w:sz="4" w:space="0" w:color="FFFFFF"/>
              <w:right w:val="nil"/>
            </w:tcBorders>
            <w:shd w:val="clear" w:color="000000" w:fill="F2F2F2"/>
            <w:vAlign w:val="center"/>
            <w:hideMark/>
          </w:tcPr>
          <w:p w14:paraId="781DC848" w14:textId="77777777" w:rsidR="00811BEC" w:rsidRPr="003E7BBB" w:rsidRDefault="00811BEC" w:rsidP="00811BEC">
            <w:pPr>
              <w:pStyle w:val="Tabletext"/>
              <w:spacing w:line="260" w:lineRule="exact"/>
              <w:jc w:val="center"/>
            </w:pPr>
            <w:r w:rsidRPr="003E7BBB">
              <w:t>0.2</w:t>
            </w:r>
          </w:p>
        </w:tc>
        <w:tc>
          <w:tcPr>
            <w:tcW w:w="695" w:type="dxa"/>
            <w:tcBorders>
              <w:top w:val="nil"/>
              <w:left w:val="nil"/>
              <w:bottom w:val="single" w:sz="4" w:space="0" w:color="FFFFFF"/>
              <w:right w:val="nil"/>
            </w:tcBorders>
            <w:shd w:val="clear" w:color="000000" w:fill="F2F2F2"/>
            <w:vAlign w:val="center"/>
            <w:hideMark/>
          </w:tcPr>
          <w:p w14:paraId="29995823" w14:textId="77777777" w:rsidR="00811BEC" w:rsidRPr="003E7BBB" w:rsidRDefault="00811BEC" w:rsidP="00811BEC">
            <w:pPr>
              <w:pStyle w:val="Tabletext"/>
              <w:spacing w:line="260" w:lineRule="exact"/>
              <w:jc w:val="center"/>
            </w:pPr>
            <w:r w:rsidRPr="003E7BBB">
              <w:t>0.0</w:t>
            </w:r>
          </w:p>
        </w:tc>
      </w:tr>
      <w:tr w:rsidR="00811BEC" w:rsidRPr="003E7BBB" w14:paraId="56C12300" w14:textId="77777777" w:rsidTr="00471D95">
        <w:trPr>
          <w:trHeight w:val="340"/>
          <w:jc w:val="center"/>
        </w:trPr>
        <w:tc>
          <w:tcPr>
            <w:tcW w:w="3350" w:type="dxa"/>
            <w:tcBorders>
              <w:top w:val="nil"/>
              <w:left w:val="nil"/>
              <w:bottom w:val="single" w:sz="4" w:space="0" w:color="FFFFFF"/>
              <w:right w:val="single" w:sz="4" w:space="0" w:color="FFFFFF"/>
            </w:tcBorders>
            <w:shd w:val="clear" w:color="000000" w:fill="D9D9D9"/>
            <w:vAlign w:val="center"/>
            <w:hideMark/>
          </w:tcPr>
          <w:p w14:paraId="231F5D40" w14:textId="77777777" w:rsidR="00811BEC" w:rsidRPr="003E7BBB" w:rsidRDefault="00811BEC" w:rsidP="00811BEC">
            <w:pPr>
              <w:pStyle w:val="Tabletext"/>
              <w:spacing w:line="260" w:lineRule="exact"/>
            </w:pPr>
            <w:r w:rsidRPr="003E7BBB">
              <w:t>29. Net nationally financed primary expenditure (before revenue measures) (= 25-26-27-28-14)</w:t>
            </w:r>
          </w:p>
        </w:tc>
        <w:tc>
          <w:tcPr>
            <w:tcW w:w="1328" w:type="dxa"/>
            <w:tcBorders>
              <w:top w:val="nil"/>
              <w:left w:val="single" w:sz="4" w:space="0" w:color="FFFFFF"/>
              <w:bottom w:val="single" w:sz="4" w:space="0" w:color="FFFFFF"/>
              <w:right w:val="single" w:sz="4" w:space="0" w:color="FFFFFF"/>
            </w:tcBorders>
            <w:shd w:val="clear" w:color="000000" w:fill="D9D9D9"/>
            <w:vAlign w:val="center"/>
            <w:hideMark/>
          </w:tcPr>
          <w:p w14:paraId="05491A53" w14:textId="77777777" w:rsidR="00811BEC" w:rsidRPr="003E7BBB" w:rsidRDefault="00811BEC" w:rsidP="00811BEC">
            <w:pPr>
              <w:pStyle w:val="Tabletext"/>
              <w:spacing w:line="260" w:lineRule="exact"/>
            </w:pPr>
            <w:r w:rsidRPr="003E7BBB">
              <w:t> </w:t>
            </w:r>
          </w:p>
        </w:tc>
        <w:tc>
          <w:tcPr>
            <w:tcW w:w="1530" w:type="dxa"/>
            <w:tcBorders>
              <w:top w:val="nil"/>
              <w:left w:val="single" w:sz="4" w:space="0" w:color="FFFFFF"/>
              <w:bottom w:val="single" w:sz="4" w:space="0" w:color="FFFFFF"/>
              <w:right w:val="single" w:sz="4" w:space="0" w:color="FFFFFF"/>
            </w:tcBorders>
            <w:shd w:val="clear" w:color="000000" w:fill="D9D9D9"/>
            <w:vAlign w:val="center"/>
            <w:hideMark/>
          </w:tcPr>
          <w:p w14:paraId="60838CDC" w14:textId="77777777" w:rsidR="00811BEC" w:rsidRPr="003E7BBB" w:rsidRDefault="00811BEC" w:rsidP="00811BEC">
            <w:pPr>
              <w:pStyle w:val="Tabletext"/>
              <w:spacing w:line="260" w:lineRule="exact"/>
              <w:jc w:val="center"/>
            </w:pPr>
            <w:r w:rsidRPr="003E7BBB">
              <w:t>96.7</w:t>
            </w:r>
          </w:p>
        </w:tc>
        <w:tc>
          <w:tcPr>
            <w:tcW w:w="695" w:type="dxa"/>
            <w:tcBorders>
              <w:top w:val="nil"/>
              <w:left w:val="single" w:sz="4" w:space="0" w:color="FFFFFF"/>
              <w:bottom w:val="single" w:sz="4" w:space="0" w:color="FFFFFF"/>
              <w:right w:val="nil"/>
            </w:tcBorders>
            <w:shd w:val="clear" w:color="000000" w:fill="D9D9D9"/>
            <w:vAlign w:val="center"/>
            <w:hideMark/>
          </w:tcPr>
          <w:p w14:paraId="31BFC24B" w14:textId="77777777" w:rsidR="00811BEC" w:rsidRPr="003E7BBB" w:rsidRDefault="00811BEC" w:rsidP="00811BEC">
            <w:pPr>
              <w:pStyle w:val="Tabletext"/>
              <w:spacing w:line="260" w:lineRule="exact"/>
              <w:jc w:val="center"/>
            </w:pPr>
            <w:r w:rsidRPr="003E7BBB">
              <w:t>43.0</w:t>
            </w:r>
          </w:p>
        </w:tc>
        <w:tc>
          <w:tcPr>
            <w:tcW w:w="695" w:type="dxa"/>
            <w:tcBorders>
              <w:top w:val="nil"/>
              <w:left w:val="nil"/>
              <w:bottom w:val="single" w:sz="4" w:space="0" w:color="FFFFFF"/>
              <w:right w:val="nil"/>
            </w:tcBorders>
            <w:shd w:val="clear" w:color="000000" w:fill="D9D9D9"/>
            <w:vAlign w:val="center"/>
            <w:hideMark/>
          </w:tcPr>
          <w:p w14:paraId="248D8014" w14:textId="77777777" w:rsidR="00811BEC" w:rsidRPr="003E7BBB" w:rsidRDefault="00811BEC" w:rsidP="00811BEC">
            <w:pPr>
              <w:pStyle w:val="Tabletext"/>
              <w:spacing w:line="260" w:lineRule="exact"/>
              <w:jc w:val="center"/>
            </w:pPr>
            <w:r w:rsidRPr="003E7BBB">
              <w:t>41.6</w:t>
            </w:r>
          </w:p>
        </w:tc>
        <w:tc>
          <w:tcPr>
            <w:tcW w:w="695" w:type="dxa"/>
            <w:tcBorders>
              <w:top w:val="nil"/>
              <w:left w:val="nil"/>
              <w:bottom w:val="single" w:sz="4" w:space="0" w:color="FFFFFF"/>
              <w:right w:val="nil"/>
            </w:tcBorders>
            <w:shd w:val="clear" w:color="000000" w:fill="D9D9D9"/>
            <w:vAlign w:val="center"/>
            <w:hideMark/>
          </w:tcPr>
          <w:p w14:paraId="63774805" w14:textId="77777777" w:rsidR="00811BEC" w:rsidRPr="003E7BBB" w:rsidRDefault="00811BEC" w:rsidP="00811BEC">
            <w:pPr>
              <w:pStyle w:val="Tabletext"/>
              <w:spacing w:line="260" w:lineRule="exact"/>
              <w:jc w:val="center"/>
            </w:pPr>
            <w:r w:rsidRPr="003E7BBB">
              <w:t>41.3</w:t>
            </w:r>
          </w:p>
        </w:tc>
        <w:tc>
          <w:tcPr>
            <w:tcW w:w="695" w:type="dxa"/>
            <w:tcBorders>
              <w:top w:val="nil"/>
              <w:left w:val="nil"/>
              <w:bottom w:val="single" w:sz="4" w:space="0" w:color="FFFFFF"/>
              <w:right w:val="nil"/>
            </w:tcBorders>
            <w:shd w:val="clear" w:color="000000" w:fill="D9D9D9"/>
            <w:vAlign w:val="center"/>
            <w:hideMark/>
          </w:tcPr>
          <w:p w14:paraId="7212CFF7" w14:textId="77777777" w:rsidR="00811BEC" w:rsidRPr="003E7BBB" w:rsidRDefault="00811BEC" w:rsidP="00811BEC">
            <w:pPr>
              <w:pStyle w:val="Tabletext"/>
              <w:spacing w:line="260" w:lineRule="exact"/>
              <w:jc w:val="center"/>
            </w:pPr>
            <w:r w:rsidRPr="003E7BBB">
              <w:t>42.0</w:t>
            </w:r>
          </w:p>
        </w:tc>
      </w:tr>
      <w:tr w:rsidR="00811BEC" w:rsidRPr="003E7BBB" w14:paraId="6464A6AC" w14:textId="77777777" w:rsidTr="00471D95">
        <w:trPr>
          <w:trHeight w:val="340"/>
          <w:jc w:val="center"/>
        </w:trPr>
        <w:tc>
          <w:tcPr>
            <w:tcW w:w="3350" w:type="dxa"/>
            <w:tcBorders>
              <w:top w:val="nil"/>
              <w:left w:val="nil"/>
              <w:bottom w:val="nil"/>
              <w:right w:val="single" w:sz="4" w:space="0" w:color="FFFFFF"/>
            </w:tcBorders>
            <w:shd w:val="clear" w:color="000000" w:fill="D6DCE4"/>
            <w:vAlign w:val="center"/>
            <w:hideMark/>
          </w:tcPr>
          <w:p w14:paraId="4A68A2F9" w14:textId="77777777" w:rsidR="00811BEC" w:rsidRPr="00811BEC" w:rsidRDefault="00811BEC" w:rsidP="00811BEC">
            <w:pPr>
              <w:pStyle w:val="Tabletext"/>
              <w:spacing w:line="260" w:lineRule="exact"/>
              <w:rPr>
                <w:b/>
              </w:rPr>
            </w:pPr>
            <w:r w:rsidRPr="00811BEC">
              <w:rPr>
                <w:b/>
              </w:rPr>
              <w:t>Net nationally financed primary expenditure</w:t>
            </w:r>
          </w:p>
        </w:tc>
        <w:tc>
          <w:tcPr>
            <w:tcW w:w="1328" w:type="dxa"/>
            <w:tcBorders>
              <w:top w:val="nil"/>
              <w:left w:val="single" w:sz="4" w:space="0" w:color="FFFFFF"/>
              <w:bottom w:val="nil"/>
              <w:right w:val="single" w:sz="4" w:space="0" w:color="FFFFFF"/>
            </w:tcBorders>
            <w:shd w:val="clear" w:color="000000" w:fill="D6DCE4"/>
            <w:vAlign w:val="center"/>
            <w:hideMark/>
          </w:tcPr>
          <w:p w14:paraId="2B40FA7B" w14:textId="77777777" w:rsidR="00811BEC" w:rsidRPr="00811BEC" w:rsidRDefault="00811BEC" w:rsidP="00811BEC">
            <w:pPr>
              <w:pStyle w:val="Tabletext"/>
              <w:spacing w:line="260" w:lineRule="exact"/>
              <w:rPr>
                <w:b/>
              </w:rPr>
            </w:pPr>
            <w:r w:rsidRPr="00811BEC">
              <w:rPr>
                <w:b/>
              </w:rPr>
              <w:t> </w:t>
            </w:r>
          </w:p>
        </w:tc>
        <w:tc>
          <w:tcPr>
            <w:tcW w:w="1530" w:type="dxa"/>
            <w:tcBorders>
              <w:top w:val="nil"/>
              <w:left w:val="single" w:sz="4" w:space="0" w:color="FFFFFF"/>
              <w:bottom w:val="nil"/>
              <w:right w:val="single" w:sz="4" w:space="0" w:color="FFFFFF"/>
            </w:tcBorders>
            <w:shd w:val="clear" w:color="000000" w:fill="D6DCE4"/>
            <w:vAlign w:val="center"/>
            <w:hideMark/>
          </w:tcPr>
          <w:p w14:paraId="76D61A38" w14:textId="77777777" w:rsidR="00811BEC" w:rsidRPr="009E74CC" w:rsidRDefault="00811BEC" w:rsidP="00811BEC">
            <w:pPr>
              <w:pStyle w:val="Tabletext"/>
              <w:spacing w:line="260" w:lineRule="exact"/>
              <w:jc w:val="center"/>
            </w:pPr>
          </w:p>
        </w:tc>
        <w:tc>
          <w:tcPr>
            <w:tcW w:w="2780" w:type="dxa"/>
            <w:gridSpan w:val="4"/>
            <w:tcBorders>
              <w:top w:val="nil"/>
              <w:left w:val="single" w:sz="4" w:space="0" w:color="FFFFFF"/>
              <w:bottom w:val="nil"/>
              <w:right w:val="nil"/>
            </w:tcBorders>
            <w:shd w:val="clear" w:color="000000" w:fill="D6DCE4"/>
            <w:vAlign w:val="center"/>
            <w:hideMark/>
          </w:tcPr>
          <w:p w14:paraId="0EB8D8DF" w14:textId="77777777" w:rsidR="00811BEC" w:rsidRPr="009E74CC" w:rsidRDefault="00811BEC" w:rsidP="00811BEC">
            <w:pPr>
              <w:pStyle w:val="Tabletext"/>
              <w:spacing w:line="260" w:lineRule="exact"/>
              <w:jc w:val="center"/>
            </w:pPr>
            <w:r w:rsidRPr="009E74CC">
              <w:t>growth rate</w:t>
            </w:r>
          </w:p>
        </w:tc>
      </w:tr>
      <w:tr w:rsidR="00811BEC" w:rsidRPr="003E7BBB" w14:paraId="4FAA9926" w14:textId="77777777" w:rsidTr="00471D95">
        <w:trPr>
          <w:trHeight w:val="340"/>
          <w:jc w:val="center"/>
        </w:trPr>
        <w:tc>
          <w:tcPr>
            <w:tcW w:w="3350" w:type="dxa"/>
            <w:tcBorders>
              <w:top w:val="nil"/>
              <w:left w:val="nil"/>
              <w:bottom w:val="single" w:sz="4" w:space="0" w:color="FFFFFF"/>
              <w:right w:val="single" w:sz="4" w:space="0" w:color="FFFFFF"/>
            </w:tcBorders>
            <w:shd w:val="clear" w:color="000000" w:fill="F2F2F2"/>
            <w:vAlign w:val="center"/>
            <w:hideMark/>
          </w:tcPr>
          <w:p w14:paraId="045AEF27" w14:textId="77777777" w:rsidR="00811BEC" w:rsidRPr="003E7BBB" w:rsidRDefault="00811BEC" w:rsidP="00811BEC">
            <w:pPr>
              <w:pStyle w:val="Tabletext"/>
              <w:spacing w:line="260" w:lineRule="exact"/>
            </w:pPr>
            <w:r w:rsidRPr="003E7BBB">
              <w:t>30. Net nationally financed primary expenditure growth</w:t>
            </w:r>
          </w:p>
        </w:tc>
        <w:tc>
          <w:tcPr>
            <w:tcW w:w="1328" w:type="dxa"/>
            <w:tcBorders>
              <w:top w:val="nil"/>
              <w:left w:val="single" w:sz="4" w:space="0" w:color="FFFFFF"/>
              <w:bottom w:val="single" w:sz="4" w:space="0" w:color="FFFFFF"/>
              <w:right w:val="single" w:sz="4" w:space="0" w:color="FFFFFF"/>
            </w:tcBorders>
            <w:shd w:val="clear" w:color="000000" w:fill="F2F2F2"/>
            <w:vAlign w:val="center"/>
            <w:hideMark/>
          </w:tcPr>
          <w:p w14:paraId="2F955667" w14:textId="77777777" w:rsidR="00811BEC" w:rsidRPr="003E7BBB" w:rsidRDefault="00811BEC" w:rsidP="00811BEC">
            <w:pPr>
              <w:pStyle w:val="Tabletext"/>
              <w:spacing w:line="260" w:lineRule="exact"/>
            </w:pPr>
            <w:r w:rsidRPr="003E7BBB">
              <w:t> </w:t>
            </w:r>
          </w:p>
        </w:tc>
        <w:tc>
          <w:tcPr>
            <w:tcW w:w="1530" w:type="dxa"/>
            <w:tcBorders>
              <w:top w:val="nil"/>
              <w:left w:val="single" w:sz="4" w:space="0" w:color="FFFFFF"/>
              <w:bottom w:val="single" w:sz="4" w:space="0" w:color="FFFFFF"/>
              <w:right w:val="single" w:sz="4" w:space="0" w:color="FFFFFF"/>
            </w:tcBorders>
            <w:shd w:val="clear" w:color="000000" w:fill="F2F2F2"/>
            <w:vAlign w:val="center"/>
            <w:hideMark/>
          </w:tcPr>
          <w:p w14:paraId="0F207FD8" w14:textId="77777777" w:rsidR="00811BEC" w:rsidRPr="003E7BBB" w:rsidRDefault="00811BEC" w:rsidP="00811BEC">
            <w:pPr>
              <w:pStyle w:val="Tabletext"/>
              <w:spacing w:line="260" w:lineRule="exact"/>
              <w:jc w:val="center"/>
            </w:pPr>
          </w:p>
        </w:tc>
        <w:tc>
          <w:tcPr>
            <w:tcW w:w="695" w:type="dxa"/>
            <w:tcBorders>
              <w:top w:val="nil"/>
              <w:left w:val="single" w:sz="4" w:space="0" w:color="FFFFFF"/>
              <w:bottom w:val="single" w:sz="4" w:space="0" w:color="FFFFFF"/>
              <w:right w:val="nil"/>
            </w:tcBorders>
            <w:shd w:val="clear" w:color="000000" w:fill="F2F2F2"/>
            <w:vAlign w:val="center"/>
            <w:hideMark/>
          </w:tcPr>
          <w:p w14:paraId="6CD52D73" w14:textId="77777777" w:rsidR="00811BEC" w:rsidRPr="003E7BBB" w:rsidRDefault="00811BEC" w:rsidP="00811BEC">
            <w:pPr>
              <w:pStyle w:val="Tabletext"/>
              <w:spacing w:line="260" w:lineRule="exact"/>
              <w:jc w:val="center"/>
            </w:pPr>
          </w:p>
        </w:tc>
        <w:tc>
          <w:tcPr>
            <w:tcW w:w="695" w:type="dxa"/>
            <w:tcBorders>
              <w:top w:val="nil"/>
              <w:left w:val="nil"/>
              <w:bottom w:val="single" w:sz="4" w:space="0" w:color="FFFFFF"/>
              <w:right w:val="nil"/>
            </w:tcBorders>
            <w:shd w:val="clear" w:color="000000" w:fill="F2F2F2"/>
            <w:vAlign w:val="center"/>
            <w:hideMark/>
          </w:tcPr>
          <w:p w14:paraId="493D8685" w14:textId="77777777" w:rsidR="00811BEC" w:rsidRPr="003E7BBB" w:rsidRDefault="00811BEC" w:rsidP="00811BEC">
            <w:pPr>
              <w:pStyle w:val="Tabletext"/>
              <w:spacing w:line="260" w:lineRule="exact"/>
              <w:jc w:val="center"/>
            </w:pPr>
            <w:r w:rsidRPr="003E7BBB">
              <w:t>-0.1</w:t>
            </w:r>
          </w:p>
        </w:tc>
        <w:tc>
          <w:tcPr>
            <w:tcW w:w="695" w:type="dxa"/>
            <w:tcBorders>
              <w:top w:val="nil"/>
              <w:left w:val="nil"/>
              <w:bottom w:val="single" w:sz="4" w:space="0" w:color="FFFFFF"/>
              <w:right w:val="nil"/>
            </w:tcBorders>
            <w:shd w:val="clear" w:color="000000" w:fill="F2F2F2"/>
            <w:vAlign w:val="center"/>
            <w:hideMark/>
          </w:tcPr>
          <w:p w14:paraId="585E6BF7" w14:textId="77777777" w:rsidR="00811BEC" w:rsidRPr="003E7BBB" w:rsidRDefault="00811BEC" w:rsidP="00811BEC">
            <w:pPr>
              <w:pStyle w:val="Tabletext"/>
              <w:spacing w:line="260" w:lineRule="exact"/>
              <w:jc w:val="center"/>
            </w:pPr>
            <w:r w:rsidRPr="003E7BBB">
              <w:t>2.9</w:t>
            </w:r>
          </w:p>
        </w:tc>
        <w:tc>
          <w:tcPr>
            <w:tcW w:w="695" w:type="dxa"/>
            <w:tcBorders>
              <w:top w:val="nil"/>
              <w:left w:val="nil"/>
              <w:bottom w:val="single" w:sz="4" w:space="0" w:color="FFFFFF"/>
              <w:right w:val="nil"/>
            </w:tcBorders>
            <w:shd w:val="clear" w:color="000000" w:fill="F2F2F2"/>
            <w:vAlign w:val="center"/>
            <w:hideMark/>
          </w:tcPr>
          <w:p w14:paraId="3960BFCB" w14:textId="77777777" w:rsidR="00811BEC" w:rsidRPr="003E7BBB" w:rsidRDefault="00811BEC" w:rsidP="00811BEC">
            <w:pPr>
              <w:pStyle w:val="Tabletext"/>
              <w:spacing w:line="260" w:lineRule="exact"/>
              <w:jc w:val="center"/>
            </w:pPr>
            <w:r w:rsidRPr="003E7BBB">
              <w:t>7.5</w:t>
            </w:r>
          </w:p>
        </w:tc>
      </w:tr>
      <w:tr w:rsidR="00811BEC" w:rsidRPr="00A87424" w14:paraId="5BD25925" w14:textId="77777777" w:rsidTr="00471D95">
        <w:trPr>
          <w:trHeight w:val="340"/>
          <w:jc w:val="center"/>
        </w:trPr>
        <w:tc>
          <w:tcPr>
            <w:tcW w:w="3350" w:type="dxa"/>
            <w:tcBorders>
              <w:top w:val="nil"/>
              <w:left w:val="nil"/>
              <w:bottom w:val="nil"/>
              <w:right w:val="single" w:sz="4" w:space="0" w:color="FFFFFF"/>
            </w:tcBorders>
            <w:shd w:val="clear" w:color="000000" w:fill="D6DCE4"/>
            <w:vAlign w:val="center"/>
            <w:hideMark/>
          </w:tcPr>
          <w:p w14:paraId="5EC22ECE" w14:textId="77777777" w:rsidR="00811BEC" w:rsidRPr="00A87424" w:rsidRDefault="00811BEC" w:rsidP="00811BEC">
            <w:pPr>
              <w:pStyle w:val="Tabletext"/>
              <w:spacing w:line="260" w:lineRule="exact"/>
              <w:rPr>
                <w:b/>
                <w:sz w:val="24"/>
              </w:rPr>
            </w:pPr>
            <w:r w:rsidRPr="00A87424">
              <w:rPr>
                <w:b/>
                <w:sz w:val="24"/>
              </w:rPr>
              <w:t>Balances</w:t>
            </w:r>
          </w:p>
        </w:tc>
        <w:tc>
          <w:tcPr>
            <w:tcW w:w="1328" w:type="dxa"/>
            <w:tcBorders>
              <w:top w:val="nil"/>
              <w:left w:val="single" w:sz="4" w:space="0" w:color="FFFFFF"/>
              <w:bottom w:val="nil"/>
              <w:right w:val="single" w:sz="4" w:space="0" w:color="FFFFFF"/>
            </w:tcBorders>
            <w:shd w:val="clear" w:color="000000" w:fill="D6DCE4"/>
            <w:vAlign w:val="center"/>
            <w:hideMark/>
          </w:tcPr>
          <w:p w14:paraId="5A8A732B" w14:textId="77777777" w:rsidR="00811BEC" w:rsidRPr="00A87424" w:rsidRDefault="00811BEC" w:rsidP="00811BEC">
            <w:pPr>
              <w:pStyle w:val="Tabletext"/>
              <w:spacing w:line="260" w:lineRule="exact"/>
              <w:rPr>
                <w:b/>
                <w:sz w:val="24"/>
              </w:rPr>
            </w:pPr>
            <w:r w:rsidRPr="00A87424">
              <w:rPr>
                <w:b/>
                <w:sz w:val="24"/>
              </w:rPr>
              <w:t> </w:t>
            </w:r>
          </w:p>
        </w:tc>
        <w:tc>
          <w:tcPr>
            <w:tcW w:w="1530" w:type="dxa"/>
            <w:tcBorders>
              <w:top w:val="nil"/>
              <w:left w:val="single" w:sz="4" w:space="0" w:color="FFFFFF"/>
              <w:bottom w:val="nil"/>
              <w:right w:val="single" w:sz="4" w:space="0" w:color="FFFFFF"/>
            </w:tcBorders>
            <w:shd w:val="clear" w:color="000000" w:fill="D6DCE4"/>
            <w:vAlign w:val="center"/>
            <w:hideMark/>
          </w:tcPr>
          <w:p w14:paraId="0C712CC3" w14:textId="77777777" w:rsidR="00811BEC" w:rsidRPr="009E74CC" w:rsidRDefault="00811BEC" w:rsidP="00811BEC">
            <w:pPr>
              <w:pStyle w:val="Tabletext"/>
              <w:spacing w:line="260" w:lineRule="exact"/>
              <w:jc w:val="center"/>
              <w:rPr>
                <w:sz w:val="24"/>
              </w:rPr>
            </w:pPr>
            <w:r w:rsidRPr="009E74CC">
              <w:rPr>
                <w:sz w:val="24"/>
              </w:rPr>
              <w:t>bn NAC</w:t>
            </w:r>
          </w:p>
        </w:tc>
        <w:tc>
          <w:tcPr>
            <w:tcW w:w="2780" w:type="dxa"/>
            <w:gridSpan w:val="4"/>
            <w:tcBorders>
              <w:top w:val="nil"/>
              <w:left w:val="single" w:sz="4" w:space="0" w:color="FFFFFF"/>
              <w:bottom w:val="nil"/>
              <w:right w:val="nil"/>
            </w:tcBorders>
            <w:shd w:val="clear" w:color="000000" w:fill="D6DCE4"/>
            <w:vAlign w:val="center"/>
            <w:hideMark/>
          </w:tcPr>
          <w:p w14:paraId="6CCEFD25" w14:textId="77777777" w:rsidR="00811BEC" w:rsidRPr="009E74CC" w:rsidRDefault="00811BEC" w:rsidP="00811BEC">
            <w:pPr>
              <w:pStyle w:val="Tabletext"/>
              <w:spacing w:line="260" w:lineRule="exact"/>
              <w:jc w:val="center"/>
              <w:rPr>
                <w:sz w:val="24"/>
              </w:rPr>
            </w:pPr>
            <w:r w:rsidRPr="009E74CC">
              <w:rPr>
                <w:sz w:val="24"/>
              </w:rPr>
              <w:t>% GDP</w:t>
            </w:r>
          </w:p>
        </w:tc>
      </w:tr>
      <w:tr w:rsidR="00811BEC" w:rsidRPr="003E7BBB" w14:paraId="61A1BFC2" w14:textId="77777777" w:rsidTr="00471D95">
        <w:trPr>
          <w:trHeight w:val="340"/>
          <w:jc w:val="center"/>
        </w:trPr>
        <w:tc>
          <w:tcPr>
            <w:tcW w:w="3350" w:type="dxa"/>
            <w:tcBorders>
              <w:top w:val="nil"/>
              <w:left w:val="nil"/>
              <w:bottom w:val="single" w:sz="4" w:space="0" w:color="FFFFFF"/>
              <w:right w:val="single" w:sz="4" w:space="0" w:color="FFFFFF"/>
            </w:tcBorders>
            <w:shd w:val="clear" w:color="000000" w:fill="F2F2F2"/>
            <w:vAlign w:val="center"/>
            <w:hideMark/>
          </w:tcPr>
          <w:p w14:paraId="2FB2BF14" w14:textId="77777777" w:rsidR="00811BEC" w:rsidRPr="003E7BBB" w:rsidRDefault="00811BEC" w:rsidP="00811BEC">
            <w:pPr>
              <w:pStyle w:val="Tabletext"/>
              <w:spacing w:line="260" w:lineRule="exact"/>
            </w:pPr>
            <w:r w:rsidRPr="003E7BBB">
              <w:t>31. Net lending/borrowing (= 7-23)</w:t>
            </w:r>
          </w:p>
        </w:tc>
        <w:tc>
          <w:tcPr>
            <w:tcW w:w="1328" w:type="dxa"/>
            <w:tcBorders>
              <w:top w:val="nil"/>
              <w:left w:val="single" w:sz="4" w:space="0" w:color="FFFFFF"/>
              <w:bottom w:val="single" w:sz="4" w:space="0" w:color="FFFFFF"/>
              <w:right w:val="single" w:sz="4" w:space="0" w:color="FFFFFF"/>
            </w:tcBorders>
            <w:shd w:val="clear" w:color="000000" w:fill="F2F2F2"/>
            <w:vAlign w:val="center"/>
            <w:hideMark/>
          </w:tcPr>
          <w:p w14:paraId="7759258C" w14:textId="77777777" w:rsidR="00811BEC" w:rsidRPr="003E7BBB" w:rsidRDefault="00811BEC" w:rsidP="00811BEC">
            <w:pPr>
              <w:pStyle w:val="Tabletext"/>
              <w:spacing w:line="260" w:lineRule="exact"/>
            </w:pPr>
            <w:r w:rsidRPr="003E7BBB">
              <w:t>B.9</w:t>
            </w:r>
          </w:p>
        </w:tc>
        <w:tc>
          <w:tcPr>
            <w:tcW w:w="1530" w:type="dxa"/>
            <w:tcBorders>
              <w:top w:val="nil"/>
              <w:left w:val="single" w:sz="4" w:space="0" w:color="FFFFFF"/>
              <w:bottom w:val="single" w:sz="4" w:space="0" w:color="FFFFFF"/>
              <w:right w:val="single" w:sz="4" w:space="0" w:color="FFFFFF"/>
            </w:tcBorders>
            <w:shd w:val="clear" w:color="000000" w:fill="F2F2F2"/>
            <w:vAlign w:val="center"/>
            <w:hideMark/>
          </w:tcPr>
          <w:p w14:paraId="32027069" w14:textId="77777777" w:rsidR="00811BEC" w:rsidRPr="003E7BBB" w:rsidRDefault="00811BEC" w:rsidP="00811BEC">
            <w:pPr>
              <w:pStyle w:val="Tabletext"/>
              <w:spacing w:line="260" w:lineRule="exact"/>
              <w:jc w:val="center"/>
            </w:pPr>
            <w:r w:rsidRPr="003E7BBB">
              <w:t>-3.2</w:t>
            </w:r>
          </w:p>
        </w:tc>
        <w:tc>
          <w:tcPr>
            <w:tcW w:w="695" w:type="dxa"/>
            <w:tcBorders>
              <w:top w:val="nil"/>
              <w:left w:val="single" w:sz="4" w:space="0" w:color="FFFFFF"/>
              <w:bottom w:val="single" w:sz="4" w:space="0" w:color="FFFFFF"/>
              <w:right w:val="nil"/>
            </w:tcBorders>
            <w:shd w:val="clear" w:color="000000" w:fill="F2F2F2"/>
            <w:vAlign w:val="center"/>
            <w:hideMark/>
          </w:tcPr>
          <w:p w14:paraId="229F2C0F" w14:textId="77777777" w:rsidR="00811BEC" w:rsidRPr="003E7BBB" w:rsidRDefault="00811BEC" w:rsidP="00811BEC">
            <w:pPr>
              <w:pStyle w:val="Tabletext"/>
              <w:spacing w:line="260" w:lineRule="exact"/>
              <w:jc w:val="center"/>
            </w:pPr>
            <w:r w:rsidRPr="003E7BBB">
              <w:t>-1.4</w:t>
            </w:r>
          </w:p>
        </w:tc>
        <w:tc>
          <w:tcPr>
            <w:tcW w:w="695" w:type="dxa"/>
            <w:tcBorders>
              <w:top w:val="nil"/>
              <w:left w:val="nil"/>
              <w:bottom w:val="single" w:sz="4" w:space="0" w:color="FFFFFF"/>
              <w:right w:val="nil"/>
            </w:tcBorders>
            <w:shd w:val="clear" w:color="000000" w:fill="F2F2F2"/>
            <w:vAlign w:val="center"/>
            <w:hideMark/>
          </w:tcPr>
          <w:p w14:paraId="4F6A12F7" w14:textId="77777777" w:rsidR="00811BEC" w:rsidRPr="003E7BBB" w:rsidRDefault="00811BEC" w:rsidP="00811BEC">
            <w:pPr>
              <w:pStyle w:val="Tabletext"/>
              <w:spacing w:line="260" w:lineRule="exact"/>
              <w:jc w:val="center"/>
            </w:pPr>
            <w:r w:rsidRPr="003E7BBB">
              <w:t>1.3</w:t>
            </w:r>
          </w:p>
        </w:tc>
        <w:tc>
          <w:tcPr>
            <w:tcW w:w="695" w:type="dxa"/>
            <w:tcBorders>
              <w:top w:val="nil"/>
              <w:left w:val="nil"/>
              <w:bottom w:val="single" w:sz="4" w:space="0" w:color="FFFFFF"/>
              <w:right w:val="nil"/>
            </w:tcBorders>
            <w:shd w:val="clear" w:color="000000" w:fill="F2F2F2"/>
            <w:vAlign w:val="center"/>
            <w:hideMark/>
          </w:tcPr>
          <w:p w14:paraId="33666D91" w14:textId="77777777" w:rsidR="00811BEC" w:rsidRPr="003E7BBB" w:rsidRDefault="00811BEC" w:rsidP="00811BEC">
            <w:pPr>
              <w:pStyle w:val="Tabletext"/>
              <w:spacing w:line="260" w:lineRule="exact"/>
              <w:jc w:val="center"/>
            </w:pPr>
            <w:r w:rsidRPr="003E7BBB">
              <w:t>1.7</w:t>
            </w:r>
          </w:p>
        </w:tc>
        <w:tc>
          <w:tcPr>
            <w:tcW w:w="695" w:type="dxa"/>
            <w:tcBorders>
              <w:top w:val="nil"/>
              <w:left w:val="nil"/>
              <w:bottom w:val="single" w:sz="4" w:space="0" w:color="FFFFFF"/>
              <w:right w:val="nil"/>
            </w:tcBorders>
            <w:shd w:val="clear" w:color="000000" w:fill="F2F2F2"/>
            <w:vAlign w:val="center"/>
            <w:hideMark/>
          </w:tcPr>
          <w:p w14:paraId="7B86135D" w14:textId="77777777" w:rsidR="00811BEC" w:rsidRPr="003E7BBB" w:rsidRDefault="00811BEC" w:rsidP="00811BEC">
            <w:pPr>
              <w:pStyle w:val="Tabletext"/>
              <w:spacing w:line="260" w:lineRule="exact"/>
              <w:jc w:val="center"/>
            </w:pPr>
            <w:r w:rsidRPr="003E7BBB">
              <w:t>0.2</w:t>
            </w:r>
          </w:p>
        </w:tc>
      </w:tr>
      <w:tr w:rsidR="00811BEC" w:rsidRPr="003E7BBB" w14:paraId="0DBED923" w14:textId="77777777" w:rsidTr="00471D95">
        <w:trPr>
          <w:trHeight w:val="340"/>
          <w:jc w:val="center"/>
        </w:trPr>
        <w:tc>
          <w:tcPr>
            <w:tcW w:w="3350" w:type="dxa"/>
            <w:tcBorders>
              <w:top w:val="nil"/>
              <w:left w:val="nil"/>
              <w:bottom w:val="single" w:sz="4" w:space="0" w:color="FFFFFF"/>
              <w:right w:val="single" w:sz="4" w:space="0" w:color="FFFFFF"/>
            </w:tcBorders>
            <w:shd w:val="clear" w:color="000000" w:fill="D9D9D9"/>
            <w:vAlign w:val="center"/>
            <w:hideMark/>
          </w:tcPr>
          <w:p w14:paraId="154661C0" w14:textId="77777777" w:rsidR="00811BEC" w:rsidRPr="003E7BBB" w:rsidRDefault="00811BEC" w:rsidP="00811BEC">
            <w:pPr>
              <w:pStyle w:val="Tabletext"/>
              <w:spacing w:line="260" w:lineRule="exact"/>
            </w:pPr>
            <w:r w:rsidRPr="003E7BBB">
              <w:t>32. Primary balance (= 31+14)</w:t>
            </w:r>
          </w:p>
        </w:tc>
        <w:tc>
          <w:tcPr>
            <w:tcW w:w="1328" w:type="dxa"/>
            <w:tcBorders>
              <w:top w:val="nil"/>
              <w:left w:val="single" w:sz="4" w:space="0" w:color="FFFFFF"/>
              <w:bottom w:val="single" w:sz="4" w:space="0" w:color="FFFFFF"/>
              <w:right w:val="single" w:sz="4" w:space="0" w:color="FFFFFF"/>
            </w:tcBorders>
            <w:shd w:val="clear" w:color="000000" w:fill="D9D9D9"/>
            <w:vAlign w:val="center"/>
            <w:hideMark/>
          </w:tcPr>
          <w:p w14:paraId="4820C849" w14:textId="77777777" w:rsidR="00811BEC" w:rsidRPr="003E7BBB" w:rsidRDefault="00811BEC" w:rsidP="00811BEC">
            <w:pPr>
              <w:pStyle w:val="Tabletext"/>
              <w:spacing w:line="260" w:lineRule="exact"/>
            </w:pPr>
            <w:r w:rsidRPr="003E7BBB">
              <w:t>B.9-D.41p</w:t>
            </w:r>
          </w:p>
        </w:tc>
        <w:tc>
          <w:tcPr>
            <w:tcW w:w="1530" w:type="dxa"/>
            <w:tcBorders>
              <w:top w:val="nil"/>
              <w:left w:val="single" w:sz="4" w:space="0" w:color="FFFFFF"/>
              <w:bottom w:val="single" w:sz="4" w:space="0" w:color="FFFFFF"/>
              <w:right w:val="single" w:sz="4" w:space="0" w:color="FFFFFF"/>
            </w:tcBorders>
            <w:shd w:val="clear" w:color="000000" w:fill="D9D9D9"/>
            <w:vAlign w:val="center"/>
            <w:hideMark/>
          </w:tcPr>
          <w:p w14:paraId="2CB06193" w14:textId="77777777" w:rsidR="00811BEC" w:rsidRPr="003E7BBB" w:rsidRDefault="00811BEC" w:rsidP="00811BEC">
            <w:pPr>
              <w:pStyle w:val="Tabletext"/>
              <w:spacing w:line="260" w:lineRule="exact"/>
              <w:jc w:val="center"/>
            </w:pPr>
            <w:r w:rsidRPr="003E7BBB">
              <w:t>4.4</w:t>
            </w:r>
          </w:p>
        </w:tc>
        <w:tc>
          <w:tcPr>
            <w:tcW w:w="695" w:type="dxa"/>
            <w:tcBorders>
              <w:top w:val="nil"/>
              <w:left w:val="single" w:sz="4" w:space="0" w:color="FFFFFF"/>
              <w:bottom w:val="single" w:sz="4" w:space="0" w:color="FFFFFF"/>
              <w:right w:val="nil"/>
            </w:tcBorders>
            <w:shd w:val="clear" w:color="000000" w:fill="D9D9D9"/>
            <w:vAlign w:val="center"/>
            <w:hideMark/>
          </w:tcPr>
          <w:p w14:paraId="059C2211" w14:textId="77777777" w:rsidR="00811BEC" w:rsidRPr="003E7BBB" w:rsidRDefault="00811BEC" w:rsidP="00811BEC">
            <w:pPr>
              <w:pStyle w:val="Tabletext"/>
              <w:spacing w:line="260" w:lineRule="exact"/>
              <w:jc w:val="center"/>
            </w:pPr>
            <w:r w:rsidRPr="003E7BBB">
              <w:t>2.0</w:t>
            </w:r>
          </w:p>
        </w:tc>
        <w:tc>
          <w:tcPr>
            <w:tcW w:w="695" w:type="dxa"/>
            <w:tcBorders>
              <w:top w:val="nil"/>
              <w:left w:val="nil"/>
              <w:bottom w:val="single" w:sz="4" w:space="0" w:color="FFFFFF"/>
              <w:right w:val="nil"/>
            </w:tcBorders>
            <w:shd w:val="clear" w:color="000000" w:fill="D9D9D9"/>
            <w:vAlign w:val="center"/>
            <w:hideMark/>
          </w:tcPr>
          <w:p w14:paraId="51D39B99" w14:textId="77777777" w:rsidR="00811BEC" w:rsidRPr="003E7BBB" w:rsidRDefault="00811BEC" w:rsidP="00811BEC">
            <w:pPr>
              <w:pStyle w:val="Tabletext"/>
              <w:spacing w:line="260" w:lineRule="exact"/>
              <w:jc w:val="center"/>
            </w:pPr>
            <w:r w:rsidRPr="003E7BBB">
              <w:t>4.8</w:t>
            </w:r>
          </w:p>
        </w:tc>
        <w:tc>
          <w:tcPr>
            <w:tcW w:w="695" w:type="dxa"/>
            <w:tcBorders>
              <w:top w:val="nil"/>
              <w:left w:val="nil"/>
              <w:bottom w:val="single" w:sz="4" w:space="0" w:color="FFFFFF"/>
              <w:right w:val="nil"/>
            </w:tcBorders>
            <w:shd w:val="clear" w:color="000000" w:fill="D9D9D9"/>
            <w:vAlign w:val="center"/>
            <w:hideMark/>
          </w:tcPr>
          <w:p w14:paraId="3E0529FA" w14:textId="77777777" w:rsidR="00811BEC" w:rsidRPr="003E7BBB" w:rsidRDefault="00811BEC" w:rsidP="00811BEC">
            <w:pPr>
              <w:pStyle w:val="Tabletext"/>
              <w:spacing w:line="260" w:lineRule="exact"/>
              <w:jc w:val="center"/>
            </w:pPr>
            <w:r w:rsidRPr="003E7BBB">
              <w:t>4.9</w:t>
            </w:r>
          </w:p>
        </w:tc>
        <w:tc>
          <w:tcPr>
            <w:tcW w:w="695" w:type="dxa"/>
            <w:tcBorders>
              <w:top w:val="nil"/>
              <w:left w:val="nil"/>
              <w:bottom w:val="single" w:sz="4" w:space="0" w:color="FFFFFF"/>
              <w:right w:val="nil"/>
            </w:tcBorders>
            <w:shd w:val="clear" w:color="000000" w:fill="D9D9D9"/>
            <w:vAlign w:val="center"/>
            <w:hideMark/>
          </w:tcPr>
          <w:p w14:paraId="67283D26" w14:textId="77777777" w:rsidR="00811BEC" w:rsidRPr="003E7BBB" w:rsidRDefault="00811BEC" w:rsidP="00811BEC">
            <w:pPr>
              <w:pStyle w:val="Tabletext"/>
              <w:spacing w:line="260" w:lineRule="exact"/>
              <w:jc w:val="center"/>
            </w:pPr>
            <w:r w:rsidRPr="003E7BBB">
              <w:t>3.2</w:t>
            </w:r>
          </w:p>
        </w:tc>
      </w:tr>
      <w:tr w:rsidR="00811BEC" w:rsidRPr="00A87424" w14:paraId="0B41A559" w14:textId="77777777" w:rsidTr="00471D95">
        <w:trPr>
          <w:trHeight w:val="340"/>
          <w:jc w:val="center"/>
        </w:trPr>
        <w:tc>
          <w:tcPr>
            <w:tcW w:w="3350" w:type="dxa"/>
            <w:tcBorders>
              <w:top w:val="nil"/>
              <w:left w:val="nil"/>
              <w:bottom w:val="nil"/>
              <w:right w:val="single" w:sz="4" w:space="0" w:color="FFFFFF"/>
            </w:tcBorders>
            <w:shd w:val="clear" w:color="000000" w:fill="D6DCE4"/>
            <w:vAlign w:val="center"/>
            <w:hideMark/>
          </w:tcPr>
          <w:p w14:paraId="6D9CD0A1" w14:textId="77777777" w:rsidR="00811BEC" w:rsidRPr="00A87424" w:rsidRDefault="00811BEC" w:rsidP="00811BEC">
            <w:pPr>
              <w:pStyle w:val="Tabletext"/>
              <w:spacing w:line="260" w:lineRule="exact"/>
              <w:rPr>
                <w:b/>
                <w:sz w:val="24"/>
              </w:rPr>
            </w:pPr>
            <w:r w:rsidRPr="00A87424">
              <w:rPr>
                <w:b/>
                <w:sz w:val="24"/>
              </w:rPr>
              <w:t>Cyclical adjustment</w:t>
            </w:r>
          </w:p>
        </w:tc>
        <w:tc>
          <w:tcPr>
            <w:tcW w:w="1328" w:type="dxa"/>
            <w:tcBorders>
              <w:top w:val="nil"/>
              <w:left w:val="single" w:sz="4" w:space="0" w:color="FFFFFF"/>
              <w:bottom w:val="nil"/>
              <w:right w:val="single" w:sz="4" w:space="0" w:color="FFFFFF"/>
            </w:tcBorders>
            <w:shd w:val="clear" w:color="000000" w:fill="D6DCE4"/>
            <w:vAlign w:val="center"/>
            <w:hideMark/>
          </w:tcPr>
          <w:p w14:paraId="33FCA42E" w14:textId="77777777" w:rsidR="00811BEC" w:rsidRPr="00A87424" w:rsidRDefault="00811BEC" w:rsidP="00811BEC">
            <w:pPr>
              <w:pStyle w:val="Tabletext"/>
              <w:spacing w:line="260" w:lineRule="exact"/>
              <w:rPr>
                <w:b/>
                <w:sz w:val="24"/>
              </w:rPr>
            </w:pPr>
            <w:r w:rsidRPr="00A87424">
              <w:rPr>
                <w:b/>
                <w:sz w:val="24"/>
              </w:rPr>
              <w:t> </w:t>
            </w:r>
          </w:p>
        </w:tc>
        <w:tc>
          <w:tcPr>
            <w:tcW w:w="1530" w:type="dxa"/>
            <w:tcBorders>
              <w:top w:val="nil"/>
              <w:left w:val="single" w:sz="4" w:space="0" w:color="FFFFFF"/>
              <w:bottom w:val="nil"/>
              <w:right w:val="single" w:sz="4" w:space="0" w:color="FFFFFF"/>
            </w:tcBorders>
            <w:shd w:val="clear" w:color="000000" w:fill="D6DCE4"/>
            <w:vAlign w:val="center"/>
            <w:hideMark/>
          </w:tcPr>
          <w:p w14:paraId="7E333D91" w14:textId="77777777" w:rsidR="00811BEC" w:rsidRPr="00A87424" w:rsidRDefault="00811BEC" w:rsidP="00811BEC">
            <w:pPr>
              <w:pStyle w:val="Tabletext"/>
              <w:spacing w:line="260" w:lineRule="exact"/>
              <w:jc w:val="center"/>
              <w:rPr>
                <w:b/>
                <w:sz w:val="24"/>
              </w:rPr>
            </w:pPr>
          </w:p>
        </w:tc>
        <w:tc>
          <w:tcPr>
            <w:tcW w:w="2780" w:type="dxa"/>
            <w:gridSpan w:val="4"/>
            <w:tcBorders>
              <w:top w:val="nil"/>
              <w:left w:val="single" w:sz="4" w:space="0" w:color="FFFFFF"/>
              <w:bottom w:val="nil"/>
              <w:right w:val="nil"/>
            </w:tcBorders>
            <w:shd w:val="clear" w:color="000000" w:fill="D6DCE4"/>
            <w:vAlign w:val="center"/>
            <w:hideMark/>
          </w:tcPr>
          <w:p w14:paraId="0ECDE11C" w14:textId="77777777" w:rsidR="00811BEC" w:rsidRPr="009E74CC" w:rsidRDefault="00811BEC" w:rsidP="00811BEC">
            <w:pPr>
              <w:pStyle w:val="Tabletext"/>
              <w:spacing w:line="260" w:lineRule="exact"/>
              <w:jc w:val="center"/>
              <w:rPr>
                <w:sz w:val="24"/>
              </w:rPr>
            </w:pPr>
            <w:r w:rsidRPr="009E74CC">
              <w:rPr>
                <w:sz w:val="24"/>
              </w:rPr>
              <w:t>% GDP</w:t>
            </w:r>
          </w:p>
        </w:tc>
      </w:tr>
      <w:tr w:rsidR="00811BEC" w:rsidRPr="003E7BBB" w14:paraId="3EBAB274" w14:textId="77777777" w:rsidTr="00471D95">
        <w:trPr>
          <w:trHeight w:val="340"/>
          <w:jc w:val="center"/>
        </w:trPr>
        <w:tc>
          <w:tcPr>
            <w:tcW w:w="3350" w:type="dxa"/>
            <w:tcBorders>
              <w:top w:val="nil"/>
              <w:left w:val="nil"/>
              <w:bottom w:val="single" w:sz="4" w:space="0" w:color="FFFFFF"/>
              <w:right w:val="single" w:sz="4" w:space="0" w:color="FFFFFF"/>
            </w:tcBorders>
            <w:shd w:val="clear" w:color="000000" w:fill="F2F2F2"/>
            <w:vAlign w:val="center"/>
            <w:hideMark/>
          </w:tcPr>
          <w:p w14:paraId="70710751" w14:textId="77777777" w:rsidR="00811BEC" w:rsidRPr="003E7BBB" w:rsidRDefault="00811BEC" w:rsidP="00811BEC">
            <w:pPr>
              <w:pStyle w:val="Tabletext"/>
              <w:spacing w:line="260" w:lineRule="exact"/>
            </w:pPr>
            <w:r w:rsidRPr="003E7BBB">
              <w:t>33. Structural balance</w:t>
            </w:r>
          </w:p>
        </w:tc>
        <w:tc>
          <w:tcPr>
            <w:tcW w:w="1328" w:type="dxa"/>
            <w:tcBorders>
              <w:top w:val="nil"/>
              <w:left w:val="single" w:sz="4" w:space="0" w:color="FFFFFF"/>
              <w:bottom w:val="single" w:sz="4" w:space="0" w:color="FFFFFF"/>
              <w:right w:val="single" w:sz="4" w:space="0" w:color="FFFFFF"/>
            </w:tcBorders>
            <w:shd w:val="clear" w:color="000000" w:fill="F2F2F2"/>
            <w:vAlign w:val="center"/>
            <w:hideMark/>
          </w:tcPr>
          <w:p w14:paraId="3B32B346" w14:textId="77777777" w:rsidR="00811BEC" w:rsidRPr="003E7BBB" w:rsidRDefault="00811BEC" w:rsidP="00811BEC">
            <w:pPr>
              <w:pStyle w:val="Tabletext"/>
              <w:spacing w:line="260" w:lineRule="exact"/>
            </w:pPr>
            <w:r w:rsidRPr="003E7BBB">
              <w:t> </w:t>
            </w:r>
          </w:p>
        </w:tc>
        <w:tc>
          <w:tcPr>
            <w:tcW w:w="1530" w:type="dxa"/>
            <w:tcBorders>
              <w:top w:val="nil"/>
              <w:left w:val="single" w:sz="4" w:space="0" w:color="FFFFFF"/>
              <w:bottom w:val="single" w:sz="4" w:space="0" w:color="FFFFFF"/>
              <w:right w:val="single" w:sz="4" w:space="0" w:color="FFFFFF"/>
            </w:tcBorders>
            <w:shd w:val="clear" w:color="000000" w:fill="F2F2F2"/>
            <w:vAlign w:val="center"/>
            <w:hideMark/>
          </w:tcPr>
          <w:p w14:paraId="23146038" w14:textId="77777777" w:rsidR="00811BEC" w:rsidRPr="003E7BBB" w:rsidRDefault="00811BEC" w:rsidP="00811BEC">
            <w:pPr>
              <w:pStyle w:val="Tabletext"/>
              <w:spacing w:line="260" w:lineRule="exact"/>
              <w:jc w:val="center"/>
            </w:pPr>
          </w:p>
        </w:tc>
        <w:tc>
          <w:tcPr>
            <w:tcW w:w="695" w:type="dxa"/>
            <w:tcBorders>
              <w:top w:val="nil"/>
              <w:left w:val="single" w:sz="4" w:space="0" w:color="FFFFFF"/>
              <w:bottom w:val="single" w:sz="4" w:space="0" w:color="FFFFFF"/>
              <w:right w:val="nil"/>
            </w:tcBorders>
            <w:shd w:val="clear" w:color="000000" w:fill="F2F2F2"/>
            <w:vAlign w:val="center"/>
            <w:hideMark/>
          </w:tcPr>
          <w:p w14:paraId="5FBC0B60" w14:textId="77777777" w:rsidR="00811BEC" w:rsidRPr="003E7BBB" w:rsidRDefault="00811BEC" w:rsidP="00811BEC">
            <w:pPr>
              <w:pStyle w:val="Tabletext"/>
              <w:spacing w:line="260" w:lineRule="exact"/>
              <w:jc w:val="center"/>
            </w:pPr>
            <w:r w:rsidRPr="003E7BBB">
              <w:t>-1.8</w:t>
            </w:r>
          </w:p>
        </w:tc>
        <w:tc>
          <w:tcPr>
            <w:tcW w:w="695" w:type="dxa"/>
            <w:tcBorders>
              <w:top w:val="nil"/>
              <w:left w:val="nil"/>
              <w:bottom w:val="single" w:sz="4" w:space="0" w:color="FFFFFF"/>
              <w:right w:val="nil"/>
            </w:tcBorders>
            <w:shd w:val="clear" w:color="000000" w:fill="F2F2F2"/>
            <w:vAlign w:val="center"/>
            <w:hideMark/>
          </w:tcPr>
          <w:p w14:paraId="4C0D4335" w14:textId="77777777" w:rsidR="00811BEC" w:rsidRPr="003E7BBB" w:rsidRDefault="00811BEC" w:rsidP="00811BEC">
            <w:pPr>
              <w:pStyle w:val="Tabletext"/>
              <w:spacing w:line="260" w:lineRule="exact"/>
              <w:jc w:val="center"/>
            </w:pPr>
            <w:r w:rsidRPr="003E7BBB">
              <w:t>0.5</w:t>
            </w:r>
          </w:p>
        </w:tc>
        <w:tc>
          <w:tcPr>
            <w:tcW w:w="695" w:type="dxa"/>
            <w:tcBorders>
              <w:top w:val="nil"/>
              <w:left w:val="nil"/>
              <w:bottom w:val="single" w:sz="4" w:space="0" w:color="FFFFFF"/>
              <w:right w:val="nil"/>
            </w:tcBorders>
            <w:shd w:val="clear" w:color="000000" w:fill="F2F2F2"/>
            <w:vAlign w:val="center"/>
            <w:hideMark/>
          </w:tcPr>
          <w:p w14:paraId="33D82039" w14:textId="77777777" w:rsidR="00811BEC" w:rsidRPr="003E7BBB" w:rsidRDefault="00811BEC" w:rsidP="00811BEC">
            <w:pPr>
              <w:pStyle w:val="Tabletext"/>
              <w:spacing w:line="260" w:lineRule="exact"/>
              <w:jc w:val="center"/>
            </w:pPr>
            <w:r w:rsidRPr="003E7BBB">
              <w:t>0.5</w:t>
            </w:r>
          </w:p>
        </w:tc>
        <w:tc>
          <w:tcPr>
            <w:tcW w:w="695" w:type="dxa"/>
            <w:tcBorders>
              <w:top w:val="nil"/>
              <w:left w:val="nil"/>
              <w:bottom w:val="single" w:sz="4" w:space="0" w:color="FFFFFF"/>
              <w:right w:val="nil"/>
            </w:tcBorders>
            <w:shd w:val="clear" w:color="000000" w:fill="F2F2F2"/>
            <w:vAlign w:val="center"/>
            <w:hideMark/>
          </w:tcPr>
          <w:p w14:paraId="0558E7A1" w14:textId="77777777" w:rsidR="00811BEC" w:rsidRPr="003E7BBB" w:rsidRDefault="00811BEC" w:rsidP="00811BEC">
            <w:pPr>
              <w:pStyle w:val="Tabletext"/>
              <w:spacing w:line="260" w:lineRule="exact"/>
              <w:jc w:val="center"/>
            </w:pPr>
            <w:r w:rsidRPr="003E7BBB">
              <w:t>-1.2</w:t>
            </w:r>
          </w:p>
        </w:tc>
      </w:tr>
      <w:tr w:rsidR="00811BEC" w:rsidRPr="003E7BBB" w14:paraId="5AE25D87" w14:textId="77777777" w:rsidTr="00471D95">
        <w:trPr>
          <w:trHeight w:val="340"/>
          <w:jc w:val="center"/>
        </w:trPr>
        <w:tc>
          <w:tcPr>
            <w:tcW w:w="3350" w:type="dxa"/>
            <w:tcBorders>
              <w:top w:val="nil"/>
              <w:left w:val="nil"/>
              <w:bottom w:val="single" w:sz="4" w:space="0" w:color="FFFFFF"/>
              <w:right w:val="single" w:sz="4" w:space="0" w:color="FFFFFF"/>
            </w:tcBorders>
            <w:shd w:val="clear" w:color="000000" w:fill="D9D9D9"/>
            <w:vAlign w:val="center"/>
            <w:hideMark/>
          </w:tcPr>
          <w:p w14:paraId="1B5CD101" w14:textId="77777777" w:rsidR="00811BEC" w:rsidRPr="003E7BBB" w:rsidRDefault="00811BEC" w:rsidP="00811BEC">
            <w:pPr>
              <w:pStyle w:val="Tabletext"/>
              <w:spacing w:line="260" w:lineRule="exact"/>
            </w:pPr>
            <w:r w:rsidRPr="003E7BBB">
              <w:t>34. Structural primary balance</w:t>
            </w:r>
          </w:p>
        </w:tc>
        <w:tc>
          <w:tcPr>
            <w:tcW w:w="1328" w:type="dxa"/>
            <w:tcBorders>
              <w:top w:val="nil"/>
              <w:left w:val="single" w:sz="4" w:space="0" w:color="FFFFFF"/>
              <w:bottom w:val="single" w:sz="4" w:space="0" w:color="FFFFFF"/>
              <w:right w:val="single" w:sz="4" w:space="0" w:color="FFFFFF"/>
            </w:tcBorders>
            <w:shd w:val="clear" w:color="000000" w:fill="D9D9D9"/>
            <w:vAlign w:val="center"/>
            <w:hideMark/>
          </w:tcPr>
          <w:p w14:paraId="52CAC411" w14:textId="77777777" w:rsidR="00811BEC" w:rsidRPr="003E7BBB" w:rsidRDefault="00811BEC" w:rsidP="00811BEC">
            <w:pPr>
              <w:pStyle w:val="Tabletext"/>
              <w:spacing w:line="260" w:lineRule="exact"/>
            </w:pPr>
            <w:r w:rsidRPr="003E7BBB">
              <w:t> </w:t>
            </w:r>
          </w:p>
        </w:tc>
        <w:tc>
          <w:tcPr>
            <w:tcW w:w="1530" w:type="dxa"/>
            <w:tcBorders>
              <w:top w:val="nil"/>
              <w:left w:val="single" w:sz="4" w:space="0" w:color="FFFFFF"/>
              <w:bottom w:val="single" w:sz="4" w:space="0" w:color="FFFFFF"/>
              <w:right w:val="single" w:sz="4" w:space="0" w:color="FFFFFF"/>
            </w:tcBorders>
            <w:shd w:val="clear" w:color="000000" w:fill="D9D9D9"/>
            <w:vAlign w:val="center"/>
            <w:hideMark/>
          </w:tcPr>
          <w:p w14:paraId="47D09C90" w14:textId="77777777" w:rsidR="00811BEC" w:rsidRPr="003E7BBB" w:rsidRDefault="00811BEC" w:rsidP="00811BEC">
            <w:pPr>
              <w:pStyle w:val="Tabletext"/>
              <w:spacing w:line="260" w:lineRule="exact"/>
              <w:jc w:val="center"/>
            </w:pPr>
          </w:p>
        </w:tc>
        <w:tc>
          <w:tcPr>
            <w:tcW w:w="695" w:type="dxa"/>
            <w:tcBorders>
              <w:top w:val="nil"/>
              <w:left w:val="single" w:sz="4" w:space="0" w:color="FFFFFF"/>
              <w:bottom w:val="single" w:sz="4" w:space="0" w:color="FFFFFF"/>
              <w:right w:val="nil"/>
            </w:tcBorders>
            <w:shd w:val="clear" w:color="000000" w:fill="D9D9D9"/>
            <w:vAlign w:val="center"/>
            <w:hideMark/>
          </w:tcPr>
          <w:p w14:paraId="291318BB" w14:textId="77777777" w:rsidR="00811BEC" w:rsidRPr="003E7BBB" w:rsidRDefault="00811BEC" w:rsidP="00811BEC">
            <w:pPr>
              <w:pStyle w:val="Tabletext"/>
              <w:spacing w:line="260" w:lineRule="exact"/>
              <w:jc w:val="center"/>
            </w:pPr>
            <w:r w:rsidRPr="003E7BBB">
              <w:t>1.6</w:t>
            </w:r>
          </w:p>
        </w:tc>
        <w:tc>
          <w:tcPr>
            <w:tcW w:w="695" w:type="dxa"/>
            <w:tcBorders>
              <w:top w:val="nil"/>
              <w:left w:val="nil"/>
              <w:bottom w:val="single" w:sz="4" w:space="0" w:color="FFFFFF"/>
              <w:right w:val="nil"/>
            </w:tcBorders>
            <w:shd w:val="clear" w:color="000000" w:fill="D9D9D9"/>
            <w:vAlign w:val="center"/>
            <w:hideMark/>
          </w:tcPr>
          <w:p w14:paraId="5CA87E4C" w14:textId="77777777" w:rsidR="00811BEC" w:rsidRPr="003E7BBB" w:rsidRDefault="00811BEC" w:rsidP="00811BEC">
            <w:pPr>
              <w:pStyle w:val="Tabletext"/>
              <w:spacing w:line="260" w:lineRule="exact"/>
              <w:jc w:val="center"/>
            </w:pPr>
            <w:r w:rsidRPr="003E7BBB">
              <w:t>3.9</w:t>
            </w:r>
          </w:p>
        </w:tc>
        <w:tc>
          <w:tcPr>
            <w:tcW w:w="695" w:type="dxa"/>
            <w:tcBorders>
              <w:top w:val="nil"/>
              <w:left w:val="nil"/>
              <w:bottom w:val="single" w:sz="4" w:space="0" w:color="FFFFFF"/>
              <w:right w:val="nil"/>
            </w:tcBorders>
            <w:shd w:val="clear" w:color="000000" w:fill="D9D9D9"/>
            <w:vAlign w:val="center"/>
            <w:hideMark/>
          </w:tcPr>
          <w:p w14:paraId="47020492" w14:textId="77777777" w:rsidR="00811BEC" w:rsidRPr="003E7BBB" w:rsidRDefault="00811BEC" w:rsidP="00811BEC">
            <w:pPr>
              <w:pStyle w:val="Tabletext"/>
              <w:spacing w:line="260" w:lineRule="exact"/>
              <w:jc w:val="center"/>
            </w:pPr>
            <w:r w:rsidRPr="003E7BBB">
              <w:t>3.7</w:t>
            </w:r>
          </w:p>
        </w:tc>
        <w:tc>
          <w:tcPr>
            <w:tcW w:w="695" w:type="dxa"/>
            <w:tcBorders>
              <w:top w:val="nil"/>
              <w:left w:val="nil"/>
              <w:bottom w:val="single" w:sz="4" w:space="0" w:color="FFFFFF"/>
              <w:right w:val="nil"/>
            </w:tcBorders>
            <w:shd w:val="clear" w:color="000000" w:fill="D9D9D9"/>
            <w:vAlign w:val="center"/>
            <w:hideMark/>
          </w:tcPr>
          <w:p w14:paraId="33764283" w14:textId="77777777" w:rsidR="00811BEC" w:rsidRPr="003E7BBB" w:rsidRDefault="00811BEC" w:rsidP="00811BEC">
            <w:pPr>
              <w:pStyle w:val="Tabletext"/>
              <w:spacing w:line="260" w:lineRule="exact"/>
              <w:jc w:val="center"/>
            </w:pPr>
            <w:r w:rsidRPr="003E7BBB">
              <w:t>1.8</w:t>
            </w:r>
          </w:p>
        </w:tc>
      </w:tr>
      <w:tr w:rsidR="00811BEC" w:rsidRPr="00A87424" w14:paraId="569614AF" w14:textId="77777777" w:rsidTr="00471D95">
        <w:trPr>
          <w:trHeight w:val="340"/>
          <w:jc w:val="center"/>
        </w:trPr>
        <w:tc>
          <w:tcPr>
            <w:tcW w:w="3350" w:type="dxa"/>
            <w:tcBorders>
              <w:top w:val="nil"/>
              <w:left w:val="nil"/>
              <w:bottom w:val="nil"/>
              <w:right w:val="single" w:sz="4" w:space="0" w:color="FFFFFF"/>
            </w:tcBorders>
            <w:shd w:val="clear" w:color="000000" w:fill="D6DCE4"/>
            <w:vAlign w:val="center"/>
            <w:hideMark/>
          </w:tcPr>
          <w:p w14:paraId="392AD7E3" w14:textId="77777777" w:rsidR="00811BEC" w:rsidRPr="00A87424" w:rsidRDefault="00811BEC" w:rsidP="00811BEC">
            <w:pPr>
              <w:pStyle w:val="Tabletext"/>
              <w:spacing w:line="260" w:lineRule="exact"/>
              <w:rPr>
                <w:b/>
                <w:sz w:val="24"/>
              </w:rPr>
            </w:pPr>
            <w:r w:rsidRPr="00A87424">
              <w:rPr>
                <w:b/>
                <w:sz w:val="24"/>
              </w:rPr>
              <w:t>Debt</w:t>
            </w:r>
          </w:p>
        </w:tc>
        <w:tc>
          <w:tcPr>
            <w:tcW w:w="1328" w:type="dxa"/>
            <w:tcBorders>
              <w:top w:val="nil"/>
              <w:left w:val="single" w:sz="4" w:space="0" w:color="FFFFFF"/>
              <w:bottom w:val="nil"/>
              <w:right w:val="single" w:sz="4" w:space="0" w:color="FFFFFF"/>
            </w:tcBorders>
            <w:shd w:val="clear" w:color="000000" w:fill="D6DCE4"/>
            <w:vAlign w:val="center"/>
            <w:hideMark/>
          </w:tcPr>
          <w:p w14:paraId="3BA9031F" w14:textId="77777777" w:rsidR="00811BEC" w:rsidRPr="00A87424" w:rsidRDefault="00811BEC" w:rsidP="00811BEC">
            <w:pPr>
              <w:pStyle w:val="Tabletext"/>
              <w:spacing w:line="260" w:lineRule="exact"/>
              <w:rPr>
                <w:b/>
                <w:sz w:val="24"/>
              </w:rPr>
            </w:pPr>
            <w:r w:rsidRPr="00A87424">
              <w:rPr>
                <w:b/>
                <w:sz w:val="24"/>
              </w:rPr>
              <w:t> </w:t>
            </w:r>
          </w:p>
        </w:tc>
        <w:tc>
          <w:tcPr>
            <w:tcW w:w="1530" w:type="dxa"/>
            <w:tcBorders>
              <w:top w:val="nil"/>
              <w:left w:val="single" w:sz="4" w:space="0" w:color="FFFFFF"/>
              <w:bottom w:val="nil"/>
              <w:right w:val="single" w:sz="4" w:space="0" w:color="FFFFFF"/>
            </w:tcBorders>
            <w:shd w:val="clear" w:color="000000" w:fill="D6DCE4"/>
            <w:vAlign w:val="center"/>
            <w:hideMark/>
          </w:tcPr>
          <w:p w14:paraId="5DE98611" w14:textId="77777777" w:rsidR="00811BEC" w:rsidRPr="009E74CC" w:rsidRDefault="00811BEC" w:rsidP="00811BEC">
            <w:pPr>
              <w:pStyle w:val="Tabletext"/>
              <w:spacing w:line="260" w:lineRule="exact"/>
              <w:jc w:val="center"/>
              <w:rPr>
                <w:sz w:val="24"/>
              </w:rPr>
            </w:pPr>
            <w:r w:rsidRPr="009E74CC">
              <w:rPr>
                <w:sz w:val="24"/>
              </w:rPr>
              <w:t>bn NAC</w:t>
            </w:r>
          </w:p>
        </w:tc>
        <w:tc>
          <w:tcPr>
            <w:tcW w:w="2780" w:type="dxa"/>
            <w:gridSpan w:val="4"/>
            <w:tcBorders>
              <w:top w:val="nil"/>
              <w:left w:val="single" w:sz="4" w:space="0" w:color="FFFFFF"/>
              <w:bottom w:val="nil"/>
              <w:right w:val="nil"/>
            </w:tcBorders>
            <w:shd w:val="clear" w:color="000000" w:fill="D6DCE4"/>
            <w:vAlign w:val="center"/>
            <w:hideMark/>
          </w:tcPr>
          <w:p w14:paraId="62C910CB" w14:textId="77777777" w:rsidR="00811BEC" w:rsidRPr="009E74CC" w:rsidRDefault="00811BEC" w:rsidP="00811BEC">
            <w:pPr>
              <w:pStyle w:val="Tabletext"/>
              <w:spacing w:line="260" w:lineRule="exact"/>
              <w:jc w:val="center"/>
              <w:rPr>
                <w:sz w:val="24"/>
              </w:rPr>
            </w:pPr>
            <w:r w:rsidRPr="009E74CC">
              <w:rPr>
                <w:sz w:val="24"/>
              </w:rPr>
              <w:t>% GDP</w:t>
            </w:r>
          </w:p>
        </w:tc>
      </w:tr>
      <w:tr w:rsidR="00811BEC" w:rsidRPr="003E7BBB" w14:paraId="7D02DC47" w14:textId="77777777" w:rsidTr="00471D95">
        <w:trPr>
          <w:trHeight w:val="340"/>
          <w:jc w:val="center"/>
        </w:trPr>
        <w:tc>
          <w:tcPr>
            <w:tcW w:w="3350" w:type="dxa"/>
            <w:tcBorders>
              <w:top w:val="nil"/>
              <w:left w:val="nil"/>
              <w:bottom w:val="single" w:sz="4" w:space="0" w:color="FFFFFF"/>
              <w:right w:val="single" w:sz="4" w:space="0" w:color="FFFFFF"/>
            </w:tcBorders>
            <w:shd w:val="clear" w:color="000000" w:fill="F2F2F2"/>
            <w:vAlign w:val="center"/>
            <w:hideMark/>
          </w:tcPr>
          <w:p w14:paraId="56A46EB7" w14:textId="77777777" w:rsidR="00811BEC" w:rsidRPr="003E7BBB" w:rsidRDefault="00811BEC" w:rsidP="00811BEC">
            <w:pPr>
              <w:pStyle w:val="Tabletext"/>
              <w:spacing w:line="260" w:lineRule="exact"/>
            </w:pPr>
            <w:r w:rsidRPr="003E7BBB">
              <w:t>35. Gross debt</w:t>
            </w:r>
          </w:p>
        </w:tc>
        <w:tc>
          <w:tcPr>
            <w:tcW w:w="1328" w:type="dxa"/>
            <w:tcBorders>
              <w:top w:val="nil"/>
              <w:left w:val="single" w:sz="4" w:space="0" w:color="FFFFFF"/>
              <w:bottom w:val="single" w:sz="4" w:space="0" w:color="FFFFFF"/>
              <w:right w:val="single" w:sz="4" w:space="0" w:color="FFFFFF"/>
            </w:tcBorders>
            <w:shd w:val="clear" w:color="000000" w:fill="F2F2F2"/>
            <w:vAlign w:val="center"/>
            <w:hideMark/>
          </w:tcPr>
          <w:p w14:paraId="7D3846F5" w14:textId="77777777" w:rsidR="00811BEC" w:rsidRPr="003E7BBB" w:rsidRDefault="00811BEC" w:rsidP="00811BEC">
            <w:pPr>
              <w:pStyle w:val="Tabletext"/>
              <w:spacing w:line="260" w:lineRule="exact"/>
            </w:pPr>
            <w:r w:rsidRPr="003E7BBB">
              <w:t> </w:t>
            </w:r>
          </w:p>
        </w:tc>
        <w:tc>
          <w:tcPr>
            <w:tcW w:w="1530" w:type="dxa"/>
            <w:tcBorders>
              <w:top w:val="nil"/>
              <w:left w:val="single" w:sz="4" w:space="0" w:color="FFFFFF"/>
              <w:bottom w:val="single" w:sz="4" w:space="0" w:color="FFFFFF"/>
              <w:right w:val="single" w:sz="4" w:space="0" w:color="FFFFFF"/>
            </w:tcBorders>
            <w:shd w:val="clear" w:color="000000" w:fill="F2F2F2"/>
            <w:vAlign w:val="center"/>
            <w:hideMark/>
          </w:tcPr>
          <w:p w14:paraId="73071518" w14:textId="77777777" w:rsidR="00811BEC" w:rsidRPr="003E7BBB" w:rsidRDefault="00811BEC" w:rsidP="00811BEC">
            <w:pPr>
              <w:pStyle w:val="Tabletext"/>
              <w:spacing w:line="260" w:lineRule="exact"/>
              <w:jc w:val="center"/>
            </w:pPr>
            <w:r w:rsidRPr="003E7BBB">
              <w:t>369.1</w:t>
            </w:r>
          </w:p>
        </w:tc>
        <w:tc>
          <w:tcPr>
            <w:tcW w:w="695" w:type="dxa"/>
            <w:tcBorders>
              <w:top w:val="nil"/>
              <w:left w:val="single" w:sz="4" w:space="0" w:color="FFFFFF"/>
              <w:bottom w:val="single" w:sz="4" w:space="0" w:color="FFFFFF"/>
              <w:right w:val="nil"/>
            </w:tcBorders>
            <w:shd w:val="clear" w:color="000000" w:fill="F2F2F2"/>
            <w:vAlign w:val="center"/>
            <w:hideMark/>
          </w:tcPr>
          <w:p w14:paraId="71C12FBA" w14:textId="77777777" w:rsidR="00811BEC" w:rsidRPr="003E7BBB" w:rsidRDefault="00811BEC" w:rsidP="00811BEC">
            <w:pPr>
              <w:pStyle w:val="Tabletext"/>
              <w:spacing w:line="260" w:lineRule="exact"/>
              <w:jc w:val="center"/>
            </w:pPr>
            <w:r w:rsidRPr="003E7BBB">
              <w:t>164.3</w:t>
            </w:r>
          </w:p>
        </w:tc>
        <w:tc>
          <w:tcPr>
            <w:tcW w:w="695" w:type="dxa"/>
            <w:tcBorders>
              <w:top w:val="nil"/>
              <w:left w:val="nil"/>
              <w:bottom w:val="single" w:sz="4" w:space="0" w:color="FFFFFF"/>
              <w:right w:val="nil"/>
            </w:tcBorders>
            <w:shd w:val="clear" w:color="000000" w:fill="F2F2F2"/>
            <w:vAlign w:val="center"/>
            <w:hideMark/>
          </w:tcPr>
          <w:p w14:paraId="1B50F612" w14:textId="77777777" w:rsidR="00811BEC" w:rsidRPr="003E7BBB" w:rsidRDefault="00811BEC" w:rsidP="00811BEC">
            <w:pPr>
              <w:pStyle w:val="Tabletext"/>
              <w:spacing w:line="260" w:lineRule="exact"/>
              <w:jc w:val="center"/>
            </w:pPr>
            <w:r w:rsidRPr="003E7BBB">
              <w:t>154.2</w:t>
            </w:r>
          </w:p>
        </w:tc>
        <w:tc>
          <w:tcPr>
            <w:tcW w:w="695" w:type="dxa"/>
            <w:tcBorders>
              <w:top w:val="nil"/>
              <w:left w:val="nil"/>
              <w:bottom w:val="single" w:sz="4" w:space="0" w:color="FFFFFF"/>
              <w:right w:val="nil"/>
            </w:tcBorders>
            <w:shd w:val="clear" w:color="000000" w:fill="F2F2F2"/>
            <w:vAlign w:val="center"/>
            <w:hideMark/>
          </w:tcPr>
          <w:p w14:paraId="0BFCE1FD" w14:textId="77777777" w:rsidR="00811BEC" w:rsidRPr="003E7BBB" w:rsidRDefault="00811BEC" w:rsidP="00811BEC">
            <w:pPr>
              <w:pStyle w:val="Tabletext"/>
              <w:spacing w:line="260" w:lineRule="exact"/>
              <w:jc w:val="center"/>
            </w:pPr>
            <w:r w:rsidRPr="003E7BBB">
              <w:t>146.1</w:t>
            </w:r>
          </w:p>
        </w:tc>
        <w:tc>
          <w:tcPr>
            <w:tcW w:w="695" w:type="dxa"/>
            <w:tcBorders>
              <w:top w:val="nil"/>
              <w:left w:val="nil"/>
              <w:bottom w:val="single" w:sz="4" w:space="0" w:color="FFFFFF"/>
              <w:right w:val="nil"/>
            </w:tcBorders>
            <w:shd w:val="clear" w:color="000000" w:fill="F2F2F2"/>
            <w:vAlign w:val="center"/>
            <w:hideMark/>
          </w:tcPr>
          <w:p w14:paraId="7F766B64" w14:textId="77777777" w:rsidR="00811BEC" w:rsidRPr="003E7BBB" w:rsidRDefault="00811BEC" w:rsidP="00811BEC">
            <w:pPr>
              <w:pStyle w:val="Tabletext"/>
              <w:spacing w:line="260" w:lineRule="exact"/>
              <w:jc w:val="center"/>
            </w:pPr>
            <w:r w:rsidRPr="003E7BBB">
              <w:t>136.8</w:t>
            </w:r>
          </w:p>
        </w:tc>
      </w:tr>
      <w:tr w:rsidR="00811BEC" w:rsidRPr="003E7BBB" w14:paraId="30CBA8CF" w14:textId="77777777" w:rsidTr="00471D95">
        <w:trPr>
          <w:trHeight w:val="340"/>
          <w:jc w:val="center"/>
        </w:trPr>
        <w:tc>
          <w:tcPr>
            <w:tcW w:w="3350" w:type="dxa"/>
            <w:tcBorders>
              <w:top w:val="nil"/>
              <w:left w:val="nil"/>
              <w:bottom w:val="single" w:sz="4" w:space="0" w:color="FFFFFF"/>
              <w:right w:val="single" w:sz="4" w:space="0" w:color="FFFFFF"/>
            </w:tcBorders>
            <w:shd w:val="clear" w:color="000000" w:fill="D9D9D9"/>
            <w:vAlign w:val="center"/>
            <w:hideMark/>
          </w:tcPr>
          <w:p w14:paraId="71C980DB" w14:textId="77777777" w:rsidR="00811BEC" w:rsidRPr="003E7BBB" w:rsidRDefault="00811BEC" w:rsidP="00811BEC">
            <w:pPr>
              <w:pStyle w:val="Tabletext"/>
              <w:spacing w:line="260" w:lineRule="exact"/>
            </w:pPr>
            <w:r w:rsidRPr="003E7BBB">
              <w:t>36. Change in gross debt</w:t>
            </w:r>
          </w:p>
        </w:tc>
        <w:tc>
          <w:tcPr>
            <w:tcW w:w="1328" w:type="dxa"/>
            <w:tcBorders>
              <w:top w:val="nil"/>
              <w:left w:val="single" w:sz="4" w:space="0" w:color="FFFFFF"/>
              <w:bottom w:val="single" w:sz="4" w:space="0" w:color="FFFFFF"/>
              <w:right w:val="single" w:sz="4" w:space="0" w:color="FFFFFF"/>
            </w:tcBorders>
            <w:shd w:val="clear" w:color="000000" w:fill="D9D9D9"/>
            <w:vAlign w:val="center"/>
            <w:hideMark/>
          </w:tcPr>
          <w:p w14:paraId="5A615582" w14:textId="77777777" w:rsidR="00811BEC" w:rsidRPr="003E7BBB" w:rsidRDefault="00811BEC" w:rsidP="00811BEC">
            <w:pPr>
              <w:pStyle w:val="Tabletext"/>
              <w:spacing w:line="260" w:lineRule="exact"/>
            </w:pPr>
            <w:r w:rsidRPr="003E7BBB">
              <w:t> </w:t>
            </w:r>
          </w:p>
        </w:tc>
        <w:tc>
          <w:tcPr>
            <w:tcW w:w="1530" w:type="dxa"/>
            <w:tcBorders>
              <w:top w:val="nil"/>
              <w:left w:val="single" w:sz="4" w:space="0" w:color="FFFFFF"/>
              <w:bottom w:val="single" w:sz="4" w:space="0" w:color="FFFFFF"/>
              <w:right w:val="single" w:sz="4" w:space="0" w:color="FFFFFF"/>
            </w:tcBorders>
            <w:shd w:val="clear" w:color="000000" w:fill="D9D9D9"/>
            <w:vAlign w:val="center"/>
            <w:hideMark/>
          </w:tcPr>
          <w:p w14:paraId="631A311E" w14:textId="77777777" w:rsidR="00811BEC" w:rsidRPr="003E7BBB" w:rsidRDefault="00557D1C" w:rsidP="00811BEC">
            <w:pPr>
              <w:pStyle w:val="Tabletext"/>
              <w:spacing w:line="260" w:lineRule="exact"/>
              <w:jc w:val="center"/>
            </w:pPr>
            <w:r>
              <w:t>1.1</w:t>
            </w:r>
          </w:p>
        </w:tc>
        <w:tc>
          <w:tcPr>
            <w:tcW w:w="695" w:type="dxa"/>
            <w:tcBorders>
              <w:top w:val="nil"/>
              <w:left w:val="single" w:sz="4" w:space="0" w:color="FFFFFF"/>
              <w:bottom w:val="single" w:sz="4" w:space="0" w:color="FFFFFF"/>
              <w:right w:val="nil"/>
            </w:tcBorders>
            <w:shd w:val="clear" w:color="000000" w:fill="D9D9D9"/>
            <w:vAlign w:val="center"/>
            <w:hideMark/>
          </w:tcPr>
          <w:p w14:paraId="7EDB4461" w14:textId="77777777" w:rsidR="00811BEC" w:rsidRPr="003E7BBB" w:rsidRDefault="00811BEC" w:rsidP="00811BEC">
            <w:pPr>
              <w:pStyle w:val="Tabletext"/>
              <w:spacing w:line="260" w:lineRule="exact"/>
              <w:jc w:val="center"/>
            </w:pPr>
            <w:r w:rsidRPr="003E7BBB">
              <w:t>-13.5</w:t>
            </w:r>
          </w:p>
        </w:tc>
        <w:tc>
          <w:tcPr>
            <w:tcW w:w="695" w:type="dxa"/>
            <w:tcBorders>
              <w:top w:val="nil"/>
              <w:left w:val="nil"/>
              <w:bottom w:val="single" w:sz="4" w:space="0" w:color="FFFFFF"/>
              <w:right w:val="nil"/>
            </w:tcBorders>
            <w:shd w:val="clear" w:color="000000" w:fill="D9D9D9"/>
            <w:vAlign w:val="center"/>
            <w:hideMark/>
          </w:tcPr>
          <w:p w14:paraId="3CDB4070" w14:textId="77777777" w:rsidR="00811BEC" w:rsidRPr="003E7BBB" w:rsidRDefault="00811BEC" w:rsidP="00811BEC">
            <w:pPr>
              <w:pStyle w:val="Tabletext"/>
              <w:spacing w:line="260" w:lineRule="exact"/>
              <w:jc w:val="center"/>
            </w:pPr>
            <w:r w:rsidRPr="003E7BBB">
              <w:t>-10.1</w:t>
            </w:r>
          </w:p>
        </w:tc>
        <w:tc>
          <w:tcPr>
            <w:tcW w:w="695" w:type="dxa"/>
            <w:tcBorders>
              <w:top w:val="nil"/>
              <w:left w:val="nil"/>
              <w:bottom w:val="single" w:sz="4" w:space="0" w:color="FFFFFF"/>
              <w:right w:val="nil"/>
            </w:tcBorders>
            <w:shd w:val="clear" w:color="000000" w:fill="D9D9D9"/>
            <w:vAlign w:val="center"/>
            <w:hideMark/>
          </w:tcPr>
          <w:p w14:paraId="4243E4A0" w14:textId="77777777" w:rsidR="00811BEC" w:rsidRPr="003E7BBB" w:rsidRDefault="00811BEC" w:rsidP="00811BEC">
            <w:pPr>
              <w:pStyle w:val="Tabletext"/>
              <w:spacing w:line="260" w:lineRule="exact"/>
              <w:jc w:val="center"/>
            </w:pPr>
            <w:r w:rsidRPr="003E7BBB">
              <w:t>-8.0</w:t>
            </w:r>
          </w:p>
        </w:tc>
        <w:tc>
          <w:tcPr>
            <w:tcW w:w="695" w:type="dxa"/>
            <w:tcBorders>
              <w:top w:val="nil"/>
              <w:left w:val="nil"/>
              <w:bottom w:val="single" w:sz="4" w:space="0" w:color="FFFFFF"/>
              <w:right w:val="nil"/>
            </w:tcBorders>
            <w:shd w:val="clear" w:color="000000" w:fill="D9D9D9"/>
            <w:vAlign w:val="center"/>
            <w:hideMark/>
          </w:tcPr>
          <w:p w14:paraId="41A6A318" w14:textId="77777777" w:rsidR="00811BEC" w:rsidRPr="003E7BBB" w:rsidRDefault="00811BEC" w:rsidP="00811BEC">
            <w:pPr>
              <w:pStyle w:val="Tabletext"/>
              <w:spacing w:line="260" w:lineRule="exact"/>
              <w:jc w:val="center"/>
            </w:pPr>
            <w:r w:rsidRPr="003E7BBB">
              <w:t>-9.3</w:t>
            </w:r>
          </w:p>
        </w:tc>
      </w:tr>
      <w:tr w:rsidR="00811BEC" w:rsidRPr="00605642" w14:paraId="5288C41E" w14:textId="77777777" w:rsidTr="00471D95">
        <w:trPr>
          <w:trHeight w:val="340"/>
          <w:jc w:val="center"/>
        </w:trPr>
        <w:tc>
          <w:tcPr>
            <w:tcW w:w="3350" w:type="dxa"/>
            <w:tcBorders>
              <w:top w:val="nil"/>
              <w:left w:val="nil"/>
              <w:bottom w:val="single" w:sz="4" w:space="0" w:color="FFFFFF"/>
              <w:right w:val="single" w:sz="4" w:space="0" w:color="FFFFFF"/>
            </w:tcBorders>
            <w:shd w:val="clear" w:color="000000" w:fill="F2F2F2"/>
            <w:vAlign w:val="center"/>
            <w:hideMark/>
          </w:tcPr>
          <w:p w14:paraId="1017E5EB" w14:textId="77777777" w:rsidR="00811BEC" w:rsidRPr="003E7BBB" w:rsidRDefault="00811BEC" w:rsidP="00811BEC">
            <w:pPr>
              <w:pStyle w:val="Tabletext"/>
              <w:spacing w:line="260" w:lineRule="exact"/>
            </w:pPr>
            <w:r w:rsidRPr="003E7BBB">
              <w:t>37. Contributions to changes in gross debt</w:t>
            </w:r>
          </w:p>
        </w:tc>
        <w:tc>
          <w:tcPr>
            <w:tcW w:w="1328" w:type="dxa"/>
            <w:tcBorders>
              <w:top w:val="nil"/>
              <w:left w:val="single" w:sz="4" w:space="0" w:color="FFFFFF"/>
              <w:bottom w:val="single" w:sz="4" w:space="0" w:color="FFFFFF"/>
              <w:right w:val="single" w:sz="4" w:space="0" w:color="FFFFFF"/>
            </w:tcBorders>
            <w:shd w:val="clear" w:color="000000" w:fill="F2F2F2"/>
            <w:vAlign w:val="center"/>
            <w:hideMark/>
          </w:tcPr>
          <w:p w14:paraId="7FDC1E3E" w14:textId="77777777" w:rsidR="00811BEC" w:rsidRPr="003E7BBB" w:rsidRDefault="00811BEC" w:rsidP="00811BEC">
            <w:pPr>
              <w:pStyle w:val="Tabletext"/>
              <w:spacing w:line="260" w:lineRule="exact"/>
            </w:pPr>
            <w:r w:rsidRPr="003E7BBB">
              <w:t> </w:t>
            </w:r>
          </w:p>
        </w:tc>
        <w:tc>
          <w:tcPr>
            <w:tcW w:w="1530" w:type="dxa"/>
            <w:tcBorders>
              <w:top w:val="nil"/>
              <w:left w:val="single" w:sz="4" w:space="0" w:color="FFFFFF"/>
              <w:bottom w:val="single" w:sz="4" w:space="0" w:color="FFFFFF"/>
              <w:right w:val="single" w:sz="4" w:space="0" w:color="FFFFFF"/>
            </w:tcBorders>
            <w:shd w:val="clear" w:color="000000" w:fill="F2F2F2"/>
            <w:vAlign w:val="center"/>
            <w:hideMark/>
          </w:tcPr>
          <w:p w14:paraId="3A81215E" w14:textId="77777777" w:rsidR="00811BEC" w:rsidRPr="003E7BBB" w:rsidRDefault="00811BEC" w:rsidP="00811BEC">
            <w:pPr>
              <w:pStyle w:val="Tabletext"/>
              <w:spacing w:line="260" w:lineRule="exact"/>
              <w:jc w:val="center"/>
            </w:pPr>
          </w:p>
        </w:tc>
        <w:tc>
          <w:tcPr>
            <w:tcW w:w="695" w:type="dxa"/>
            <w:tcBorders>
              <w:top w:val="nil"/>
              <w:left w:val="single" w:sz="4" w:space="0" w:color="FFFFFF"/>
              <w:bottom w:val="single" w:sz="4" w:space="0" w:color="FFFFFF"/>
              <w:right w:val="nil"/>
            </w:tcBorders>
            <w:shd w:val="clear" w:color="000000" w:fill="F2F2F2"/>
            <w:vAlign w:val="center"/>
            <w:hideMark/>
          </w:tcPr>
          <w:p w14:paraId="06E9DBE8" w14:textId="77777777" w:rsidR="00811BEC" w:rsidRPr="003E7BBB" w:rsidRDefault="00811BEC" w:rsidP="00811BEC">
            <w:pPr>
              <w:pStyle w:val="Tabletext"/>
              <w:spacing w:line="260" w:lineRule="exact"/>
              <w:jc w:val="center"/>
            </w:pPr>
          </w:p>
        </w:tc>
        <w:tc>
          <w:tcPr>
            <w:tcW w:w="695" w:type="dxa"/>
            <w:tcBorders>
              <w:top w:val="nil"/>
              <w:left w:val="nil"/>
              <w:bottom w:val="single" w:sz="4" w:space="0" w:color="FFFFFF"/>
              <w:right w:val="nil"/>
            </w:tcBorders>
            <w:shd w:val="clear" w:color="000000" w:fill="F2F2F2"/>
            <w:vAlign w:val="center"/>
            <w:hideMark/>
          </w:tcPr>
          <w:p w14:paraId="54A61511" w14:textId="77777777" w:rsidR="00811BEC" w:rsidRPr="003E7BBB" w:rsidRDefault="00811BEC" w:rsidP="00811BEC">
            <w:pPr>
              <w:pStyle w:val="Tabletext"/>
              <w:spacing w:line="260" w:lineRule="exact"/>
              <w:jc w:val="center"/>
            </w:pPr>
          </w:p>
        </w:tc>
        <w:tc>
          <w:tcPr>
            <w:tcW w:w="695" w:type="dxa"/>
            <w:tcBorders>
              <w:top w:val="nil"/>
              <w:left w:val="nil"/>
              <w:bottom w:val="single" w:sz="4" w:space="0" w:color="FFFFFF"/>
              <w:right w:val="nil"/>
            </w:tcBorders>
            <w:shd w:val="clear" w:color="000000" w:fill="F2F2F2"/>
            <w:vAlign w:val="center"/>
            <w:hideMark/>
          </w:tcPr>
          <w:p w14:paraId="02831974" w14:textId="77777777" w:rsidR="00811BEC" w:rsidRPr="003E7BBB" w:rsidRDefault="00811BEC" w:rsidP="00811BEC">
            <w:pPr>
              <w:pStyle w:val="Tabletext"/>
              <w:spacing w:line="260" w:lineRule="exact"/>
              <w:jc w:val="center"/>
            </w:pPr>
          </w:p>
        </w:tc>
        <w:tc>
          <w:tcPr>
            <w:tcW w:w="695" w:type="dxa"/>
            <w:tcBorders>
              <w:top w:val="nil"/>
              <w:left w:val="nil"/>
              <w:bottom w:val="single" w:sz="4" w:space="0" w:color="FFFFFF"/>
              <w:right w:val="nil"/>
            </w:tcBorders>
            <w:shd w:val="clear" w:color="000000" w:fill="F2F2F2"/>
            <w:vAlign w:val="center"/>
            <w:hideMark/>
          </w:tcPr>
          <w:p w14:paraId="7A74164F" w14:textId="77777777" w:rsidR="00811BEC" w:rsidRPr="003E7BBB" w:rsidRDefault="00811BEC" w:rsidP="00811BEC">
            <w:pPr>
              <w:pStyle w:val="Tabletext"/>
              <w:spacing w:line="260" w:lineRule="exact"/>
              <w:jc w:val="center"/>
            </w:pPr>
          </w:p>
        </w:tc>
      </w:tr>
      <w:tr w:rsidR="00811BEC" w:rsidRPr="003E7BBB" w14:paraId="37FEDAD1" w14:textId="77777777" w:rsidTr="00471D95">
        <w:trPr>
          <w:trHeight w:val="340"/>
          <w:jc w:val="center"/>
        </w:trPr>
        <w:tc>
          <w:tcPr>
            <w:tcW w:w="3350" w:type="dxa"/>
            <w:tcBorders>
              <w:top w:val="nil"/>
              <w:left w:val="nil"/>
              <w:bottom w:val="single" w:sz="4" w:space="0" w:color="FFFFFF"/>
              <w:right w:val="single" w:sz="4" w:space="0" w:color="FFFFFF"/>
            </w:tcBorders>
            <w:shd w:val="clear" w:color="000000" w:fill="D9D9D9"/>
            <w:vAlign w:val="center"/>
            <w:hideMark/>
          </w:tcPr>
          <w:p w14:paraId="63D8A78F" w14:textId="77777777" w:rsidR="00811BEC" w:rsidRPr="003E7BBB" w:rsidRDefault="00811BEC" w:rsidP="00811BEC">
            <w:pPr>
              <w:pStyle w:val="Tabletext"/>
              <w:spacing w:line="260" w:lineRule="exact"/>
            </w:pPr>
            <w:r w:rsidRPr="003E7BBB">
              <w:t>38.    Primary balance (= minus 32)</w:t>
            </w:r>
          </w:p>
        </w:tc>
        <w:tc>
          <w:tcPr>
            <w:tcW w:w="1328" w:type="dxa"/>
            <w:tcBorders>
              <w:top w:val="nil"/>
              <w:left w:val="single" w:sz="4" w:space="0" w:color="FFFFFF"/>
              <w:bottom w:val="single" w:sz="4" w:space="0" w:color="FFFFFF"/>
              <w:right w:val="single" w:sz="4" w:space="0" w:color="FFFFFF"/>
            </w:tcBorders>
            <w:shd w:val="clear" w:color="000000" w:fill="D9D9D9"/>
            <w:vAlign w:val="center"/>
            <w:hideMark/>
          </w:tcPr>
          <w:p w14:paraId="09A11209" w14:textId="77777777" w:rsidR="00811BEC" w:rsidRPr="003E7BBB" w:rsidRDefault="00811BEC" w:rsidP="00811BEC">
            <w:pPr>
              <w:pStyle w:val="Tabletext"/>
              <w:spacing w:line="260" w:lineRule="exact"/>
            </w:pPr>
            <w:r w:rsidRPr="003E7BBB">
              <w:t> </w:t>
            </w:r>
          </w:p>
        </w:tc>
        <w:tc>
          <w:tcPr>
            <w:tcW w:w="1530" w:type="dxa"/>
            <w:tcBorders>
              <w:top w:val="nil"/>
              <w:left w:val="single" w:sz="4" w:space="0" w:color="FFFFFF"/>
              <w:bottom w:val="single" w:sz="4" w:space="0" w:color="FFFFFF"/>
              <w:right w:val="single" w:sz="4" w:space="0" w:color="FFFFFF"/>
            </w:tcBorders>
            <w:shd w:val="clear" w:color="000000" w:fill="D9D9D9"/>
            <w:vAlign w:val="center"/>
            <w:hideMark/>
          </w:tcPr>
          <w:p w14:paraId="033DAB21" w14:textId="77777777" w:rsidR="00811BEC" w:rsidRPr="003E7BBB" w:rsidRDefault="00811BEC" w:rsidP="00811BEC">
            <w:pPr>
              <w:pStyle w:val="Tabletext"/>
              <w:spacing w:line="260" w:lineRule="exact"/>
              <w:jc w:val="center"/>
            </w:pPr>
          </w:p>
        </w:tc>
        <w:tc>
          <w:tcPr>
            <w:tcW w:w="695" w:type="dxa"/>
            <w:tcBorders>
              <w:top w:val="nil"/>
              <w:left w:val="single" w:sz="4" w:space="0" w:color="FFFFFF"/>
              <w:bottom w:val="single" w:sz="4" w:space="0" w:color="FFFFFF"/>
              <w:right w:val="nil"/>
            </w:tcBorders>
            <w:shd w:val="clear" w:color="000000" w:fill="D9D9D9"/>
            <w:vAlign w:val="center"/>
            <w:hideMark/>
          </w:tcPr>
          <w:p w14:paraId="6FDACBE1" w14:textId="77777777" w:rsidR="00811BEC" w:rsidRPr="003E7BBB" w:rsidRDefault="00811BEC" w:rsidP="00811BEC">
            <w:pPr>
              <w:pStyle w:val="Tabletext"/>
              <w:spacing w:line="260" w:lineRule="exact"/>
              <w:jc w:val="center"/>
            </w:pPr>
            <w:r w:rsidRPr="003E7BBB">
              <w:t>-2.0</w:t>
            </w:r>
          </w:p>
        </w:tc>
        <w:tc>
          <w:tcPr>
            <w:tcW w:w="695" w:type="dxa"/>
            <w:tcBorders>
              <w:top w:val="nil"/>
              <w:left w:val="nil"/>
              <w:bottom w:val="single" w:sz="4" w:space="0" w:color="FFFFFF"/>
              <w:right w:val="nil"/>
            </w:tcBorders>
            <w:shd w:val="clear" w:color="000000" w:fill="D9D9D9"/>
            <w:vAlign w:val="center"/>
            <w:hideMark/>
          </w:tcPr>
          <w:p w14:paraId="37CC6E1A" w14:textId="77777777" w:rsidR="00811BEC" w:rsidRPr="003E7BBB" w:rsidRDefault="00811BEC" w:rsidP="00811BEC">
            <w:pPr>
              <w:pStyle w:val="Tabletext"/>
              <w:spacing w:line="260" w:lineRule="exact"/>
              <w:jc w:val="center"/>
            </w:pPr>
            <w:r w:rsidRPr="003E7BBB">
              <w:t>-4.8</w:t>
            </w:r>
          </w:p>
        </w:tc>
        <w:tc>
          <w:tcPr>
            <w:tcW w:w="695" w:type="dxa"/>
            <w:tcBorders>
              <w:top w:val="nil"/>
              <w:left w:val="nil"/>
              <w:bottom w:val="single" w:sz="4" w:space="0" w:color="FFFFFF"/>
              <w:right w:val="nil"/>
            </w:tcBorders>
            <w:shd w:val="clear" w:color="000000" w:fill="D9D9D9"/>
            <w:vAlign w:val="center"/>
            <w:hideMark/>
          </w:tcPr>
          <w:p w14:paraId="38A8B37D" w14:textId="77777777" w:rsidR="00811BEC" w:rsidRPr="003E7BBB" w:rsidRDefault="00811BEC" w:rsidP="00811BEC">
            <w:pPr>
              <w:pStyle w:val="Tabletext"/>
              <w:spacing w:line="260" w:lineRule="exact"/>
              <w:jc w:val="center"/>
            </w:pPr>
            <w:r w:rsidRPr="003E7BBB">
              <w:t>-4.9</w:t>
            </w:r>
          </w:p>
        </w:tc>
        <w:tc>
          <w:tcPr>
            <w:tcW w:w="695" w:type="dxa"/>
            <w:tcBorders>
              <w:top w:val="nil"/>
              <w:left w:val="nil"/>
              <w:bottom w:val="single" w:sz="4" w:space="0" w:color="FFFFFF"/>
              <w:right w:val="nil"/>
            </w:tcBorders>
            <w:shd w:val="clear" w:color="000000" w:fill="D9D9D9"/>
            <w:vAlign w:val="center"/>
            <w:hideMark/>
          </w:tcPr>
          <w:p w14:paraId="3AFA864C" w14:textId="77777777" w:rsidR="00811BEC" w:rsidRPr="003E7BBB" w:rsidRDefault="00811BEC" w:rsidP="00811BEC">
            <w:pPr>
              <w:pStyle w:val="Tabletext"/>
              <w:spacing w:line="260" w:lineRule="exact"/>
              <w:jc w:val="center"/>
            </w:pPr>
            <w:r w:rsidRPr="003E7BBB">
              <w:t>-3.2</w:t>
            </w:r>
          </w:p>
        </w:tc>
      </w:tr>
      <w:tr w:rsidR="00811BEC" w:rsidRPr="003E7BBB" w14:paraId="637198C7" w14:textId="77777777" w:rsidTr="00471D95">
        <w:trPr>
          <w:trHeight w:val="340"/>
          <w:jc w:val="center"/>
        </w:trPr>
        <w:tc>
          <w:tcPr>
            <w:tcW w:w="3350" w:type="dxa"/>
            <w:tcBorders>
              <w:top w:val="nil"/>
              <w:left w:val="nil"/>
              <w:bottom w:val="single" w:sz="4" w:space="0" w:color="FFFFFF"/>
              <w:right w:val="single" w:sz="4" w:space="0" w:color="FFFFFF"/>
            </w:tcBorders>
            <w:shd w:val="clear" w:color="000000" w:fill="F2F2F2"/>
            <w:vAlign w:val="center"/>
            <w:hideMark/>
          </w:tcPr>
          <w:p w14:paraId="471D4929" w14:textId="77777777" w:rsidR="00811BEC" w:rsidRPr="003E7BBB" w:rsidRDefault="00811BEC" w:rsidP="00811BEC">
            <w:pPr>
              <w:pStyle w:val="Tabletext"/>
              <w:spacing w:line="260" w:lineRule="exact"/>
            </w:pPr>
            <w:r w:rsidRPr="003E7BBB">
              <w:t>39.    Snowball effect</w:t>
            </w:r>
          </w:p>
        </w:tc>
        <w:tc>
          <w:tcPr>
            <w:tcW w:w="1328" w:type="dxa"/>
            <w:tcBorders>
              <w:top w:val="nil"/>
              <w:left w:val="single" w:sz="4" w:space="0" w:color="FFFFFF"/>
              <w:bottom w:val="single" w:sz="4" w:space="0" w:color="FFFFFF"/>
              <w:right w:val="single" w:sz="4" w:space="0" w:color="FFFFFF"/>
            </w:tcBorders>
            <w:shd w:val="clear" w:color="000000" w:fill="F2F2F2"/>
            <w:vAlign w:val="center"/>
            <w:hideMark/>
          </w:tcPr>
          <w:p w14:paraId="498C7D70" w14:textId="77777777" w:rsidR="00811BEC" w:rsidRPr="003E7BBB" w:rsidRDefault="00811BEC" w:rsidP="00811BEC">
            <w:pPr>
              <w:pStyle w:val="Tabletext"/>
              <w:spacing w:line="260" w:lineRule="exact"/>
            </w:pPr>
            <w:r w:rsidRPr="003E7BBB">
              <w:t> </w:t>
            </w:r>
          </w:p>
        </w:tc>
        <w:tc>
          <w:tcPr>
            <w:tcW w:w="1530" w:type="dxa"/>
            <w:tcBorders>
              <w:top w:val="nil"/>
              <w:left w:val="single" w:sz="4" w:space="0" w:color="FFFFFF"/>
              <w:bottom w:val="single" w:sz="4" w:space="0" w:color="FFFFFF"/>
              <w:right w:val="single" w:sz="4" w:space="0" w:color="FFFFFF"/>
            </w:tcBorders>
            <w:shd w:val="clear" w:color="000000" w:fill="F2F2F2"/>
            <w:vAlign w:val="center"/>
            <w:hideMark/>
          </w:tcPr>
          <w:p w14:paraId="2DB51FD5" w14:textId="77777777" w:rsidR="00811BEC" w:rsidRPr="003E7BBB" w:rsidRDefault="00811BEC" w:rsidP="00811BEC">
            <w:pPr>
              <w:pStyle w:val="Tabletext"/>
              <w:spacing w:line="260" w:lineRule="exact"/>
              <w:jc w:val="center"/>
            </w:pPr>
          </w:p>
        </w:tc>
        <w:tc>
          <w:tcPr>
            <w:tcW w:w="695" w:type="dxa"/>
            <w:tcBorders>
              <w:top w:val="nil"/>
              <w:left w:val="single" w:sz="4" w:space="0" w:color="FFFFFF"/>
              <w:bottom w:val="single" w:sz="4" w:space="0" w:color="FFFFFF"/>
              <w:right w:val="nil"/>
            </w:tcBorders>
            <w:shd w:val="clear" w:color="000000" w:fill="F2F2F2"/>
            <w:vAlign w:val="center"/>
            <w:hideMark/>
          </w:tcPr>
          <w:p w14:paraId="189308AC" w14:textId="77777777" w:rsidR="00811BEC" w:rsidRPr="003E7BBB" w:rsidRDefault="00811BEC" w:rsidP="00811BEC">
            <w:pPr>
              <w:pStyle w:val="Tabletext"/>
              <w:spacing w:line="260" w:lineRule="exact"/>
              <w:jc w:val="center"/>
            </w:pPr>
            <w:r w:rsidRPr="003E7BBB">
              <w:t>-10.6</w:t>
            </w:r>
          </w:p>
        </w:tc>
        <w:tc>
          <w:tcPr>
            <w:tcW w:w="695" w:type="dxa"/>
            <w:tcBorders>
              <w:top w:val="nil"/>
              <w:left w:val="nil"/>
              <w:bottom w:val="single" w:sz="4" w:space="0" w:color="FFFFFF"/>
              <w:right w:val="nil"/>
            </w:tcBorders>
            <w:shd w:val="clear" w:color="000000" w:fill="F2F2F2"/>
            <w:vAlign w:val="center"/>
            <w:hideMark/>
          </w:tcPr>
          <w:p w14:paraId="5BC05D3D" w14:textId="77777777" w:rsidR="00811BEC" w:rsidRPr="003E7BBB" w:rsidRDefault="00811BEC" w:rsidP="00811BEC">
            <w:pPr>
              <w:pStyle w:val="Tabletext"/>
              <w:spacing w:line="260" w:lineRule="exact"/>
              <w:jc w:val="center"/>
            </w:pPr>
            <w:r w:rsidRPr="003E7BBB">
              <w:t>-4.9</w:t>
            </w:r>
          </w:p>
        </w:tc>
        <w:tc>
          <w:tcPr>
            <w:tcW w:w="695" w:type="dxa"/>
            <w:tcBorders>
              <w:top w:val="nil"/>
              <w:left w:val="nil"/>
              <w:bottom w:val="single" w:sz="4" w:space="0" w:color="FFFFFF"/>
              <w:right w:val="nil"/>
            </w:tcBorders>
            <w:shd w:val="clear" w:color="000000" w:fill="F2F2F2"/>
            <w:vAlign w:val="center"/>
            <w:hideMark/>
          </w:tcPr>
          <w:p w14:paraId="7DC5D42F" w14:textId="77777777" w:rsidR="00811BEC" w:rsidRPr="003E7BBB" w:rsidRDefault="00811BEC" w:rsidP="00811BEC">
            <w:pPr>
              <w:pStyle w:val="Tabletext"/>
              <w:spacing w:line="260" w:lineRule="exact"/>
              <w:jc w:val="center"/>
            </w:pPr>
            <w:r w:rsidRPr="003E7BBB">
              <w:t>-4.1</w:t>
            </w:r>
          </w:p>
        </w:tc>
        <w:tc>
          <w:tcPr>
            <w:tcW w:w="695" w:type="dxa"/>
            <w:tcBorders>
              <w:top w:val="nil"/>
              <w:left w:val="nil"/>
              <w:bottom w:val="single" w:sz="4" w:space="0" w:color="FFFFFF"/>
              <w:right w:val="nil"/>
            </w:tcBorders>
            <w:shd w:val="clear" w:color="000000" w:fill="F2F2F2"/>
            <w:vAlign w:val="center"/>
            <w:hideMark/>
          </w:tcPr>
          <w:p w14:paraId="296A05EA" w14:textId="77777777" w:rsidR="00811BEC" w:rsidRPr="003E7BBB" w:rsidRDefault="00811BEC" w:rsidP="00811BEC">
            <w:pPr>
              <w:pStyle w:val="Tabletext"/>
              <w:spacing w:line="260" w:lineRule="exact"/>
              <w:jc w:val="center"/>
            </w:pPr>
            <w:r w:rsidRPr="003E7BBB">
              <w:t>-4.2</w:t>
            </w:r>
          </w:p>
        </w:tc>
      </w:tr>
      <w:tr w:rsidR="00811BEC" w:rsidRPr="003E7BBB" w14:paraId="7AADE683" w14:textId="77777777" w:rsidTr="00471D95">
        <w:trPr>
          <w:trHeight w:val="340"/>
          <w:jc w:val="center"/>
        </w:trPr>
        <w:tc>
          <w:tcPr>
            <w:tcW w:w="3350" w:type="dxa"/>
            <w:tcBorders>
              <w:top w:val="nil"/>
              <w:left w:val="nil"/>
              <w:bottom w:val="single" w:sz="4" w:space="0" w:color="FFFFFF"/>
              <w:right w:val="single" w:sz="4" w:space="0" w:color="FFFFFF"/>
            </w:tcBorders>
            <w:shd w:val="clear" w:color="000000" w:fill="D9D9D9"/>
            <w:vAlign w:val="center"/>
            <w:hideMark/>
          </w:tcPr>
          <w:p w14:paraId="17FF0208" w14:textId="77777777" w:rsidR="00811BEC" w:rsidRPr="003E7BBB" w:rsidRDefault="00811BEC" w:rsidP="00811BEC">
            <w:pPr>
              <w:pStyle w:val="Tabletext"/>
              <w:spacing w:line="260" w:lineRule="exact"/>
            </w:pPr>
            <w:r w:rsidRPr="003E7BBB">
              <w:t>40.       Interest expenditure (= 14)</w:t>
            </w:r>
          </w:p>
        </w:tc>
        <w:tc>
          <w:tcPr>
            <w:tcW w:w="1328" w:type="dxa"/>
            <w:tcBorders>
              <w:top w:val="nil"/>
              <w:left w:val="single" w:sz="4" w:space="0" w:color="FFFFFF"/>
              <w:bottom w:val="single" w:sz="4" w:space="0" w:color="FFFFFF"/>
              <w:right w:val="single" w:sz="4" w:space="0" w:color="FFFFFF"/>
            </w:tcBorders>
            <w:shd w:val="clear" w:color="000000" w:fill="D9D9D9"/>
            <w:vAlign w:val="center"/>
            <w:hideMark/>
          </w:tcPr>
          <w:p w14:paraId="2CFDAA6D" w14:textId="77777777" w:rsidR="00811BEC" w:rsidRPr="003E7BBB" w:rsidRDefault="00811BEC" w:rsidP="00811BEC">
            <w:pPr>
              <w:pStyle w:val="Tabletext"/>
              <w:spacing w:line="260" w:lineRule="exact"/>
            </w:pPr>
            <w:r w:rsidRPr="003E7BBB">
              <w:t> </w:t>
            </w:r>
          </w:p>
        </w:tc>
        <w:tc>
          <w:tcPr>
            <w:tcW w:w="1530" w:type="dxa"/>
            <w:tcBorders>
              <w:top w:val="nil"/>
              <w:left w:val="single" w:sz="4" w:space="0" w:color="FFFFFF"/>
              <w:bottom w:val="single" w:sz="4" w:space="0" w:color="FFFFFF"/>
              <w:right w:val="single" w:sz="4" w:space="0" w:color="FFFFFF"/>
            </w:tcBorders>
            <w:shd w:val="clear" w:color="000000" w:fill="D9D9D9"/>
            <w:vAlign w:val="center"/>
            <w:hideMark/>
          </w:tcPr>
          <w:p w14:paraId="1A7FCFF2" w14:textId="77777777" w:rsidR="00811BEC" w:rsidRPr="003E7BBB" w:rsidRDefault="00811BEC" w:rsidP="00811BEC">
            <w:pPr>
              <w:pStyle w:val="Tabletext"/>
              <w:spacing w:line="260" w:lineRule="exact"/>
              <w:jc w:val="center"/>
            </w:pPr>
          </w:p>
        </w:tc>
        <w:tc>
          <w:tcPr>
            <w:tcW w:w="695" w:type="dxa"/>
            <w:tcBorders>
              <w:top w:val="nil"/>
              <w:left w:val="single" w:sz="4" w:space="0" w:color="FFFFFF"/>
              <w:bottom w:val="single" w:sz="4" w:space="0" w:color="FFFFFF"/>
              <w:right w:val="nil"/>
            </w:tcBorders>
            <w:shd w:val="clear" w:color="000000" w:fill="D9D9D9"/>
            <w:vAlign w:val="center"/>
            <w:hideMark/>
          </w:tcPr>
          <w:p w14:paraId="3459412B" w14:textId="77777777" w:rsidR="00811BEC" w:rsidRPr="003E7BBB" w:rsidRDefault="00811BEC" w:rsidP="00811BEC">
            <w:pPr>
              <w:pStyle w:val="Tabletext"/>
              <w:spacing w:line="260" w:lineRule="exact"/>
              <w:jc w:val="center"/>
            </w:pPr>
            <w:r w:rsidRPr="003E7BBB">
              <w:t>3.4</w:t>
            </w:r>
          </w:p>
        </w:tc>
        <w:tc>
          <w:tcPr>
            <w:tcW w:w="695" w:type="dxa"/>
            <w:tcBorders>
              <w:top w:val="nil"/>
              <w:left w:val="nil"/>
              <w:bottom w:val="single" w:sz="4" w:space="0" w:color="FFFFFF"/>
              <w:right w:val="nil"/>
            </w:tcBorders>
            <w:shd w:val="clear" w:color="000000" w:fill="D9D9D9"/>
            <w:vAlign w:val="center"/>
            <w:hideMark/>
          </w:tcPr>
          <w:p w14:paraId="5F25E8AF" w14:textId="77777777" w:rsidR="00811BEC" w:rsidRPr="003E7BBB" w:rsidRDefault="00811BEC" w:rsidP="00811BEC">
            <w:pPr>
              <w:pStyle w:val="Tabletext"/>
              <w:spacing w:line="260" w:lineRule="exact"/>
              <w:jc w:val="center"/>
            </w:pPr>
            <w:r w:rsidRPr="003E7BBB">
              <w:t>3.5</w:t>
            </w:r>
          </w:p>
        </w:tc>
        <w:tc>
          <w:tcPr>
            <w:tcW w:w="695" w:type="dxa"/>
            <w:tcBorders>
              <w:top w:val="nil"/>
              <w:left w:val="nil"/>
              <w:bottom w:val="single" w:sz="4" w:space="0" w:color="FFFFFF"/>
              <w:right w:val="nil"/>
            </w:tcBorders>
            <w:shd w:val="clear" w:color="000000" w:fill="D9D9D9"/>
            <w:vAlign w:val="center"/>
            <w:hideMark/>
          </w:tcPr>
          <w:p w14:paraId="4C5C6827" w14:textId="77777777" w:rsidR="00811BEC" w:rsidRPr="003E7BBB" w:rsidRDefault="00811BEC" w:rsidP="00811BEC">
            <w:pPr>
              <w:pStyle w:val="Tabletext"/>
              <w:spacing w:line="260" w:lineRule="exact"/>
              <w:jc w:val="center"/>
            </w:pPr>
            <w:r w:rsidRPr="003E7BBB">
              <w:t>3.2</w:t>
            </w:r>
          </w:p>
        </w:tc>
        <w:tc>
          <w:tcPr>
            <w:tcW w:w="695" w:type="dxa"/>
            <w:tcBorders>
              <w:top w:val="nil"/>
              <w:left w:val="nil"/>
              <w:bottom w:val="single" w:sz="4" w:space="0" w:color="FFFFFF"/>
              <w:right w:val="nil"/>
            </w:tcBorders>
            <w:shd w:val="clear" w:color="000000" w:fill="D9D9D9"/>
            <w:vAlign w:val="center"/>
            <w:hideMark/>
          </w:tcPr>
          <w:p w14:paraId="10146D33" w14:textId="77777777" w:rsidR="00811BEC" w:rsidRPr="003E7BBB" w:rsidRDefault="00811BEC" w:rsidP="00811BEC">
            <w:pPr>
              <w:pStyle w:val="Tabletext"/>
              <w:spacing w:line="260" w:lineRule="exact"/>
              <w:jc w:val="center"/>
            </w:pPr>
            <w:r w:rsidRPr="003E7BBB">
              <w:t>3.0</w:t>
            </w:r>
          </w:p>
        </w:tc>
      </w:tr>
      <w:tr w:rsidR="00811BEC" w:rsidRPr="003E7BBB" w14:paraId="6B544201" w14:textId="77777777" w:rsidTr="00471D95">
        <w:trPr>
          <w:trHeight w:val="340"/>
          <w:jc w:val="center"/>
        </w:trPr>
        <w:tc>
          <w:tcPr>
            <w:tcW w:w="3350" w:type="dxa"/>
            <w:tcBorders>
              <w:top w:val="nil"/>
              <w:left w:val="nil"/>
              <w:bottom w:val="single" w:sz="4" w:space="0" w:color="FFFFFF"/>
              <w:right w:val="single" w:sz="4" w:space="0" w:color="FFFFFF"/>
            </w:tcBorders>
            <w:shd w:val="clear" w:color="000000" w:fill="F2F2F2"/>
            <w:vAlign w:val="center"/>
            <w:hideMark/>
          </w:tcPr>
          <w:p w14:paraId="7C711723" w14:textId="77777777" w:rsidR="00811BEC" w:rsidRPr="003E7BBB" w:rsidRDefault="00811BEC" w:rsidP="00811BEC">
            <w:pPr>
              <w:pStyle w:val="Tabletext"/>
              <w:spacing w:line="260" w:lineRule="exact"/>
            </w:pPr>
            <w:r w:rsidRPr="003E7BBB">
              <w:t>41.       Growth</w:t>
            </w:r>
          </w:p>
        </w:tc>
        <w:tc>
          <w:tcPr>
            <w:tcW w:w="1328" w:type="dxa"/>
            <w:tcBorders>
              <w:top w:val="nil"/>
              <w:left w:val="single" w:sz="4" w:space="0" w:color="FFFFFF"/>
              <w:bottom w:val="single" w:sz="4" w:space="0" w:color="FFFFFF"/>
              <w:right w:val="single" w:sz="4" w:space="0" w:color="FFFFFF"/>
            </w:tcBorders>
            <w:shd w:val="clear" w:color="000000" w:fill="F2F2F2"/>
            <w:vAlign w:val="center"/>
            <w:hideMark/>
          </w:tcPr>
          <w:p w14:paraId="19919B1E" w14:textId="77777777" w:rsidR="00811BEC" w:rsidRPr="003E7BBB" w:rsidRDefault="00811BEC" w:rsidP="00811BEC">
            <w:pPr>
              <w:pStyle w:val="Tabletext"/>
              <w:spacing w:line="260" w:lineRule="exact"/>
            </w:pPr>
            <w:r w:rsidRPr="003E7BBB">
              <w:t> </w:t>
            </w:r>
          </w:p>
        </w:tc>
        <w:tc>
          <w:tcPr>
            <w:tcW w:w="1530" w:type="dxa"/>
            <w:tcBorders>
              <w:top w:val="nil"/>
              <w:left w:val="single" w:sz="4" w:space="0" w:color="FFFFFF"/>
              <w:bottom w:val="single" w:sz="4" w:space="0" w:color="FFFFFF"/>
              <w:right w:val="single" w:sz="4" w:space="0" w:color="FFFFFF"/>
            </w:tcBorders>
            <w:shd w:val="clear" w:color="000000" w:fill="F2F2F2"/>
            <w:vAlign w:val="center"/>
            <w:hideMark/>
          </w:tcPr>
          <w:p w14:paraId="01F89C0E" w14:textId="77777777" w:rsidR="00811BEC" w:rsidRPr="003E7BBB" w:rsidRDefault="00811BEC" w:rsidP="00811BEC">
            <w:pPr>
              <w:pStyle w:val="Tabletext"/>
              <w:spacing w:line="260" w:lineRule="exact"/>
              <w:jc w:val="center"/>
            </w:pPr>
          </w:p>
        </w:tc>
        <w:tc>
          <w:tcPr>
            <w:tcW w:w="695" w:type="dxa"/>
            <w:tcBorders>
              <w:top w:val="nil"/>
              <w:left w:val="single" w:sz="4" w:space="0" w:color="FFFFFF"/>
              <w:bottom w:val="single" w:sz="4" w:space="0" w:color="FFFFFF"/>
              <w:right w:val="nil"/>
            </w:tcBorders>
            <w:shd w:val="clear" w:color="000000" w:fill="F2F2F2"/>
            <w:vAlign w:val="center"/>
            <w:hideMark/>
          </w:tcPr>
          <w:p w14:paraId="39876382" w14:textId="77777777" w:rsidR="00811BEC" w:rsidRPr="003E7BBB" w:rsidRDefault="00811BEC" w:rsidP="00811BEC">
            <w:pPr>
              <w:pStyle w:val="Tabletext"/>
              <w:spacing w:line="260" w:lineRule="exact"/>
              <w:jc w:val="center"/>
            </w:pPr>
            <w:r w:rsidRPr="003E7BBB">
              <w:t>-3.4</w:t>
            </w:r>
          </w:p>
        </w:tc>
        <w:tc>
          <w:tcPr>
            <w:tcW w:w="695" w:type="dxa"/>
            <w:tcBorders>
              <w:top w:val="nil"/>
              <w:left w:val="nil"/>
              <w:bottom w:val="single" w:sz="4" w:space="0" w:color="FFFFFF"/>
              <w:right w:val="nil"/>
            </w:tcBorders>
            <w:shd w:val="clear" w:color="000000" w:fill="F2F2F2"/>
            <w:vAlign w:val="center"/>
            <w:hideMark/>
          </w:tcPr>
          <w:p w14:paraId="1A014254" w14:textId="77777777" w:rsidR="00811BEC" w:rsidRPr="003E7BBB" w:rsidRDefault="00811BEC" w:rsidP="00811BEC">
            <w:pPr>
              <w:pStyle w:val="Tabletext"/>
              <w:spacing w:line="260" w:lineRule="exact"/>
              <w:jc w:val="center"/>
            </w:pPr>
            <w:r w:rsidRPr="003E7BBB">
              <w:t>-3.3</w:t>
            </w:r>
          </w:p>
        </w:tc>
        <w:tc>
          <w:tcPr>
            <w:tcW w:w="695" w:type="dxa"/>
            <w:tcBorders>
              <w:top w:val="nil"/>
              <w:left w:val="nil"/>
              <w:bottom w:val="single" w:sz="4" w:space="0" w:color="FFFFFF"/>
              <w:right w:val="nil"/>
            </w:tcBorders>
            <w:shd w:val="clear" w:color="000000" w:fill="F2F2F2"/>
            <w:vAlign w:val="center"/>
            <w:hideMark/>
          </w:tcPr>
          <w:p w14:paraId="3D5A61AA" w14:textId="77777777" w:rsidR="00811BEC" w:rsidRPr="003E7BBB" w:rsidRDefault="00811BEC" w:rsidP="00811BEC">
            <w:pPr>
              <w:pStyle w:val="Tabletext"/>
              <w:spacing w:line="260" w:lineRule="exact"/>
              <w:jc w:val="center"/>
            </w:pPr>
            <w:r w:rsidRPr="003E7BBB">
              <w:t>-3.1</w:t>
            </w:r>
          </w:p>
        </w:tc>
        <w:tc>
          <w:tcPr>
            <w:tcW w:w="695" w:type="dxa"/>
            <w:tcBorders>
              <w:top w:val="nil"/>
              <w:left w:val="nil"/>
              <w:bottom w:val="single" w:sz="4" w:space="0" w:color="FFFFFF"/>
              <w:right w:val="nil"/>
            </w:tcBorders>
            <w:shd w:val="clear" w:color="000000" w:fill="F2F2F2"/>
            <w:vAlign w:val="center"/>
            <w:hideMark/>
          </w:tcPr>
          <w:p w14:paraId="4F6185BB" w14:textId="77777777" w:rsidR="00811BEC" w:rsidRPr="003E7BBB" w:rsidRDefault="00811BEC" w:rsidP="00811BEC">
            <w:pPr>
              <w:pStyle w:val="Tabletext"/>
              <w:spacing w:line="260" w:lineRule="exact"/>
              <w:jc w:val="center"/>
            </w:pPr>
            <w:r w:rsidRPr="003E7BBB">
              <w:t>-2.7</w:t>
            </w:r>
          </w:p>
        </w:tc>
      </w:tr>
      <w:tr w:rsidR="00811BEC" w:rsidRPr="003E7BBB" w14:paraId="4970F673" w14:textId="77777777" w:rsidTr="00471D95">
        <w:trPr>
          <w:trHeight w:val="340"/>
          <w:jc w:val="center"/>
        </w:trPr>
        <w:tc>
          <w:tcPr>
            <w:tcW w:w="3350" w:type="dxa"/>
            <w:tcBorders>
              <w:top w:val="nil"/>
              <w:left w:val="nil"/>
              <w:bottom w:val="single" w:sz="4" w:space="0" w:color="FFFFFF"/>
              <w:right w:val="single" w:sz="4" w:space="0" w:color="FFFFFF"/>
            </w:tcBorders>
            <w:shd w:val="clear" w:color="000000" w:fill="D9D9D9"/>
            <w:vAlign w:val="center"/>
            <w:hideMark/>
          </w:tcPr>
          <w:p w14:paraId="1A750FDC" w14:textId="77777777" w:rsidR="00811BEC" w:rsidRPr="003E7BBB" w:rsidRDefault="00811BEC" w:rsidP="00811BEC">
            <w:pPr>
              <w:pStyle w:val="Tabletext"/>
              <w:spacing w:line="260" w:lineRule="exact"/>
            </w:pPr>
            <w:r w:rsidRPr="003E7BBB">
              <w:t>42.       Inflation</w:t>
            </w:r>
          </w:p>
        </w:tc>
        <w:tc>
          <w:tcPr>
            <w:tcW w:w="1328" w:type="dxa"/>
            <w:tcBorders>
              <w:top w:val="nil"/>
              <w:left w:val="single" w:sz="4" w:space="0" w:color="FFFFFF"/>
              <w:bottom w:val="single" w:sz="4" w:space="0" w:color="FFFFFF"/>
              <w:right w:val="single" w:sz="4" w:space="0" w:color="FFFFFF"/>
            </w:tcBorders>
            <w:shd w:val="clear" w:color="000000" w:fill="D9D9D9"/>
            <w:vAlign w:val="center"/>
            <w:hideMark/>
          </w:tcPr>
          <w:p w14:paraId="17EE2931" w14:textId="77777777" w:rsidR="00811BEC" w:rsidRPr="003E7BBB" w:rsidRDefault="00811BEC" w:rsidP="00811BEC">
            <w:pPr>
              <w:pStyle w:val="Tabletext"/>
              <w:spacing w:line="260" w:lineRule="exact"/>
            </w:pPr>
            <w:r w:rsidRPr="003E7BBB">
              <w:t> </w:t>
            </w:r>
          </w:p>
        </w:tc>
        <w:tc>
          <w:tcPr>
            <w:tcW w:w="1530" w:type="dxa"/>
            <w:tcBorders>
              <w:top w:val="nil"/>
              <w:left w:val="single" w:sz="4" w:space="0" w:color="FFFFFF"/>
              <w:bottom w:val="single" w:sz="4" w:space="0" w:color="FFFFFF"/>
              <w:right w:val="single" w:sz="4" w:space="0" w:color="FFFFFF"/>
            </w:tcBorders>
            <w:shd w:val="clear" w:color="000000" w:fill="D9D9D9"/>
            <w:vAlign w:val="center"/>
            <w:hideMark/>
          </w:tcPr>
          <w:p w14:paraId="26AEEE1B" w14:textId="77777777" w:rsidR="00811BEC" w:rsidRPr="003E7BBB" w:rsidRDefault="00811BEC" w:rsidP="00811BEC">
            <w:pPr>
              <w:pStyle w:val="Tabletext"/>
              <w:spacing w:line="260" w:lineRule="exact"/>
              <w:jc w:val="center"/>
            </w:pPr>
          </w:p>
        </w:tc>
        <w:tc>
          <w:tcPr>
            <w:tcW w:w="695" w:type="dxa"/>
            <w:tcBorders>
              <w:top w:val="nil"/>
              <w:left w:val="single" w:sz="4" w:space="0" w:color="FFFFFF"/>
              <w:bottom w:val="single" w:sz="4" w:space="0" w:color="FFFFFF"/>
              <w:right w:val="nil"/>
            </w:tcBorders>
            <w:shd w:val="clear" w:color="000000" w:fill="D9D9D9"/>
            <w:vAlign w:val="center"/>
            <w:hideMark/>
          </w:tcPr>
          <w:p w14:paraId="1FF14938" w14:textId="77777777" w:rsidR="00811BEC" w:rsidRPr="003E7BBB" w:rsidRDefault="00811BEC" w:rsidP="00811BEC">
            <w:pPr>
              <w:pStyle w:val="Tabletext"/>
              <w:spacing w:line="260" w:lineRule="exact"/>
              <w:jc w:val="center"/>
            </w:pPr>
            <w:r w:rsidRPr="003E7BBB">
              <w:t>-10.5</w:t>
            </w:r>
          </w:p>
        </w:tc>
        <w:tc>
          <w:tcPr>
            <w:tcW w:w="695" w:type="dxa"/>
            <w:tcBorders>
              <w:top w:val="nil"/>
              <w:left w:val="nil"/>
              <w:bottom w:val="single" w:sz="4" w:space="0" w:color="FFFFFF"/>
              <w:right w:val="nil"/>
            </w:tcBorders>
            <w:shd w:val="clear" w:color="000000" w:fill="D9D9D9"/>
            <w:vAlign w:val="center"/>
            <w:hideMark/>
          </w:tcPr>
          <w:p w14:paraId="0692A0CB" w14:textId="77777777" w:rsidR="00811BEC" w:rsidRPr="003E7BBB" w:rsidRDefault="00811BEC" w:rsidP="00811BEC">
            <w:pPr>
              <w:pStyle w:val="Tabletext"/>
              <w:spacing w:line="260" w:lineRule="exact"/>
              <w:jc w:val="center"/>
            </w:pPr>
            <w:r w:rsidRPr="003E7BBB">
              <w:t>-5.1</w:t>
            </w:r>
          </w:p>
        </w:tc>
        <w:tc>
          <w:tcPr>
            <w:tcW w:w="695" w:type="dxa"/>
            <w:tcBorders>
              <w:top w:val="nil"/>
              <w:left w:val="nil"/>
              <w:bottom w:val="single" w:sz="4" w:space="0" w:color="FFFFFF"/>
              <w:right w:val="nil"/>
            </w:tcBorders>
            <w:shd w:val="clear" w:color="000000" w:fill="D9D9D9"/>
            <w:vAlign w:val="center"/>
            <w:hideMark/>
          </w:tcPr>
          <w:p w14:paraId="422F4F1B" w14:textId="77777777" w:rsidR="00811BEC" w:rsidRPr="003E7BBB" w:rsidRDefault="00811BEC" w:rsidP="00811BEC">
            <w:pPr>
              <w:pStyle w:val="Tabletext"/>
              <w:spacing w:line="260" w:lineRule="exact"/>
              <w:jc w:val="center"/>
            </w:pPr>
            <w:r w:rsidRPr="003E7BBB">
              <w:t>-4.2</w:t>
            </w:r>
          </w:p>
        </w:tc>
        <w:tc>
          <w:tcPr>
            <w:tcW w:w="695" w:type="dxa"/>
            <w:tcBorders>
              <w:top w:val="nil"/>
              <w:left w:val="nil"/>
              <w:bottom w:val="single" w:sz="4" w:space="0" w:color="FFFFFF"/>
              <w:right w:val="nil"/>
            </w:tcBorders>
            <w:shd w:val="clear" w:color="000000" w:fill="D9D9D9"/>
            <w:vAlign w:val="center"/>
            <w:hideMark/>
          </w:tcPr>
          <w:p w14:paraId="2BFAA3F7" w14:textId="77777777" w:rsidR="00811BEC" w:rsidRPr="003E7BBB" w:rsidRDefault="00811BEC" w:rsidP="00811BEC">
            <w:pPr>
              <w:pStyle w:val="Tabletext"/>
              <w:spacing w:line="260" w:lineRule="exact"/>
              <w:jc w:val="center"/>
            </w:pPr>
            <w:r w:rsidRPr="003E7BBB">
              <w:t>-4.5</w:t>
            </w:r>
          </w:p>
        </w:tc>
      </w:tr>
      <w:tr w:rsidR="00811BEC" w:rsidRPr="003E7BBB" w14:paraId="1A6509AC" w14:textId="77777777" w:rsidTr="00471D95">
        <w:trPr>
          <w:trHeight w:val="340"/>
          <w:jc w:val="center"/>
        </w:trPr>
        <w:tc>
          <w:tcPr>
            <w:tcW w:w="3350" w:type="dxa"/>
            <w:tcBorders>
              <w:top w:val="nil"/>
              <w:left w:val="nil"/>
              <w:bottom w:val="single" w:sz="4" w:space="0" w:color="FFFFFF"/>
              <w:right w:val="single" w:sz="4" w:space="0" w:color="FFFFFF"/>
            </w:tcBorders>
            <w:shd w:val="clear" w:color="000000" w:fill="F2F2F2"/>
            <w:vAlign w:val="center"/>
            <w:hideMark/>
          </w:tcPr>
          <w:p w14:paraId="0DAB6AB4" w14:textId="77777777" w:rsidR="00811BEC" w:rsidRPr="003E7BBB" w:rsidRDefault="00811BEC" w:rsidP="00811BEC">
            <w:pPr>
              <w:pStyle w:val="Tabletext"/>
              <w:spacing w:line="260" w:lineRule="exact"/>
            </w:pPr>
            <w:r w:rsidRPr="003E7BBB">
              <w:t xml:space="preserve">43.    Stock-flow adjustment </w:t>
            </w:r>
            <w:r w:rsidR="00511A6F">
              <w:br/>
            </w:r>
            <w:r w:rsidRPr="003E7BBB">
              <w:t>(= 36-38-39)</w:t>
            </w:r>
          </w:p>
        </w:tc>
        <w:tc>
          <w:tcPr>
            <w:tcW w:w="1328" w:type="dxa"/>
            <w:tcBorders>
              <w:top w:val="nil"/>
              <w:left w:val="single" w:sz="4" w:space="0" w:color="FFFFFF"/>
              <w:bottom w:val="single" w:sz="4" w:space="0" w:color="FFFFFF"/>
              <w:right w:val="single" w:sz="4" w:space="0" w:color="FFFFFF"/>
            </w:tcBorders>
            <w:shd w:val="clear" w:color="000000" w:fill="F2F2F2"/>
            <w:vAlign w:val="center"/>
            <w:hideMark/>
          </w:tcPr>
          <w:p w14:paraId="04293577" w14:textId="77777777" w:rsidR="00811BEC" w:rsidRPr="003E7BBB" w:rsidRDefault="00811BEC" w:rsidP="00811BEC">
            <w:pPr>
              <w:pStyle w:val="Tabletext"/>
              <w:spacing w:line="260" w:lineRule="exact"/>
            </w:pPr>
            <w:r w:rsidRPr="003E7BBB">
              <w:t> </w:t>
            </w:r>
          </w:p>
        </w:tc>
        <w:tc>
          <w:tcPr>
            <w:tcW w:w="1530" w:type="dxa"/>
            <w:tcBorders>
              <w:top w:val="nil"/>
              <w:left w:val="single" w:sz="4" w:space="0" w:color="FFFFFF"/>
              <w:bottom w:val="single" w:sz="4" w:space="0" w:color="FFFFFF"/>
              <w:right w:val="single" w:sz="4" w:space="0" w:color="FFFFFF"/>
            </w:tcBorders>
            <w:shd w:val="clear" w:color="000000" w:fill="F2F2F2"/>
            <w:vAlign w:val="center"/>
            <w:hideMark/>
          </w:tcPr>
          <w:p w14:paraId="3BF4C0F1" w14:textId="77777777" w:rsidR="00811BEC" w:rsidRPr="003E7BBB" w:rsidRDefault="00811BEC" w:rsidP="00811BEC">
            <w:pPr>
              <w:pStyle w:val="Tabletext"/>
              <w:spacing w:line="260" w:lineRule="exact"/>
              <w:jc w:val="center"/>
            </w:pPr>
          </w:p>
        </w:tc>
        <w:tc>
          <w:tcPr>
            <w:tcW w:w="695" w:type="dxa"/>
            <w:tcBorders>
              <w:top w:val="nil"/>
              <w:left w:val="single" w:sz="4" w:space="0" w:color="FFFFFF"/>
              <w:bottom w:val="single" w:sz="4" w:space="0" w:color="FFFFFF"/>
              <w:right w:val="nil"/>
            </w:tcBorders>
            <w:shd w:val="clear" w:color="000000" w:fill="F2F2F2"/>
            <w:vAlign w:val="center"/>
            <w:hideMark/>
          </w:tcPr>
          <w:p w14:paraId="379AA58F" w14:textId="77777777" w:rsidR="00811BEC" w:rsidRPr="003E7BBB" w:rsidRDefault="00811BEC" w:rsidP="00811BEC">
            <w:pPr>
              <w:pStyle w:val="Tabletext"/>
              <w:spacing w:line="260" w:lineRule="exact"/>
              <w:jc w:val="center"/>
            </w:pPr>
            <w:r w:rsidRPr="003E7BBB">
              <w:t>-1.0</w:t>
            </w:r>
          </w:p>
        </w:tc>
        <w:tc>
          <w:tcPr>
            <w:tcW w:w="695" w:type="dxa"/>
            <w:tcBorders>
              <w:top w:val="nil"/>
              <w:left w:val="nil"/>
              <w:bottom w:val="single" w:sz="4" w:space="0" w:color="FFFFFF"/>
              <w:right w:val="nil"/>
            </w:tcBorders>
            <w:shd w:val="clear" w:color="000000" w:fill="F2F2F2"/>
            <w:vAlign w:val="center"/>
            <w:hideMark/>
          </w:tcPr>
          <w:p w14:paraId="42CE27C8" w14:textId="77777777" w:rsidR="00811BEC" w:rsidRPr="003E7BBB" w:rsidRDefault="00811BEC" w:rsidP="00811BEC">
            <w:pPr>
              <w:pStyle w:val="Tabletext"/>
              <w:spacing w:line="260" w:lineRule="exact"/>
              <w:jc w:val="center"/>
            </w:pPr>
            <w:r w:rsidRPr="003E7BBB">
              <w:t>-0.4</w:t>
            </w:r>
          </w:p>
        </w:tc>
        <w:tc>
          <w:tcPr>
            <w:tcW w:w="695" w:type="dxa"/>
            <w:tcBorders>
              <w:top w:val="nil"/>
              <w:left w:val="nil"/>
              <w:bottom w:val="single" w:sz="4" w:space="0" w:color="FFFFFF"/>
              <w:right w:val="nil"/>
            </w:tcBorders>
            <w:shd w:val="clear" w:color="000000" w:fill="F2F2F2"/>
            <w:vAlign w:val="center"/>
            <w:hideMark/>
          </w:tcPr>
          <w:p w14:paraId="79D8EC69" w14:textId="77777777" w:rsidR="00811BEC" w:rsidRPr="003E7BBB" w:rsidRDefault="00811BEC" w:rsidP="00811BEC">
            <w:pPr>
              <w:pStyle w:val="Tabletext"/>
              <w:spacing w:line="260" w:lineRule="exact"/>
              <w:jc w:val="center"/>
            </w:pPr>
            <w:r w:rsidRPr="003E7BBB">
              <w:t>1.0</w:t>
            </w:r>
          </w:p>
        </w:tc>
        <w:tc>
          <w:tcPr>
            <w:tcW w:w="695" w:type="dxa"/>
            <w:tcBorders>
              <w:top w:val="nil"/>
              <w:left w:val="nil"/>
              <w:bottom w:val="single" w:sz="4" w:space="0" w:color="FFFFFF"/>
              <w:right w:val="nil"/>
            </w:tcBorders>
            <w:shd w:val="clear" w:color="000000" w:fill="F2F2F2"/>
            <w:vAlign w:val="center"/>
            <w:hideMark/>
          </w:tcPr>
          <w:p w14:paraId="11F2604C" w14:textId="77777777" w:rsidR="00811BEC" w:rsidRPr="003E7BBB" w:rsidRDefault="00811BEC" w:rsidP="00811BEC">
            <w:pPr>
              <w:pStyle w:val="Tabletext"/>
              <w:spacing w:line="260" w:lineRule="exact"/>
              <w:jc w:val="center"/>
            </w:pPr>
            <w:r w:rsidRPr="003E7BBB">
              <w:t>-1.8</w:t>
            </w:r>
          </w:p>
        </w:tc>
      </w:tr>
      <w:tr w:rsidR="00811BEC" w:rsidRPr="003E7BBB" w14:paraId="1C4DAD2C" w14:textId="77777777" w:rsidTr="00471D95">
        <w:trPr>
          <w:trHeight w:val="340"/>
          <w:jc w:val="center"/>
        </w:trPr>
        <w:tc>
          <w:tcPr>
            <w:tcW w:w="3350" w:type="dxa"/>
            <w:tcBorders>
              <w:top w:val="nil"/>
              <w:left w:val="nil"/>
              <w:bottom w:val="nil"/>
              <w:right w:val="single" w:sz="4" w:space="0" w:color="FFFFFF"/>
            </w:tcBorders>
            <w:shd w:val="clear" w:color="000000" w:fill="D6DCE4"/>
            <w:vAlign w:val="center"/>
            <w:hideMark/>
          </w:tcPr>
          <w:p w14:paraId="3130B898" w14:textId="77777777" w:rsidR="00811BEC" w:rsidRPr="00811BEC" w:rsidRDefault="00811BEC" w:rsidP="00811BEC">
            <w:pPr>
              <w:pStyle w:val="Tabletext"/>
              <w:spacing w:line="260" w:lineRule="exact"/>
              <w:rPr>
                <w:b/>
              </w:rPr>
            </w:pPr>
            <w:r w:rsidRPr="00811BEC">
              <w:rPr>
                <w:b/>
              </w:rPr>
              <w:t xml:space="preserve"> </w:t>
            </w:r>
          </w:p>
        </w:tc>
        <w:tc>
          <w:tcPr>
            <w:tcW w:w="1328" w:type="dxa"/>
            <w:tcBorders>
              <w:top w:val="nil"/>
              <w:left w:val="single" w:sz="4" w:space="0" w:color="FFFFFF"/>
              <w:bottom w:val="nil"/>
              <w:right w:val="single" w:sz="4" w:space="0" w:color="FFFFFF"/>
            </w:tcBorders>
            <w:shd w:val="clear" w:color="000000" w:fill="D6DCE4"/>
            <w:vAlign w:val="center"/>
            <w:hideMark/>
          </w:tcPr>
          <w:p w14:paraId="35266008" w14:textId="77777777" w:rsidR="00811BEC" w:rsidRPr="00811BEC" w:rsidRDefault="00811BEC" w:rsidP="00811BEC">
            <w:pPr>
              <w:pStyle w:val="Tabletext"/>
              <w:spacing w:line="260" w:lineRule="exact"/>
              <w:rPr>
                <w:b/>
              </w:rPr>
            </w:pPr>
            <w:r w:rsidRPr="00811BEC">
              <w:rPr>
                <w:b/>
              </w:rPr>
              <w:t> </w:t>
            </w:r>
          </w:p>
        </w:tc>
        <w:tc>
          <w:tcPr>
            <w:tcW w:w="1530" w:type="dxa"/>
            <w:tcBorders>
              <w:top w:val="nil"/>
              <w:left w:val="single" w:sz="4" w:space="0" w:color="FFFFFF"/>
              <w:bottom w:val="nil"/>
              <w:right w:val="single" w:sz="4" w:space="0" w:color="FFFFFF"/>
            </w:tcBorders>
            <w:shd w:val="clear" w:color="000000" w:fill="D6DCE4"/>
            <w:vAlign w:val="center"/>
            <w:hideMark/>
          </w:tcPr>
          <w:p w14:paraId="1C3EF152" w14:textId="77777777" w:rsidR="00811BEC" w:rsidRPr="00811BEC" w:rsidRDefault="00811BEC" w:rsidP="00811BEC">
            <w:pPr>
              <w:pStyle w:val="Tabletext"/>
              <w:spacing w:line="260" w:lineRule="exact"/>
              <w:jc w:val="center"/>
              <w:rPr>
                <w:b/>
              </w:rPr>
            </w:pPr>
          </w:p>
        </w:tc>
        <w:tc>
          <w:tcPr>
            <w:tcW w:w="2780" w:type="dxa"/>
            <w:gridSpan w:val="4"/>
            <w:tcBorders>
              <w:top w:val="nil"/>
              <w:left w:val="single" w:sz="4" w:space="0" w:color="FFFFFF"/>
              <w:bottom w:val="nil"/>
              <w:right w:val="nil"/>
            </w:tcBorders>
            <w:shd w:val="clear" w:color="000000" w:fill="D6DCE4"/>
            <w:vAlign w:val="center"/>
            <w:hideMark/>
          </w:tcPr>
          <w:p w14:paraId="35BC852C" w14:textId="77777777" w:rsidR="00811BEC" w:rsidRPr="00811BEC" w:rsidRDefault="00811BEC" w:rsidP="00811BEC">
            <w:pPr>
              <w:pStyle w:val="Tabletext"/>
              <w:spacing w:line="260" w:lineRule="exact"/>
              <w:jc w:val="center"/>
              <w:rPr>
                <w:b/>
              </w:rPr>
            </w:pPr>
            <w:r w:rsidRPr="00811BEC">
              <w:rPr>
                <w:b/>
              </w:rPr>
              <w:t>%</w:t>
            </w:r>
          </w:p>
        </w:tc>
      </w:tr>
      <w:tr w:rsidR="00811BEC" w:rsidRPr="003E7BBB" w14:paraId="25739EDE" w14:textId="77777777" w:rsidTr="00471D95">
        <w:trPr>
          <w:trHeight w:val="340"/>
          <w:jc w:val="center"/>
        </w:trPr>
        <w:tc>
          <w:tcPr>
            <w:tcW w:w="3350" w:type="dxa"/>
            <w:tcBorders>
              <w:top w:val="nil"/>
              <w:left w:val="nil"/>
              <w:bottom w:val="single" w:sz="4" w:space="0" w:color="FFFFFF"/>
              <w:right w:val="single" w:sz="4" w:space="0" w:color="FFFFFF"/>
            </w:tcBorders>
            <w:shd w:val="clear" w:color="000000" w:fill="F2F2F2"/>
            <w:vAlign w:val="center"/>
            <w:hideMark/>
          </w:tcPr>
          <w:p w14:paraId="6AF92FB2" w14:textId="77777777" w:rsidR="00811BEC" w:rsidRPr="003E7BBB" w:rsidRDefault="00811BEC" w:rsidP="00811BEC">
            <w:pPr>
              <w:pStyle w:val="Tabletext"/>
              <w:spacing w:line="260" w:lineRule="exact"/>
            </w:pPr>
            <w:r w:rsidRPr="003E7BBB">
              <w:t>44. p.m. Implicit interest rate on debt (= 14 / DEBT(t-1))</w:t>
            </w:r>
          </w:p>
        </w:tc>
        <w:tc>
          <w:tcPr>
            <w:tcW w:w="1328" w:type="dxa"/>
            <w:tcBorders>
              <w:top w:val="nil"/>
              <w:left w:val="single" w:sz="4" w:space="0" w:color="FFFFFF"/>
              <w:bottom w:val="single" w:sz="4" w:space="0" w:color="FFFFFF"/>
              <w:right w:val="single" w:sz="4" w:space="0" w:color="FFFFFF"/>
            </w:tcBorders>
            <w:shd w:val="clear" w:color="000000" w:fill="F2F2F2"/>
            <w:vAlign w:val="center"/>
            <w:hideMark/>
          </w:tcPr>
          <w:p w14:paraId="74A7C123" w14:textId="77777777" w:rsidR="00811BEC" w:rsidRPr="003E7BBB" w:rsidRDefault="00811BEC" w:rsidP="00811BEC">
            <w:pPr>
              <w:pStyle w:val="Tabletext"/>
              <w:spacing w:line="260" w:lineRule="exact"/>
            </w:pPr>
            <w:r w:rsidRPr="003E7BBB">
              <w:t> </w:t>
            </w:r>
          </w:p>
        </w:tc>
        <w:tc>
          <w:tcPr>
            <w:tcW w:w="1530" w:type="dxa"/>
            <w:tcBorders>
              <w:top w:val="nil"/>
              <w:left w:val="single" w:sz="4" w:space="0" w:color="FFFFFF"/>
              <w:bottom w:val="single" w:sz="4" w:space="0" w:color="FFFFFF"/>
              <w:right w:val="single" w:sz="4" w:space="0" w:color="FFFFFF"/>
            </w:tcBorders>
            <w:shd w:val="clear" w:color="000000" w:fill="F2F2F2"/>
            <w:vAlign w:val="center"/>
            <w:hideMark/>
          </w:tcPr>
          <w:p w14:paraId="62A9571F" w14:textId="77777777" w:rsidR="00811BEC" w:rsidRPr="003E7BBB" w:rsidRDefault="00811BEC" w:rsidP="00811BEC">
            <w:pPr>
              <w:pStyle w:val="Tabletext"/>
              <w:spacing w:line="260" w:lineRule="exact"/>
              <w:jc w:val="center"/>
            </w:pPr>
          </w:p>
        </w:tc>
        <w:tc>
          <w:tcPr>
            <w:tcW w:w="695" w:type="dxa"/>
            <w:tcBorders>
              <w:top w:val="nil"/>
              <w:left w:val="single" w:sz="4" w:space="0" w:color="FFFFFF"/>
              <w:bottom w:val="single" w:sz="4" w:space="0" w:color="FFFFFF"/>
              <w:right w:val="nil"/>
            </w:tcBorders>
            <w:shd w:val="clear" w:color="000000" w:fill="F2F2F2"/>
            <w:vAlign w:val="center"/>
            <w:hideMark/>
          </w:tcPr>
          <w:p w14:paraId="15802066" w14:textId="77777777" w:rsidR="00811BEC" w:rsidRPr="003E7BBB" w:rsidRDefault="00811BEC" w:rsidP="00811BEC">
            <w:pPr>
              <w:pStyle w:val="Tabletext"/>
              <w:spacing w:line="260" w:lineRule="exact"/>
              <w:jc w:val="center"/>
            </w:pPr>
            <w:r w:rsidRPr="003E7BBB">
              <w:t>2.1</w:t>
            </w:r>
          </w:p>
        </w:tc>
        <w:tc>
          <w:tcPr>
            <w:tcW w:w="695" w:type="dxa"/>
            <w:tcBorders>
              <w:top w:val="nil"/>
              <w:left w:val="nil"/>
              <w:bottom w:val="single" w:sz="4" w:space="0" w:color="FFFFFF"/>
              <w:right w:val="nil"/>
            </w:tcBorders>
            <w:shd w:val="clear" w:color="000000" w:fill="F2F2F2"/>
            <w:vAlign w:val="center"/>
            <w:hideMark/>
          </w:tcPr>
          <w:p w14:paraId="6F679E40" w14:textId="77777777" w:rsidR="00811BEC" w:rsidRPr="003E7BBB" w:rsidRDefault="00811BEC" w:rsidP="00811BEC">
            <w:pPr>
              <w:pStyle w:val="Tabletext"/>
              <w:spacing w:line="260" w:lineRule="exact"/>
              <w:jc w:val="center"/>
            </w:pPr>
            <w:r w:rsidRPr="003E7BBB">
              <w:t>2.2</w:t>
            </w:r>
          </w:p>
        </w:tc>
        <w:tc>
          <w:tcPr>
            <w:tcW w:w="695" w:type="dxa"/>
            <w:tcBorders>
              <w:top w:val="nil"/>
              <w:left w:val="nil"/>
              <w:bottom w:val="single" w:sz="4" w:space="0" w:color="FFFFFF"/>
              <w:right w:val="nil"/>
            </w:tcBorders>
            <w:shd w:val="clear" w:color="000000" w:fill="F2F2F2"/>
            <w:vAlign w:val="center"/>
            <w:hideMark/>
          </w:tcPr>
          <w:p w14:paraId="752EFC1A" w14:textId="77777777" w:rsidR="00811BEC" w:rsidRPr="003E7BBB" w:rsidRDefault="00811BEC" w:rsidP="00811BEC">
            <w:pPr>
              <w:pStyle w:val="Tabletext"/>
              <w:spacing w:line="260" w:lineRule="exact"/>
              <w:jc w:val="center"/>
            </w:pPr>
            <w:r w:rsidRPr="003E7BBB">
              <w:t>2.1</w:t>
            </w:r>
          </w:p>
        </w:tc>
        <w:tc>
          <w:tcPr>
            <w:tcW w:w="695" w:type="dxa"/>
            <w:tcBorders>
              <w:top w:val="nil"/>
              <w:left w:val="nil"/>
              <w:bottom w:val="single" w:sz="4" w:space="0" w:color="FFFFFF"/>
              <w:right w:val="nil"/>
            </w:tcBorders>
            <w:shd w:val="clear" w:color="000000" w:fill="F2F2F2"/>
            <w:vAlign w:val="center"/>
            <w:hideMark/>
          </w:tcPr>
          <w:p w14:paraId="268A5F38" w14:textId="77777777" w:rsidR="00811BEC" w:rsidRPr="003E7BBB" w:rsidRDefault="00811BEC" w:rsidP="00811BEC">
            <w:pPr>
              <w:pStyle w:val="Tabletext"/>
              <w:spacing w:line="260" w:lineRule="exact"/>
              <w:jc w:val="center"/>
            </w:pPr>
            <w:r w:rsidRPr="003E7BBB">
              <w:t>2.2</w:t>
            </w:r>
          </w:p>
        </w:tc>
      </w:tr>
      <w:tr w:rsidR="00811BEC" w:rsidRPr="00A87424" w14:paraId="41685E1C" w14:textId="77777777" w:rsidTr="00471D95">
        <w:trPr>
          <w:trHeight w:val="340"/>
          <w:jc w:val="center"/>
        </w:trPr>
        <w:tc>
          <w:tcPr>
            <w:tcW w:w="3350" w:type="dxa"/>
            <w:tcBorders>
              <w:top w:val="nil"/>
              <w:left w:val="nil"/>
              <w:bottom w:val="nil"/>
              <w:right w:val="single" w:sz="4" w:space="0" w:color="FFFFFF"/>
            </w:tcBorders>
            <w:shd w:val="clear" w:color="000000" w:fill="D6DCE4"/>
            <w:vAlign w:val="center"/>
            <w:hideMark/>
          </w:tcPr>
          <w:p w14:paraId="5FA274FA" w14:textId="77777777" w:rsidR="00811BEC" w:rsidRPr="00C765D4" w:rsidRDefault="00811BEC" w:rsidP="00811BEC">
            <w:pPr>
              <w:pStyle w:val="Tabletext"/>
              <w:spacing w:line="260" w:lineRule="exact"/>
              <w:rPr>
                <w:b/>
                <w:sz w:val="24"/>
              </w:rPr>
            </w:pPr>
            <w:r w:rsidRPr="00C765D4">
              <w:rPr>
                <w:b/>
                <w:sz w:val="24"/>
              </w:rPr>
              <w:t>Defen</w:t>
            </w:r>
            <w:r w:rsidR="0051581C" w:rsidRPr="00C765D4">
              <w:rPr>
                <w:b/>
                <w:sz w:val="24"/>
              </w:rPr>
              <w:t>c</w:t>
            </w:r>
            <w:r w:rsidRPr="00C765D4">
              <w:rPr>
                <w:b/>
                <w:sz w:val="24"/>
              </w:rPr>
              <w:t>e expenditure</w:t>
            </w:r>
          </w:p>
        </w:tc>
        <w:tc>
          <w:tcPr>
            <w:tcW w:w="1328" w:type="dxa"/>
            <w:tcBorders>
              <w:top w:val="nil"/>
              <w:left w:val="single" w:sz="4" w:space="0" w:color="FFFFFF"/>
              <w:bottom w:val="nil"/>
              <w:right w:val="single" w:sz="4" w:space="0" w:color="FFFFFF"/>
            </w:tcBorders>
            <w:shd w:val="clear" w:color="000000" w:fill="D6DCE4"/>
            <w:vAlign w:val="center"/>
            <w:hideMark/>
          </w:tcPr>
          <w:p w14:paraId="766E7BD9" w14:textId="77777777" w:rsidR="00811BEC" w:rsidRPr="00A87424" w:rsidRDefault="00811BEC" w:rsidP="00811BEC">
            <w:pPr>
              <w:pStyle w:val="Tabletext"/>
              <w:spacing w:line="260" w:lineRule="exact"/>
              <w:rPr>
                <w:b/>
                <w:sz w:val="24"/>
              </w:rPr>
            </w:pPr>
            <w:r w:rsidRPr="00A87424">
              <w:rPr>
                <w:b/>
                <w:sz w:val="24"/>
              </w:rPr>
              <w:t> </w:t>
            </w:r>
          </w:p>
        </w:tc>
        <w:tc>
          <w:tcPr>
            <w:tcW w:w="1530" w:type="dxa"/>
            <w:tcBorders>
              <w:top w:val="nil"/>
              <w:left w:val="single" w:sz="4" w:space="0" w:color="FFFFFF"/>
              <w:bottom w:val="nil"/>
              <w:right w:val="single" w:sz="4" w:space="0" w:color="FFFFFF"/>
            </w:tcBorders>
            <w:shd w:val="clear" w:color="000000" w:fill="D6DCE4"/>
            <w:vAlign w:val="center"/>
            <w:hideMark/>
          </w:tcPr>
          <w:p w14:paraId="07923CA8" w14:textId="77777777" w:rsidR="00811BEC" w:rsidRPr="009E74CC" w:rsidRDefault="00811BEC" w:rsidP="00811BEC">
            <w:pPr>
              <w:pStyle w:val="Tabletext"/>
              <w:spacing w:line="260" w:lineRule="exact"/>
              <w:jc w:val="center"/>
              <w:rPr>
                <w:sz w:val="24"/>
              </w:rPr>
            </w:pPr>
            <w:r w:rsidRPr="009E74CC">
              <w:rPr>
                <w:sz w:val="24"/>
              </w:rPr>
              <w:t>bn NAC</w:t>
            </w:r>
          </w:p>
        </w:tc>
        <w:tc>
          <w:tcPr>
            <w:tcW w:w="2780" w:type="dxa"/>
            <w:gridSpan w:val="4"/>
            <w:tcBorders>
              <w:top w:val="nil"/>
              <w:left w:val="single" w:sz="4" w:space="0" w:color="FFFFFF"/>
              <w:bottom w:val="nil"/>
              <w:right w:val="nil"/>
            </w:tcBorders>
            <w:shd w:val="clear" w:color="000000" w:fill="D6DCE4"/>
            <w:vAlign w:val="center"/>
            <w:hideMark/>
          </w:tcPr>
          <w:p w14:paraId="102DA039" w14:textId="77777777" w:rsidR="00811BEC" w:rsidRPr="009E74CC" w:rsidRDefault="00811BEC" w:rsidP="00811BEC">
            <w:pPr>
              <w:pStyle w:val="Tabletext"/>
              <w:spacing w:line="260" w:lineRule="exact"/>
              <w:jc w:val="center"/>
              <w:rPr>
                <w:sz w:val="24"/>
              </w:rPr>
            </w:pPr>
            <w:r w:rsidRPr="009E74CC">
              <w:rPr>
                <w:sz w:val="24"/>
              </w:rPr>
              <w:t>% GDP</w:t>
            </w:r>
          </w:p>
        </w:tc>
      </w:tr>
      <w:tr w:rsidR="00811BEC" w:rsidRPr="003E7BBB" w14:paraId="55F9677E" w14:textId="77777777" w:rsidTr="00471D95">
        <w:trPr>
          <w:trHeight w:val="340"/>
          <w:jc w:val="center"/>
        </w:trPr>
        <w:tc>
          <w:tcPr>
            <w:tcW w:w="3350" w:type="dxa"/>
            <w:tcBorders>
              <w:top w:val="nil"/>
              <w:left w:val="nil"/>
              <w:bottom w:val="single" w:sz="4" w:space="0" w:color="FFFFFF"/>
              <w:right w:val="single" w:sz="4" w:space="0" w:color="FFFFFF"/>
            </w:tcBorders>
            <w:shd w:val="clear" w:color="000000" w:fill="F2F2F2"/>
            <w:vAlign w:val="center"/>
            <w:hideMark/>
          </w:tcPr>
          <w:p w14:paraId="5BEF22E0" w14:textId="77777777" w:rsidR="00811BEC" w:rsidRPr="00C765D4" w:rsidRDefault="00811BEC" w:rsidP="00811BEC">
            <w:pPr>
              <w:pStyle w:val="Tabletext"/>
              <w:spacing w:line="260" w:lineRule="exact"/>
            </w:pPr>
            <w:r w:rsidRPr="00C765D4">
              <w:t>45. Total defen</w:t>
            </w:r>
            <w:r w:rsidR="0051581C" w:rsidRPr="00C765D4">
              <w:t>c</w:t>
            </w:r>
            <w:r w:rsidRPr="00C765D4">
              <w:t>e expenditure – nationally financed</w:t>
            </w:r>
          </w:p>
        </w:tc>
        <w:tc>
          <w:tcPr>
            <w:tcW w:w="1328" w:type="dxa"/>
            <w:tcBorders>
              <w:top w:val="nil"/>
              <w:left w:val="single" w:sz="4" w:space="0" w:color="FFFFFF"/>
              <w:bottom w:val="single" w:sz="4" w:space="0" w:color="FFFFFF"/>
              <w:right w:val="single" w:sz="4" w:space="0" w:color="FFFFFF"/>
            </w:tcBorders>
            <w:shd w:val="clear" w:color="000000" w:fill="F2F2F2"/>
            <w:vAlign w:val="center"/>
            <w:hideMark/>
          </w:tcPr>
          <w:p w14:paraId="0019C8E4" w14:textId="77777777" w:rsidR="00811BEC" w:rsidRPr="003E7BBB" w:rsidRDefault="00811BEC" w:rsidP="00811BEC">
            <w:pPr>
              <w:pStyle w:val="Tabletext"/>
              <w:spacing w:line="260" w:lineRule="exact"/>
            </w:pPr>
            <w:r w:rsidRPr="003E7BBB">
              <w:t>COFOG 2</w:t>
            </w:r>
          </w:p>
        </w:tc>
        <w:tc>
          <w:tcPr>
            <w:tcW w:w="1530" w:type="dxa"/>
            <w:tcBorders>
              <w:top w:val="nil"/>
              <w:left w:val="single" w:sz="4" w:space="0" w:color="FFFFFF"/>
              <w:bottom w:val="single" w:sz="4" w:space="0" w:color="FFFFFF"/>
              <w:right w:val="single" w:sz="4" w:space="0" w:color="FFFFFF"/>
            </w:tcBorders>
            <w:shd w:val="clear" w:color="000000" w:fill="F2F2F2"/>
            <w:vAlign w:val="center"/>
            <w:hideMark/>
          </w:tcPr>
          <w:p w14:paraId="783C7A50" w14:textId="77777777" w:rsidR="00811BEC" w:rsidRPr="003E7BBB" w:rsidRDefault="00811BEC" w:rsidP="00811BEC">
            <w:pPr>
              <w:pStyle w:val="Tabletext"/>
              <w:spacing w:line="260" w:lineRule="exact"/>
              <w:jc w:val="center"/>
            </w:pPr>
            <w:r w:rsidRPr="003E7BBB">
              <w:t>5.1</w:t>
            </w:r>
          </w:p>
        </w:tc>
        <w:tc>
          <w:tcPr>
            <w:tcW w:w="695" w:type="dxa"/>
            <w:tcBorders>
              <w:top w:val="nil"/>
              <w:left w:val="single" w:sz="4" w:space="0" w:color="FFFFFF"/>
              <w:bottom w:val="single" w:sz="4" w:space="0" w:color="FFFFFF"/>
              <w:right w:val="nil"/>
            </w:tcBorders>
            <w:shd w:val="clear" w:color="000000" w:fill="F2F2F2"/>
            <w:vAlign w:val="center"/>
            <w:hideMark/>
          </w:tcPr>
          <w:p w14:paraId="432D44B4" w14:textId="77777777" w:rsidR="00811BEC" w:rsidRPr="003E7BBB" w:rsidRDefault="00811BEC" w:rsidP="00811BEC">
            <w:pPr>
              <w:pStyle w:val="Tabletext"/>
              <w:spacing w:line="260" w:lineRule="exact"/>
              <w:jc w:val="center"/>
            </w:pPr>
            <w:r w:rsidRPr="003E7BBB">
              <w:t>2.3</w:t>
            </w:r>
          </w:p>
        </w:tc>
        <w:tc>
          <w:tcPr>
            <w:tcW w:w="695" w:type="dxa"/>
            <w:tcBorders>
              <w:top w:val="nil"/>
              <w:left w:val="nil"/>
              <w:bottom w:val="single" w:sz="4" w:space="0" w:color="FFFFFF"/>
              <w:right w:val="nil"/>
            </w:tcBorders>
            <w:shd w:val="clear" w:color="000000" w:fill="F2F2F2"/>
            <w:vAlign w:val="center"/>
            <w:hideMark/>
          </w:tcPr>
          <w:p w14:paraId="3AB17566" w14:textId="77777777" w:rsidR="00811BEC" w:rsidRPr="003E7BBB" w:rsidRDefault="00811BEC" w:rsidP="00811BEC">
            <w:pPr>
              <w:pStyle w:val="Tabletext"/>
              <w:spacing w:line="260" w:lineRule="exact"/>
              <w:jc w:val="center"/>
            </w:pPr>
            <w:r w:rsidRPr="003E7BBB">
              <w:t>2.2</w:t>
            </w:r>
          </w:p>
        </w:tc>
        <w:tc>
          <w:tcPr>
            <w:tcW w:w="695" w:type="dxa"/>
            <w:tcBorders>
              <w:top w:val="nil"/>
              <w:left w:val="nil"/>
              <w:bottom w:val="single" w:sz="4" w:space="0" w:color="FFFFFF"/>
              <w:right w:val="nil"/>
            </w:tcBorders>
            <w:shd w:val="clear" w:color="000000" w:fill="F2F2F2"/>
            <w:vAlign w:val="center"/>
            <w:hideMark/>
          </w:tcPr>
          <w:p w14:paraId="44F192E3" w14:textId="77777777" w:rsidR="00811BEC" w:rsidRPr="003E7BBB" w:rsidRDefault="00811BEC" w:rsidP="00811BEC">
            <w:pPr>
              <w:pStyle w:val="Tabletext"/>
              <w:spacing w:line="260" w:lineRule="exact"/>
              <w:jc w:val="center"/>
            </w:pPr>
            <w:r w:rsidRPr="003E7BBB">
              <w:t>2.4</w:t>
            </w:r>
          </w:p>
        </w:tc>
        <w:tc>
          <w:tcPr>
            <w:tcW w:w="695" w:type="dxa"/>
            <w:tcBorders>
              <w:top w:val="nil"/>
              <w:left w:val="nil"/>
              <w:bottom w:val="single" w:sz="4" w:space="0" w:color="FFFFFF"/>
              <w:right w:val="nil"/>
            </w:tcBorders>
            <w:shd w:val="clear" w:color="000000" w:fill="F2F2F2"/>
            <w:vAlign w:val="center"/>
            <w:hideMark/>
          </w:tcPr>
          <w:p w14:paraId="029CD739" w14:textId="77777777" w:rsidR="00811BEC" w:rsidRPr="003E7BBB" w:rsidRDefault="00811BEC" w:rsidP="00811BEC">
            <w:pPr>
              <w:pStyle w:val="Tabletext"/>
              <w:spacing w:line="260" w:lineRule="exact"/>
              <w:jc w:val="center"/>
            </w:pPr>
            <w:r w:rsidRPr="003E7BBB">
              <w:t>2.6</w:t>
            </w:r>
          </w:p>
        </w:tc>
      </w:tr>
      <w:tr w:rsidR="00811BEC" w:rsidRPr="003E7BBB" w14:paraId="330018F3" w14:textId="77777777" w:rsidTr="00471D95">
        <w:trPr>
          <w:trHeight w:val="340"/>
          <w:jc w:val="center"/>
        </w:trPr>
        <w:tc>
          <w:tcPr>
            <w:tcW w:w="3350" w:type="dxa"/>
            <w:tcBorders>
              <w:top w:val="single" w:sz="4" w:space="0" w:color="FFFFFF"/>
              <w:left w:val="nil"/>
              <w:bottom w:val="single" w:sz="18" w:space="0" w:color="4F81BD" w:themeColor="accent1"/>
              <w:right w:val="single" w:sz="4" w:space="0" w:color="FFFFFF"/>
            </w:tcBorders>
            <w:shd w:val="clear" w:color="000000" w:fill="D9D9D9"/>
            <w:vAlign w:val="center"/>
            <w:hideMark/>
          </w:tcPr>
          <w:p w14:paraId="5C04390C" w14:textId="77777777" w:rsidR="00811BEC" w:rsidRPr="00C765D4" w:rsidRDefault="00811BEC" w:rsidP="00811BEC">
            <w:pPr>
              <w:pStyle w:val="Tabletext"/>
              <w:spacing w:line="260" w:lineRule="exact"/>
            </w:pPr>
            <w:r w:rsidRPr="00C765D4">
              <w:t>46. Defen</w:t>
            </w:r>
            <w:r w:rsidR="0051581C" w:rsidRPr="00C765D4">
              <w:t>c</w:t>
            </w:r>
            <w:r w:rsidRPr="00C765D4">
              <w:t>e investment – nationally financed</w:t>
            </w:r>
          </w:p>
        </w:tc>
        <w:tc>
          <w:tcPr>
            <w:tcW w:w="1328" w:type="dxa"/>
            <w:tcBorders>
              <w:top w:val="single" w:sz="4" w:space="0" w:color="FFFFFF"/>
              <w:left w:val="single" w:sz="4" w:space="0" w:color="FFFFFF"/>
              <w:bottom w:val="single" w:sz="18" w:space="0" w:color="4F81BD" w:themeColor="accent1"/>
              <w:right w:val="single" w:sz="4" w:space="0" w:color="FFFFFF"/>
            </w:tcBorders>
            <w:shd w:val="clear" w:color="000000" w:fill="D9D9D9"/>
            <w:vAlign w:val="center"/>
            <w:hideMark/>
          </w:tcPr>
          <w:p w14:paraId="290D5DE6" w14:textId="77777777" w:rsidR="00811BEC" w:rsidRPr="003E7BBB" w:rsidRDefault="00811BEC" w:rsidP="00811BEC">
            <w:pPr>
              <w:pStyle w:val="Tabletext"/>
              <w:spacing w:line="260" w:lineRule="exact"/>
            </w:pPr>
            <w:r w:rsidRPr="003E7BBB">
              <w:t>COFOG 2, P.51g</w:t>
            </w:r>
          </w:p>
        </w:tc>
        <w:tc>
          <w:tcPr>
            <w:tcW w:w="1530" w:type="dxa"/>
            <w:tcBorders>
              <w:top w:val="single" w:sz="4" w:space="0" w:color="FFFFFF"/>
              <w:left w:val="single" w:sz="4" w:space="0" w:color="FFFFFF"/>
              <w:bottom w:val="single" w:sz="18" w:space="0" w:color="4F81BD" w:themeColor="accent1"/>
              <w:right w:val="single" w:sz="4" w:space="0" w:color="FFFFFF"/>
            </w:tcBorders>
            <w:shd w:val="clear" w:color="000000" w:fill="D9D9D9"/>
            <w:vAlign w:val="center"/>
            <w:hideMark/>
          </w:tcPr>
          <w:p w14:paraId="00D8008C" w14:textId="77777777" w:rsidR="00811BEC" w:rsidRPr="003E7BBB" w:rsidRDefault="00811BEC" w:rsidP="00811BEC">
            <w:pPr>
              <w:pStyle w:val="Tabletext"/>
              <w:spacing w:line="260" w:lineRule="exact"/>
              <w:jc w:val="center"/>
            </w:pPr>
            <w:r w:rsidRPr="003E7BBB">
              <w:t>0.6</w:t>
            </w:r>
          </w:p>
        </w:tc>
        <w:tc>
          <w:tcPr>
            <w:tcW w:w="695" w:type="dxa"/>
            <w:tcBorders>
              <w:top w:val="single" w:sz="4" w:space="0" w:color="FFFFFF"/>
              <w:left w:val="single" w:sz="4" w:space="0" w:color="FFFFFF"/>
              <w:bottom w:val="single" w:sz="18" w:space="0" w:color="4F81BD" w:themeColor="accent1"/>
              <w:right w:val="nil"/>
            </w:tcBorders>
            <w:shd w:val="clear" w:color="000000" w:fill="D9D9D9"/>
            <w:vAlign w:val="center"/>
            <w:hideMark/>
          </w:tcPr>
          <w:p w14:paraId="7999B2FA" w14:textId="77777777" w:rsidR="00811BEC" w:rsidRPr="003E7BBB" w:rsidRDefault="00811BEC" w:rsidP="00811BEC">
            <w:pPr>
              <w:pStyle w:val="Tabletext"/>
              <w:spacing w:line="260" w:lineRule="exact"/>
              <w:jc w:val="center"/>
            </w:pPr>
            <w:r w:rsidRPr="003E7BBB">
              <w:t>0.3</w:t>
            </w:r>
          </w:p>
        </w:tc>
        <w:tc>
          <w:tcPr>
            <w:tcW w:w="695" w:type="dxa"/>
            <w:tcBorders>
              <w:top w:val="single" w:sz="4" w:space="0" w:color="FFFFFF"/>
              <w:left w:val="nil"/>
              <w:bottom w:val="single" w:sz="18" w:space="0" w:color="4F81BD" w:themeColor="accent1"/>
              <w:right w:val="nil"/>
            </w:tcBorders>
            <w:shd w:val="clear" w:color="000000" w:fill="D9D9D9"/>
            <w:vAlign w:val="center"/>
            <w:hideMark/>
          </w:tcPr>
          <w:p w14:paraId="187422E6" w14:textId="77777777" w:rsidR="00811BEC" w:rsidRPr="003E7BBB" w:rsidRDefault="00811BEC" w:rsidP="00811BEC">
            <w:pPr>
              <w:pStyle w:val="Tabletext"/>
              <w:spacing w:line="260" w:lineRule="exact"/>
              <w:jc w:val="center"/>
            </w:pPr>
            <w:r w:rsidRPr="003E7BBB">
              <w:t>0.3</w:t>
            </w:r>
          </w:p>
        </w:tc>
        <w:tc>
          <w:tcPr>
            <w:tcW w:w="695" w:type="dxa"/>
            <w:tcBorders>
              <w:top w:val="single" w:sz="4" w:space="0" w:color="FFFFFF"/>
              <w:left w:val="nil"/>
              <w:bottom w:val="single" w:sz="18" w:space="0" w:color="4F81BD" w:themeColor="accent1"/>
              <w:right w:val="nil"/>
            </w:tcBorders>
            <w:shd w:val="clear" w:color="000000" w:fill="D9D9D9"/>
            <w:vAlign w:val="center"/>
            <w:hideMark/>
          </w:tcPr>
          <w:p w14:paraId="3A6B9D28" w14:textId="77777777" w:rsidR="00811BEC" w:rsidRPr="003E7BBB" w:rsidRDefault="00811BEC" w:rsidP="00811BEC">
            <w:pPr>
              <w:pStyle w:val="Tabletext"/>
              <w:spacing w:line="260" w:lineRule="exact"/>
              <w:jc w:val="center"/>
            </w:pPr>
            <w:r w:rsidRPr="003E7BBB">
              <w:t>0.6</w:t>
            </w:r>
          </w:p>
        </w:tc>
        <w:tc>
          <w:tcPr>
            <w:tcW w:w="695" w:type="dxa"/>
            <w:tcBorders>
              <w:top w:val="single" w:sz="4" w:space="0" w:color="FFFFFF"/>
              <w:left w:val="nil"/>
              <w:bottom w:val="single" w:sz="18" w:space="0" w:color="4F81BD" w:themeColor="accent1"/>
              <w:right w:val="nil"/>
            </w:tcBorders>
            <w:shd w:val="clear" w:color="000000" w:fill="D9D9D9"/>
            <w:vAlign w:val="center"/>
            <w:hideMark/>
          </w:tcPr>
          <w:p w14:paraId="4D78EBEF" w14:textId="77777777" w:rsidR="00811BEC" w:rsidRPr="003E7BBB" w:rsidRDefault="00811BEC" w:rsidP="00811BEC">
            <w:pPr>
              <w:pStyle w:val="Tabletext"/>
              <w:spacing w:line="260" w:lineRule="exact"/>
              <w:jc w:val="center"/>
            </w:pPr>
            <w:r w:rsidRPr="003E7BBB">
              <w:t>0.8</w:t>
            </w:r>
          </w:p>
        </w:tc>
      </w:tr>
    </w:tbl>
    <w:p w14:paraId="25C9F60D" w14:textId="77777777" w:rsidR="003E7BBB" w:rsidRPr="003E7BBB" w:rsidRDefault="003E7BBB" w:rsidP="003E7BBB">
      <w:pPr>
        <w:rPr>
          <w:lang w:val="en-US" w:eastAsia="en-US"/>
        </w:rPr>
      </w:pPr>
    </w:p>
    <w:p w14:paraId="4FF1070C" w14:textId="77777777" w:rsidR="00FE49FB" w:rsidRPr="00FE49FB" w:rsidRDefault="00FE49FB" w:rsidP="00282B45">
      <w:pPr>
        <w:pStyle w:val="Heading2"/>
        <w:numPr>
          <w:ilvl w:val="1"/>
          <w:numId w:val="2"/>
        </w:numPr>
        <w:spacing w:before="480" w:after="60"/>
        <w:ind w:left="567" w:hanging="567"/>
      </w:pPr>
      <w:bookmarkStart w:id="16" w:name="_Toc228279079"/>
      <w:r w:rsidRPr="00FE49FB">
        <w:lastRenderedPageBreak/>
        <w:t>Fiscal outlook 2026</w:t>
      </w:r>
      <w:bookmarkEnd w:id="16"/>
    </w:p>
    <w:p w14:paraId="6CA82548" w14:textId="77777777" w:rsidR="00FE49FB" w:rsidRDefault="00FE49FB" w:rsidP="007F16F9">
      <w:pPr>
        <w:rPr>
          <w:lang w:val="en-US"/>
        </w:rPr>
      </w:pPr>
      <w:r>
        <w:rPr>
          <w:lang w:val="en-US"/>
        </w:rPr>
        <w:t xml:space="preserve">For 2026, a sustainable primary surplus of +3.2% of GDP is expected to be achieved, based on the solid growth path of the economy. The headline budget is estimated to remain in positive ground reaching +0.2% of GDP, significantly above the -3% of GDP Treaty reference value. </w:t>
      </w:r>
    </w:p>
    <w:p w14:paraId="09AB37C4" w14:textId="20DF2DFB" w:rsidR="00FE49FB" w:rsidRDefault="002B0D7B" w:rsidP="00282B45">
      <w:pPr>
        <w:pStyle w:val="Caption"/>
        <w:spacing w:after="200"/>
        <w:rPr>
          <w:b w:val="0"/>
        </w:rPr>
      </w:pPr>
      <w:bookmarkStart w:id="17" w:name="_Toc228279118"/>
      <w:r>
        <w:rPr>
          <w:noProof/>
        </w:rPr>
        <w:drawing>
          <wp:anchor distT="0" distB="0" distL="114300" distR="114300" simplePos="0" relativeHeight="251679744" behindDoc="0" locked="0" layoutInCell="1" allowOverlap="1" wp14:anchorId="0824501F" wp14:editId="01D37333">
            <wp:simplePos x="0" y="0"/>
            <wp:positionH relativeFrom="column">
              <wp:posOffset>343535</wp:posOffset>
            </wp:positionH>
            <wp:positionV relativeFrom="paragraph">
              <wp:posOffset>316865</wp:posOffset>
            </wp:positionV>
            <wp:extent cx="4848225" cy="3103880"/>
            <wp:effectExtent l="0" t="0" r="9525" b="127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48225" cy="3103880"/>
                    </a:xfrm>
                    <a:prstGeom prst="rect">
                      <a:avLst/>
                    </a:prstGeom>
                    <a:noFill/>
                  </pic:spPr>
                </pic:pic>
              </a:graphicData>
            </a:graphic>
          </wp:anchor>
        </w:drawing>
      </w:r>
      <w:r w:rsidR="00FE49FB">
        <w:t xml:space="preserve">Figure </w:t>
      </w:r>
      <w:r w:rsidR="00B6443E">
        <w:fldChar w:fldCharType="begin"/>
      </w:r>
      <w:r w:rsidR="00FE49FB">
        <w:instrText xml:space="preserve"> SEQ Figure \* ARABIC </w:instrText>
      </w:r>
      <w:r w:rsidR="00B6443E">
        <w:fldChar w:fldCharType="separate"/>
      </w:r>
      <w:r w:rsidR="000B61F1">
        <w:rPr>
          <w:noProof/>
        </w:rPr>
        <w:t>1</w:t>
      </w:r>
      <w:r w:rsidR="00B6443E">
        <w:fldChar w:fldCharType="end"/>
      </w:r>
      <w:r w:rsidR="00FE49FB">
        <w:t xml:space="preserve"> | General Government primary balance                                        </w:t>
      </w:r>
      <w:r w:rsidR="00FE49FB" w:rsidRPr="00EA52AD">
        <w:rPr>
          <w:b w:val="0"/>
        </w:rPr>
        <w:t>(% of GDP)</w:t>
      </w:r>
      <w:bookmarkEnd w:id="17"/>
    </w:p>
    <w:p w14:paraId="08871061" w14:textId="77777777" w:rsidR="002B0D7B" w:rsidRPr="002B0D7B" w:rsidRDefault="002B0D7B" w:rsidP="002B0D7B">
      <w:pPr>
        <w:rPr>
          <w:lang w:val="en-US" w:eastAsia="en-US"/>
        </w:rPr>
      </w:pPr>
    </w:p>
    <w:p w14:paraId="408C193A" w14:textId="77777777" w:rsidR="00FE49FB" w:rsidRPr="00EA52AD" w:rsidRDefault="00FE49FB" w:rsidP="00282B45">
      <w:pPr>
        <w:pStyle w:val="Source"/>
        <w:pBdr>
          <w:top w:val="single" w:sz="18" w:space="1" w:color="4F81BD" w:themeColor="accent1"/>
        </w:pBdr>
        <w:spacing w:after="200"/>
      </w:pPr>
      <w:r>
        <w:t>* Projections</w:t>
      </w:r>
    </w:p>
    <w:p w14:paraId="59B0A48E" w14:textId="3C0427E8" w:rsidR="00FE49FB" w:rsidRDefault="00FE49FB" w:rsidP="007F16F9">
      <w:pPr>
        <w:rPr>
          <w:lang w:val="en-US"/>
        </w:rPr>
      </w:pPr>
      <w:r>
        <w:rPr>
          <w:lang w:val="en-US"/>
        </w:rPr>
        <w:t xml:space="preserve">The improvement of the primary surplus compared to the Draft Budgetary Plan 2026 (+0.4 pp) is mainly attributed to the positive carry over effect of tax and other current revenue collection, </w:t>
      </w:r>
      <w:r w:rsidR="00F16820" w:rsidRPr="00F16820">
        <w:rPr>
          <w:lang w:val="en-US"/>
        </w:rPr>
        <w:t>as well as under</w:t>
      </w:r>
      <w:r w:rsidR="00F16820">
        <w:rPr>
          <w:lang w:val="en-US"/>
        </w:rPr>
        <w:t>-</w:t>
      </w:r>
      <w:r w:rsidR="00F16820" w:rsidRPr="00F16820">
        <w:rPr>
          <w:lang w:val="en-US"/>
        </w:rPr>
        <w:t xml:space="preserve">expenditure in the ordinary budget estimated on basis of the </w:t>
      </w:r>
      <w:r w:rsidR="005B470E">
        <w:rPr>
          <w:lang w:val="en-US"/>
        </w:rPr>
        <w:t xml:space="preserve">final </w:t>
      </w:r>
      <w:r w:rsidR="00F16820" w:rsidRPr="00F16820">
        <w:rPr>
          <w:lang w:val="en-US"/>
        </w:rPr>
        <w:t>2025 data</w:t>
      </w:r>
      <w:r w:rsidR="00F16820">
        <w:rPr>
          <w:lang w:val="en-US"/>
        </w:rPr>
        <w:t>,</w:t>
      </w:r>
      <w:r w:rsidR="00F16820" w:rsidRPr="00F16820">
        <w:rPr>
          <w:lang w:val="en-US"/>
        </w:rPr>
        <w:t xml:space="preserve"> </w:t>
      </w:r>
      <w:r>
        <w:rPr>
          <w:lang w:val="en-US"/>
        </w:rPr>
        <w:t xml:space="preserve">partly offset by the inclusion of targeted supportive interventions with a total cost of 0.3% of GDP that were announced in spring 2026. The majority of new measures (0.2% of GDP) are temporary and aim to cushioning the impact of increasing energy and inflation costs on households and businesses triggered by the Middle East war. </w:t>
      </w:r>
    </w:p>
    <w:p w14:paraId="68A5B74C" w14:textId="74112E81" w:rsidR="00FE49FB" w:rsidRDefault="00FE49FB" w:rsidP="007F16F9">
      <w:pPr>
        <w:rPr>
          <w:lang w:val="en-US"/>
        </w:rPr>
      </w:pPr>
      <w:r>
        <w:rPr>
          <w:lang w:val="en-US"/>
        </w:rPr>
        <w:t>Apart from the above, the decrease of the estimated general government balance compared to the previous year is mainly attributed to the inclusion of new, growth enhancive and supporting policy measures, that amount to 0.7% of GDP and were announced during the Thessaloniki International Fair 2025. Their adoption was enabled by the prudent fiscal policy followed and the effective tax evasion policies. They stand within the fiscal boundaries and targets of the new fiscal framework and are presented in detail in the following section</w:t>
      </w:r>
      <w:r w:rsidR="00906C15">
        <w:rPr>
          <w:lang w:val="en-US"/>
        </w:rPr>
        <w:t xml:space="preserve"> 3.4</w:t>
      </w:r>
      <w:r>
        <w:rPr>
          <w:lang w:val="en-US"/>
        </w:rPr>
        <w:t>.</w:t>
      </w:r>
    </w:p>
    <w:p w14:paraId="3875C50A" w14:textId="77777777" w:rsidR="00FE49FB" w:rsidRDefault="00FE49FB" w:rsidP="007F16F9">
      <w:pPr>
        <w:rPr>
          <w:lang w:val="en-US"/>
        </w:rPr>
      </w:pPr>
      <w:r>
        <w:rPr>
          <w:lang w:val="en-US"/>
        </w:rPr>
        <w:t xml:space="preserve">The tax and social security contribution revenues grow further in 2026, due to the robust growth of the economy. The additional revenues are expected to cover the typical annual increases of operational expenditure following the inflation, the yearly increase of pensions and public sector wages and other emerging needs. In addition, Greece is implementing a comprehensive </w:t>
      </w:r>
      <w:r>
        <w:rPr>
          <w:lang w:val="en-US"/>
        </w:rPr>
        <w:lastRenderedPageBreak/>
        <w:t>military investment programme addressing current geopolitical needs, increasing the military deliveries by 0.2 pp of GDP, compared to the previous year.</w:t>
      </w:r>
    </w:p>
    <w:p w14:paraId="1914CFBA" w14:textId="77777777" w:rsidR="00FE49FB" w:rsidRPr="0067063E" w:rsidRDefault="00FE49FB" w:rsidP="00282B45">
      <w:pPr>
        <w:pStyle w:val="Heading2"/>
        <w:numPr>
          <w:ilvl w:val="1"/>
          <w:numId w:val="2"/>
        </w:numPr>
        <w:spacing w:before="240" w:after="60" w:line="280" w:lineRule="exact"/>
        <w:ind w:left="567" w:hanging="567"/>
        <w:rPr>
          <w:lang w:val="en-US"/>
        </w:rPr>
      </w:pPr>
      <w:bookmarkStart w:id="18" w:name="_Toc228279080"/>
      <w:r w:rsidRPr="0067063E">
        <w:rPr>
          <w:lang w:val="en-US"/>
        </w:rPr>
        <w:t>Net expenditure growth</w:t>
      </w:r>
      <w:bookmarkEnd w:id="18"/>
    </w:p>
    <w:p w14:paraId="4E71C3CC" w14:textId="77777777" w:rsidR="00FE49FB" w:rsidRDefault="00FE49FB" w:rsidP="007F16F9">
      <w:pPr>
        <w:rPr>
          <w:lang w:val="en-US"/>
        </w:rPr>
      </w:pPr>
      <w:r>
        <w:rPr>
          <w:lang w:val="en-US"/>
        </w:rPr>
        <w:t>The reformed European economic governance framework entered into force in April 2024. In July 2025, Greece completed the transposition of the relevant Directive into its national law. In the new framework, the net expenditure indicator plays a central role, as it has become the single operational reference for fiscal surveillance, anchored in debt sustainability.</w:t>
      </w:r>
    </w:p>
    <w:p w14:paraId="7D714FE8" w14:textId="77777777" w:rsidR="00FE49FB" w:rsidRDefault="00FE49FB" w:rsidP="007F16F9">
      <w:pPr>
        <w:rPr>
          <w:lang w:val="en-US"/>
        </w:rPr>
      </w:pPr>
      <w:r>
        <w:rPr>
          <w:lang w:val="en-US"/>
        </w:rPr>
        <w:t>It should be noted that, after the relevant Council recommendation, Greece activated the national escape clause that allows the deviation from the maximum growth rates of net expenditure set, to the extent of the increase of defence expenditure compared to the relevant expenditure of 2024, as percentage of GDP.</w:t>
      </w:r>
    </w:p>
    <w:p w14:paraId="7F137F93" w14:textId="77777777" w:rsidR="00FE49FB" w:rsidRDefault="00FE49FB" w:rsidP="007F16F9">
      <w:pPr>
        <w:rPr>
          <w:lang w:val="en-US"/>
        </w:rPr>
      </w:pPr>
      <w:r>
        <w:rPr>
          <w:lang w:val="en-US"/>
        </w:rPr>
        <w:t>For 2025, the net expenditure increase is estimated at 2.9%, while the maximum growth rate recommended by the Council was +3.7%. The 2025 net expenditure level was affected by both the lower than anticipated general government spending and the inclusion of discretionary revenue measures that increased tax collection and tax compliance, such as the interconnection of POS with cash register machines and tax authorities, the full application of the “</w:t>
      </w:r>
      <w:proofErr w:type="spellStart"/>
      <w:r>
        <w:rPr>
          <w:lang w:val="en-US"/>
        </w:rPr>
        <w:t>myDATA</w:t>
      </w:r>
      <w:proofErr w:type="spellEnd"/>
      <w:r>
        <w:rPr>
          <w:lang w:val="en-US"/>
        </w:rPr>
        <w:t>” platform and electronic invoices, the digital labour card and others.</w:t>
      </w:r>
    </w:p>
    <w:p w14:paraId="2A1213D4" w14:textId="1FCB93B2" w:rsidR="00FC1332" w:rsidRDefault="00FC1332" w:rsidP="00282B45">
      <w:pPr>
        <w:pStyle w:val="Caption"/>
        <w:spacing w:after="0" w:line="280" w:lineRule="exact"/>
      </w:pPr>
      <w:bookmarkStart w:id="19" w:name="_Toc228374159"/>
      <w:r>
        <w:t xml:space="preserve">Table </w:t>
      </w:r>
      <w:r w:rsidR="00B6443E">
        <w:fldChar w:fldCharType="begin"/>
      </w:r>
      <w:r>
        <w:instrText xml:space="preserve"> SEQ Table \* ARABIC </w:instrText>
      </w:r>
      <w:r w:rsidR="00B6443E">
        <w:fldChar w:fldCharType="separate"/>
      </w:r>
      <w:r w:rsidR="000B61F1">
        <w:rPr>
          <w:noProof/>
        </w:rPr>
        <w:t>5</w:t>
      </w:r>
      <w:r w:rsidR="00B6443E">
        <w:fldChar w:fldCharType="end"/>
      </w:r>
      <w:r>
        <w:t xml:space="preserve"> | </w:t>
      </w:r>
      <w:r w:rsidRPr="00FC1332">
        <w:t>Fiscal commitments</w:t>
      </w:r>
      <w:bookmarkEnd w:id="19"/>
    </w:p>
    <w:tbl>
      <w:tblPr>
        <w:tblW w:w="8905" w:type="dxa"/>
        <w:jc w:val="center"/>
        <w:tblLook w:val="04A0" w:firstRow="1" w:lastRow="0" w:firstColumn="1" w:lastColumn="0" w:noHBand="0" w:noVBand="1"/>
      </w:tblPr>
      <w:tblGrid>
        <w:gridCol w:w="6379"/>
        <w:gridCol w:w="842"/>
        <w:gridCol w:w="842"/>
        <w:gridCol w:w="842"/>
      </w:tblGrid>
      <w:tr w:rsidR="00AF5D05" w:rsidRPr="002406CD" w14:paraId="05029E51" w14:textId="77777777" w:rsidTr="00282B45">
        <w:trPr>
          <w:trHeight w:val="170"/>
          <w:jc w:val="center"/>
        </w:trPr>
        <w:tc>
          <w:tcPr>
            <w:tcW w:w="6379" w:type="dxa"/>
            <w:tcBorders>
              <w:top w:val="nil"/>
              <w:left w:val="nil"/>
              <w:bottom w:val="nil"/>
              <w:right w:val="nil"/>
            </w:tcBorders>
            <w:shd w:val="clear" w:color="000000" w:fill="BFBFBF"/>
            <w:vAlign w:val="center"/>
            <w:hideMark/>
          </w:tcPr>
          <w:p w14:paraId="128F7560" w14:textId="77777777" w:rsidR="00AF5D05" w:rsidRPr="002406CD" w:rsidRDefault="00AF5D05" w:rsidP="00282B45">
            <w:pPr>
              <w:spacing w:after="0" w:line="280" w:lineRule="exact"/>
              <w:jc w:val="left"/>
              <w:rPr>
                <w:rFonts w:ascii="Calibri" w:eastAsia="Times New Roman" w:hAnsi="Calibri" w:cs="Calibri"/>
                <w:b/>
                <w:bCs/>
                <w:color w:val="000000"/>
                <w:sz w:val="22"/>
              </w:rPr>
            </w:pPr>
            <w:r w:rsidRPr="002406CD">
              <w:rPr>
                <w:rFonts w:ascii="Calibri" w:eastAsia="Times New Roman" w:hAnsi="Calibri" w:cs="Calibri"/>
                <w:b/>
                <w:bCs/>
                <w:color w:val="000000"/>
                <w:sz w:val="22"/>
              </w:rPr>
              <w:t> </w:t>
            </w:r>
          </w:p>
        </w:tc>
        <w:tc>
          <w:tcPr>
            <w:tcW w:w="842" w:type="dxa"/>
            <w:tcBorders>
              <w:top w:val="nil"/>
              <w:left w:val="nil"/>
              <w:bottom w:val="nil"/>
              <w:right w:val="nil"/>
            </w:tcBorders>
            <w:shd w:val="clear" w:color="000000" w:fill="BFBFBF"/>
            <w:vAlign w:val="center"/>
            <w:hideMark/>
          </w:tcPr>
          <w:p w14:paraId="249690AF" w14:textId="77777777" w:rsidR="00AF5D05" w:rsidRPr="002406CD" w:rsidRDefault="00AF5D05" w:rsidP="00282B45">
            <w:pPr>
              <w:spacing w:after="0" w:line="280" w:lineRule="exact"/>
              <w:jc w:val="center"/>
              <w:rPr>
                <w:rFonts w:ascii="Calibri" w:eastAsia="Times New Roman" w:hAnsi="Calibri" w:cs="Calibri"/>
                <w:b/>
                <w:bCs/>
                <w:color w:val="000000"/>
                <w:sz w:val="22"/>
              </w:rPr>
            </w:pPr>
            <w:r w:rsidRPr="002406CD">
              <w:rPr>
                <w:rFonts w:ascii="Calibri" w:eastAsia="Times New Roman" w:hAnsi="Calibri" w:cs="Calibri"/>
                <w:b/>
                <w:bCs/>
                <w:color w:val="000000"/>
                <w:sz w:val="22"/>
              </w:rPr>
              <w:t>2024</w:t>
            </w:r>
          </w:p>
        </w:tc>
        <w:tc>
          <w:tcPr>
            <w:tcW w:w="842" w:type="dxa"/>
            <w:tcBorders>
              <w:top w:val="nil"/>
              <w:left w:val="nil"/>
              <w:bottom w:val="nil"/>
              <w:right w:val="nil"/>
            </w:tcBorders>
            <w:shd w:val="clear" w:color="000000" w:fill="BFBFBF"/>
            <w:vAlign w:val="center"/>
            <w:hideMark/>
          </w:tcPr>
          <w:p w14:paraId="3F3954E1" w14:textId="77777777" w:rsidR="00AF5D05" w:rsidRPr="002406CD" w:rsidRDefault="00AF5D05" w:rsidP="00282B45">
            <w:pPr>
              <w:spacing w:after="0" w:line="280" w:lineRule="exact"/>
              <w:jc w:val="center"/>
              <w:rPr>
                <w:rFonts w:ascii="Calibri" w:eastAsia="Times New Roman" w:hAnsi="Calibri" w:cs="Calibri"/>
                <w:b/>
                <w:bCs/>
                <w:color w:val="000000"/>
                <w:sz w:val="22"/>
              </w:rPr>
            </w:pPr>
            <w:r w:rsidRPr="002406CD">
              <w:rPr>
                <w:rFonts w:ascii="Calibri" w:eastAsia="Times New Roman" w:hAnsi="Calibri" w:cs="Calibri"/>
                <w:b/>
                <w:bCs/>
                <w:color w:val="000000"/>
                <w:sz w:val="22"/>
              </w:rPr>
              <w:t>2025</w:t>
            </w:r>
          </w:p>
        </w:tc>
        <w:tc>
          <w:tcPr>
            <w:tcW w:w="842" w:type="dxa"/>
            <w:tcBorders>
              <w:top w:val="nil"/>
              <w:left w:val="nil"/>
              <w:bottom w:val="nil"/>
              <w:right w:val="nil"/>
            </w:tcBorders>
            <w:shd w:val="clear" w:color="000000" w:fill="BFBFBF"/>
            <w:vAlign w:val="center"/>
            <w:hideMark/>
          </w:tcPr>
          <w:p w14:paraId="157A0446" w14:textId="77777777" w:rsidR="00AF5D05" w:rsidRPr="002406CD" w:rsidRDefault="00AF5D05" w:rsidP="00282B45">
            <w:pPr>
              <w:spacing w:after="0" w:line="280" w:lineRule="exact"/>
              <w:jc w:val="center"/>
              <w:rPr>
                <w:rFonts w:ascii="Calibri" w:eastAsia="Times New Roman" w:hAnsi="Calibri" w:cs="Calibri"/>
                <w:b/>
                <w:bCs/>
                <w:color w:val="000000"/>
                <w:sz w:val="22"/>
              </w:rPr>
            </w:pPr>
            <w:r w:rsidRPr="002406CD">
              <w:rPr>
                <w:rFonts w:ascii="Calibri" w:eastAsia="Times New Roman" w:hAnsi="Calibri" w:cs="Calibri"/>
                <w:b/>
                <w:bCs/>
                <w:color w:val="000000"/>
                <w:sz w:val="22"/>
              </w:rPr>
              <w:t>2026</w:t>
            </w:r>
          </w:p>
        </w:tc>
      </w:tr>
      <w:tr w:rsidR="00AF5D05" w:rsidRPr="002406CD" w14:paraId="0C720006" w14:textId="77777777" w:rsidTr="009C18D5">
        <w:trPr>
          <w:trHeight w:val="419"/>
          <w:jc w:val="center"/>
        </w:trPr>
        <w:tc>
          <w:tcPr>
            <w:tcW w:w="6379" w:type="dxa"/>
            <w:tcBorders>
              <w:top w:val="nil"/>
              <w:left w:val="nil"/>
              <w:bottom w:val="nil"/>
              <w:right w:val="nil"/>
            </w:tcBorders>
            <w:shd w:val="clear" w:color="000000" w:fill="D6DCE4"/>
            <w:vAlign w:val="center"/>
            <w:hideMark/>
          </w:tcPr>
          <w:p w14:paraId="50803555" w14:textId="77777777" w:rsidR="00AF5D05" w:rsidRPr="002406CD" w:rsidRDefault="00AF5D05" w:rsidP="00282B45">
            <w:pPr>
              <w:pStyle w:val="Tabletext"/>
              <w:spacing w:line="280" w:lineRule="exact"/>
              <w:rPr>
                <w:b/>
              </w:rPr>
            </w:pPr>
            <w:r w:rsidRPr="002406CD">
              <w:rPr>
                <w:b/>
              </w:rPr>
              <w:t>Council recommendation</w:t>
            </w:r>
          </w:p>
        </w:tc>
        <w:tc>
          <w:tcPr>
            <w:tcW w:w="842" w:type="dxa"/>
            <w:tcBorders>
              <w:top w:val="nil"/>
              <w:left w:val="nil"/>
              <w:bottom w:val="nil"/>
              <w:right w:val="nil"/>
            </w:tcBorders>
            <w:shd w:val="clear" w:color="000000" w:fill="D6DCE4"/>
            <w:vAlign w:val="center"/>
            <w:hideMark/>
          </w:tcPr>
          <w:p w14:paraId="618AE8A6" w14:textId="77777777" w:rsidR="00AF5D05" w:rsidRPr="002406CD" w:rsidRDefault="00AF5D05" w:rsidP="00282B45">
            <w:pPr>
              <w:pStyle w:val="Tabletext"/>
              <w:spacing w:line="280" w:lineRule="exact"/>
              <w:jc w:val="center"/>
              <w:rPr>
                <w:b/>
              </w:rPr>
            </w:pPr>
          </w:p>
        </w:tc>
        <w:tc>
          <w:tcPr>
            <w:tcW w:w="842" w:type="dxa"/>
            <w:tcBorders>
              <w:top w:val="nil"/>
              <w:left w:val="nil"/>
              <w:bottom w:val="nil"/>
              <w:right w:val="nil"/>
            </w:tcBorders>
            <w:shd w:val="clear" w:color="000000" w:fill="D6DCE4"/>
            <w:vAlign w:val="center"/>
            <w:hideMark/>
          </w:tcPr>
          <w:p w14:paraId="290C224A" w14:textId="77777777" w:rsidR="00AF5D05" w:rsidRPr="002406CD" w:rsidRDefault="00AF5D05" w:rsidP="00282B45">
            <w:pPr>
              <w:pStyle w:val="Tabletext"/>
              <w:spacing w:line="280" w:lineRule="exact"/>
              <w:jc w:val="center"/>
              <w:rPr>
                <w:b/>
              </w:rPr>
            </w:pPr>
          </w:p>
        </w:tc>
        <w:tc>
          <w:tcPr>
            <w:tcW w:w="842" w:type="dxa"/>
            <w:tcBorders>
              <w:top w:val="nil"/>
              <w:left w:val="nil"/>
              <w:bottom w:val="nil"/>
              <w:right w:val="nil"/>
            </w:tcBorders>
            <w:shd w:val="clear" w:color="000000" w:fill="D6DCE4"/>
            <w:vAlign w:val="center"/>
            <w:hideMark/>
          </w:tcPr>
          <w:p w14:paraId="518C3FA2" w14:textId="77777777" w:rsidR="00AF5D05" w:rsidRPr="002406CD" w:rsidRDefault="00AF5D05" w:rsidP="00282B45">
            <w:pPr>
              <w:pStyle w:val="Tabletext"/>
              <w:spacing w:line="280" w:lineRule="exact"/>
              <w:jc w:val="center"/>
              <w:rPr>
                <w:b/>
              </w:rPr>
            </w:pPr>
          </w:p>
        </w:tc>
      </w:tr>
      <w:tr w:rsidR="00AF5D05" w:rsidRPr="002406CD" w14:paraId="355A8D74" w14:textId="77777777" w:rsidTr="00282B45">
        <w:trPr>
          <w:trHeight w:val="170"/>
          <w:jc w:val="center"/>
        </w:trPr>
        <w:tc>
          <w:tcPr>
            <w:tcW w:w="6379" w:type="dxa"/>
            <w:tcBorders>
              <w:top w:val="nil"/>
              <w:left w:val="nil"/>
              <w:bottom w:val="single" w:sz="4" w:space="0" w:color="FFFFFF"/>
              <w:right w:val="nil"/>
            </w:tcBorders>
            <w:shd w:val="clear" w:color="000000" w:fill="F2F2F2"/>
            <w:vAlign w:val="center"/>
            <w:hideMark/>
          </w:tcPr>
          <w:p w14:paraId="0C779550" w14:textId="77777777" w:rsidR="00AF5D05" w:rsidRPr="002406CD" w:rsidRDefault="00AF5D05" w:rsidP="00282B45">
            <w:pPr>
              <w:pStyle w:val="Tabletext"/>
              <w:spacing w:line="280" w:lineRule="exact"/>
            </w:pPr>
            <w:r w:rsidRPr="002406CD">
              <w:t xml:space="preserve">1a. Net nationally financed primary expenditure </w:t>
            </w:r>
            <w:r>
              <w:br/>
            </w:r>
            <w:r w:rsidRPr="002406CD">
              <w:t>(annual growth rate)</w:t>
            </w:r>
          </w:p>
        </w:tc>
        <w:tc>
          <w:tcPr>
            <w:tcW w:w="842" w:type="dxa"/>
            <w:tcBorders>
              <w:top w:val="nil"/>
              <w:left w:val="nil"/>
              <w:bottom w:val="single" w:sz="4" w:space="0" w:color="FFFFFF"/>
              <w:right w:val="nil"/>
            </w:tcBorders>
            <w:shd w:val="clear" w:color="000000" w:fill="F2F2F2"/>
            <w:vAlign w:val="center"/>
            <w:hideMark/>
          </w:tcPr>
          <w:p w14:paraId="62A7DB34" w14:textId="77777777" w:rsidR="00AF5D05" w:rsidRPr="002406CD" w:rsidRDefault="00AF5D05" w:rsidP="00282B45">
            <w:pPr>
              <w:pStyle w:val="Tabletext"/>
              <w:spacing w:line="280" w:lineRule="exact"/>
              <w:jc w:val="center"/>
            </w:pPr>
            <w:r w:rsidRPr="002406CD">
              <w:t>2.6</w:t>
            </w:r>
          </w:p>
        </w:tc>
        <w:tc>
          <w:tcPr>
            <w:tcW w:w="842" w:type="dxa"/>
            <w:tcBorders>
              <w:top w:val="nil"/>
              <w:left w:val="nil"/>
              <w:bottom w:val="single" w:sz="4" w:space="0" w:color="FFFFFF"/>
              <w:right w:val="nil"/>
            </w:tcBorders>
            <w:shd w:val="clear" w:color="000000" w:fill="F2F2F2"/>
            <w:vAlign w:val="center"/>
            <w:hideMark/>
          </w:tcPr>
          <w:p w14:paraId="5C913C1F" w14:textId="77777777" w:rsidR="00AF5D05" w:rsidRPr="002406CD" w:rsidRDefault="00AF5D05" w:rsidP="00282B45">
            <w:pPr>
              <w:pStyle w:val="Tabletext"/>
              <w:spacing w:line="280" w:lineRule="exact"/>
              <w:jc w:val="center"/>
            </w:pPr>
            <w:r w:rsidRPr="002406CD">
              <w:t>3.7</w:t>
            </w:r>
          </w:p>
        </w:tc>
        <w:tc>
          <w:tcPr>
            <w:tcW w:w="842" w:type="dxa"/>
            <w:tcBorders>
              <w:top w:val="nil"/>
              <w:left w:val="nil"/>
              <w:bottom w:val="single" w:sz="4" w:space="0" w:color="FFFFFF"/>
              <w:right w:val="nil"/>
            </w:tcBorders>
            <w:shd w:val="clear" w:color="000000" w:fill="F2F2F2"/>
            <w:vAlign w:val="center"/>
            <w:hideMark/>
          </w:tcPr>
          <w:p w14:paraId="4ABC501F" w14:textId="77777777" w:rsidR="00AF5D05" w:rsidRPr="002406CD" w:rsidRDefault="00AF5D05" w:rsidP="00282B45">
            <w:pPr>
              <w:pStyle w:val="Tabletext"/>
              <w:spacing w:line="280" w:lineRule="exact"/>
              <w:jc w:val="center"/>
            </w:pPr>
            <w:r w:rsidRPr="002406CD">
              <w:t>3.6</w:t>
            </w:r>
          </w:p>
        </w:tc>
      </w:tr>
      <w:tr w:rsidR="00AF5D05" w:rsidRPr="002406CD" w14:paraId="56723206" w14:textId="77777777" w:rsidTr="00282B45">
        <w:trPr>
          <w:trHeight w:val="170"/>
          <w:jc w:val="center"/>
        </w:trPr>
        <w:tc>
          <w:tcPr>
            <w:tcW w:w="6379" w:type="dxa"/>
            <w:tcBorders>
              <w:top w:val="nil"/>
              <w:left w:val="nil"/>
              <w:bottom w:val="single" w:sz="4" w:space="0" w:color="FFFFFF"/>
              <w:right w:val="nil"/>
            </w:tcBorders>
            <w:shd w:val="clear" w:color="000000" w:fill="D9D9D9"/>
            <w:vAlign w:val="center"/>
            <w:hideMark/>
          </w:tcPr>
          <w:p w14:paraId="6DF16CF6" w14:textId="77777777" w:rsidR="00AF5D05" w:rsidRPr="002406CD" w:rsidRDefault="00AF5D05" w:rsidP="00282B45">
            <w:pPr>
              <w:pStyle w:val="Tabletext"/>
              <w:spacing w:line="280" w:lineRule="exact"/>
            </w:pPr>
            <w:r w:rsidRPr="002406CD">
              <w:t xml:space="preserve">2a. Net nationally financed primary expenditure </w:t>
            </w:r>
            <w:r>
              <w:br/>
            </w:r>
            <w:r w:rsidRPr="002406CD">
              <w:t>(cumulative growth rate)</w:t>
            </w:r>
          </w:p>
        </w:tc>
        <w:tc>
          <w:tcPr>
            <w:tcW w:w="842" w:type="dxa"/>
            <w:tcBorders>
              <w:top w:val="nil"/>
              <w:left w:val="nil"/>
              <w:bottom w:val="single" w:sz="4" w:space="0" w:color="FFFFFF"/>
              <w:right w:val="nil"/>
            </w:tcBorders>
            <w:shd w:val="clear" w:color="000000" w:fill="D9D9D9"/>
            <w:vAlign w:val="center"/>
            <w:hideMark/>
          </w:tcPr>
          <w:p w14:paraId="61EE00B1" w14:textId="77777777" w:rsidR="00AF5D05" w:rsidRPr="002406CD" w:rsidRDefault="00AF5D05" w:rsidP="00282B45">
            <w:pPr>
              <w:pStyle w:val="Tabletext"/>
              <w:spacing w:line="280" w:lineRule="exact"/>
              <w:jc w:val="center"/>
            </w:pPr>
            <w:r w:rsidRPr="002406CD">
              <w:t>2.6</w:t>
            </w:r>
          </w:p>
        </w:tc>
        <w:tc>
          <w:tcPr>
            <w:tcW w:w="842" w:type="dxa"/>
            <w:tcBorders>
              <w:top w:val="nil"/>
              <w:left w:val="nil"/>
              <w:bottom w:val="single" w:sz="4" w:space="0" w:color="FFFFFF"/>
              <w:right w:val="nil"/>
            </w:tcBorders>
            <w:shd w:val="clear" w:color="000000" w:fill="D9D9D9"/>
            <w:vAlign w:val="center"/>
            <w:hideMark/>
          </w:tcPr>
          <w:p w14:paraId="029D72BA" w14:textId="77777777" w:rsidR="00AF5D05" w:rsidRPr="002406CD" w:rsidRDefault="00AF5D05" w:rsidP="00282B45">
            <w:pPr>
              <w:pStyle w:val="Tabletext"/>
              <w:spacing w:line="280" w:lineRule="exact"/>
              <w:jc w:val="center"/>
            </w:pPr>
            <w:r w:rsidRPr="002406CD">
              <w:t>6.5</w:t>
            </w:r>
          </w:p>
        </w:tc>
        <w:tc>
          <w:tcPr>
            <w:tcW w:w="842" w:type="dxa"/>
            <w:tcBorders>
              <w:top w:val="nil"/>
              <w:left w:val="nil"/>
              <w:bottom w:val="single" w:sz="4" w:space="0" w:color="FFFFFF"/>
              <w:right w:val="nil"/>
            </w:tcBorders>
            <w:shd w:val="clear" w:color="000000" w:fill="D9D9D9"/>
            <w:vAlign w:val="center"/>
            <w:hideMark/>
          </w:tcPr>
          <w:p w14:paraId="6D46F6AD" w14:textId="77777777" w:rsidR="00AF5D05" w:rsidRPr="002406CD" w:rsidRDefault="00AF5D05" w:rsidP="00282B45">
            <w:pPr>
              <w:pStyle w:val="Tabletext"/>
              <w:spacing w:line="280" w:lineRule="exact"/>
              <w:jc w:val="center"/>
            </w:pPr>
            <w:r w:rsidRPr="002406CD">
              <w:t>10.3</w:t>
            </w:r>
          </w:p>
        </w:tc>
      </w:tr>
      <w:tr w:rsidR="00AF5D05" w:rsidRPr="002406CD" w14:paraId="7E25AB38" w14:textId="77777777" w:rsidTr="009C18D5">
        <w:trPr>
          <w:trHeight w:val="415"/>
          <w:jc w:val="center"/>
        </w:trPr>
        <w:tc>
          <w:tcPr>
            <w:tcW w:w="6379" w:type="dxa"/>
            <w:tcBorders>
              <w:top w:val="nil"/>
              <w:left w:val="nil"/>
              <w:bottom w:val="nil"/>
              <w:right w:val="nil"/>
            </w:tcBorders>
            <w:shd w:val="clear" w:color="000000" w:fill="D6DCE4"/>
            <w:vAlign w:val="center"/>
            <w:hideMark/>
          </w:tcPr>
          <w:p w14:paraId="75F60597" w14:textId="77777777" w:rsidR="00AF5D05" w:rsidRPr="002406CD" w:rsidRDefault="00AF5D05" w:rsidP="00282B45">
            <w:pPr>
              <w:pStyle w:val="Tabletext"/>
              <w:spacing w:line="280" w:lineRule="exact"/>
              <w:rPr>
                <w:b/>
              </w:rPr>
            </w:pPr>
            <w:r w:rsidRPr="002406CD">
              <w:rPr>
                <w:b/>
              </w:rPr>
              <w:t>Outturn / projection</w:t>
            </w:r>
          </w:p>
        </w:tc>
        <w:tc>
          <w:tcPr>
            <w:tcW w:w="842" w:type="dxa"/>
            <w:tcBorders>
              <w:top w:val="nil"/>
              <w:left w:val="nil"/>
              <w:bottom w:val="nil"/>
              <w:right w:val="nil"/>
            </w:tcBorders>
            <w:shd w:val="clear" w:color="000000" w:fill="D6DCE4"/>
            <w:vAlign w:val="center"/>
            <w:hideMark/>
          </w:tcPr>
          <w:p w14:paraId="7A4163E5" w14:textId="77777777" w:rsidR="00AF5D05" w:rsidRPr="002406CD" w:rsidRDefault="00AF5D05" w:rsidP="00282B45">
            <w:pPr>
              <w:pStyle w:val="Tabletext"/>
              <w:spacing w:line="280" w:lineRule="exact"/>
              <w:jc w:val="center"/>
              <w:rPr>
                <w:b/>
              </w:rPr>
            </w:pPr>
          </w:p>
        </w:tc>
        <w:tc>
          <w:tcPr>
            <w:tcW w:w="842" w:type="dxa"/>
            <w:tcBorders>
              <w:top w:val="nil"/>
              <w:left w:val="nil"/>
              <w:bottom w:val="nil"/>
              <w:right w:val="nil"/>
            </w:tcBorders>
            <w:shd w:val="clear" w:color="000000" w:fill="D6DCE4"/>
            <w:vAlign w:val="center"/>
            <w:hideMark/>
          </w:tcPr>
          <w:p w14:paraId="39A233B7" w14:textId="77777777" w:rsidR="00AF5D05" w:rsidRPr="002406CD" w:rsidRDefault="00AF5D05" w:rsidP="00282B45">
            <w:pPr>
              <w:pStyle w:val="Tabletext"/>
              <w:spacing w:line="280" w:lineRule="exact"/>
              <w:jc w:val="center"/>
              <w:rPr>
                <w:b/>
              </w:rPr>
            </w:pPr>
          </w:p>
        </w:tc>
        <w:tc>
          <w:tcPr>
            <w:tcW w:w="842" w:type="dxa"/>
            <w:tcBorders>
              <w:top w:val="nil"/>
              <w:left w:val="nil"/>
              <w:bottom w:val="nil"/>
              <w:right w:val="nil"/>
            </w:tcBorders>
            <w:shd w:val="clear" w:color="000000" w:fill="D6DCE4"/>
            <w:vAlign w:val="center"/>
            <w:hideMark/>
          </w:tcPr>
          <w:p w14:paraId="1EA6C022" w14:textId="77777777" w:rsidR="00AF5D05" w:rsidRPr="002406CD" w:rsidRDefault="00AF5D05" w:rsidP="00282B45">
            <w:pPr>
              <w:pStyle w:val="Tabletext"/>
              <w:spacing w:line="280" w:lineRule="exact"/>
              <w:jc w:val="center"/>
              <w:rPr>
                <w:b/>
              </w:rPr>
            </w:pPr>
          </w:p>
        </w:tc>
      </w:tr>
      <w:tr w:rsidR="00AF5D05" w:rsidRPr="002406CD" w14:paraId="1991EA46" w14:textId="77777777" w:rsidTr="00282B45">
        <w:trPr>
          <w:trHeight w:val="170"/>
          <w:jc w:val="center"/>
        </w:trPr>
        <w:tc>
          <w:tcPr>
            <w:tcW w:w="6379" w:type="dxa"/>
            <w:tcBorders>
              <w:top w:val="nil"/>
              <w:left w:val="nil"/>
              <w:bottom w:val="single" w:sz="4" w:space="0" w:color="FFFFFF"/>
              <w:right w:val="nil"/>
            </w:tcBorders>
            <w:shd w:val="clear" w:color="000000" w:fill="F2F2F2"/>
            <w:vAlign w:val="center"/>
            <w:hideMark/>
          </w:tcPr>
          <w:p w14:paraId="06267F81" w14:textId="77777777" w:rsidR="00AF5D05" w:rsidRPr="002406CD" w:rsidRDefault="00AF5D05" w:rsidP="00282B45">
            <w:pPr>
              <w:pStyle w:val="Tabletext"/>
              <w:spacing w:line="280" w:lineRule="exact"/>
            </w:pPr>
            <w:r w:rsidRPr="002406CD">
              <w:t xml:space="preserve">1b. Net nationally financed primary expenditure </w:t>
            </w:r>
            <w:r>
              <w:br/>
            </w:r>
            <w:r w:rsidRPr="002406CD">
              <w:t>(annual growth rate)</w:t>
            </w:r>
          </w:p>
        </w:tc>
        <w:tc>
          <w:tcPr>
            <w:tcW w:w="842" w:type="dxa"/>
            <w:tcBorders>
              <w:top w:val="nil"/>
              <w:left w:val="nil"/>
              <w:bottom w:val="single" w:sz="4" w:space="0" w:color="FFFFFF"/>
              <w:right w:val="nil"/>
            </w:tcBorders>
            <w:shd w:val="clear" w:color="000000" w:fill="F2F2F2"/>
            <w:vAlign w:val="center"/>
            <w:hideMark/>
          </w:tcPr>
          <w:p w14:paraId="0DF62A98" w14:textId="77777777" w:rsidR="00AF5D05" w:rsidRPr="002406CD" w:rsidRDefault="00AF5D05" w:rsidP="00282B45">
            <w:pPr>
              <w:pStyle w:val="Tabletext"/>
              <w:spacing w:line="280" w:lineRule="exact"/>
              <w:jc w:val="center"/>
            </w:pPr>
            <w:r w:rsidRPr="002406CD">
              <w:t>-0.1</w:t>
            </w:r>
          </w:p>
        </w:tc>
        <w:tc>
          <w:tcPr>
            <w:tcW w:w="842" w:type="dxa"/>
            <w:tcBorders>
              <w:top w:val="nil"/>
              <w:left w:val="nil"/>
              <w:bottom w:val="single" w:sz="4" w:space="0" w:color="FFFFFF"/>
              <w:right w:val="nil"/>
            </w:tcBorders>
            <w:shd w:val="clear" w:color="000000" w:fill="F2F2F2"/>
            <w:vAlign w:val="center"/>
            <w:hideMark/>
          </w:tcPr>
          <w:p w14:paraId="37CCBB92" w14:textId="77777777" w:rsidR="00AF5D05" w:rsidRPr="002406CD" w:rsidRDefault="00AF5D05" w:rsidP="00282B45">
            <w:pPr>
              <w:pStyle w:val="Tabletext"/>
              <w:spacing w:line="280" w:lineRule="exact"/>
              <w:jc w:val="center"/>
            </w:pPr>
            <w:r w:rsidRPr="002406CD">
              <w:t>2.9</w:t>
            </w:r>
          </w:p>
        </w:tc>
        <w:tc>
          <w:tcPr>
            <w:tcW w:w="842" w:type="dxa"/>
            <w:tcBorders>
              <w:top w:val="nil"/>
              <w:left w:val="nil"/>
              <w:bottom w:val="single" w:sz="4" w:space="0" w:color="FFFFFF"/>
              <w:right w:val="nil"/>
            </w:tcBorders>
            <w:shd w:val="clear" w:color="000000" w:fill="F2F2F2"/>
            <w:vAlign w:val="center"/>
            <w:hideMark/>
          </w:tcPr>
          <w:p w14:paraId="4444AC47" w14:textId="77777777" w:rsidR="00AF5D05" w:rsidRPr="002406CD" w:rsidRDefault="00AF5D05" w:rsidP="00282B45">
            <w:pPr>
              <w:pStyle w:val="Tabletext"/>
              <w:spacing w:line="280" w:lineRule="exact"/>
              <w:jc w:val="center"/>
            </w:pPr>
            <w:r w:rsidRPr="002406CD">
              <w:t>7.5</w:t>
            </w:r>
          </w:p>
        </w:tc>
      </w:tr>
      <w:tr w:rsidR="00AF5D05" w:rsidRPr="002406CD" w14:paraId="110B742A" w14:textId="77777777" w:rsidTr="00282B45">
        <w:trPr>
          <w:trHeight w:val="170"/>
          <w:jc w:val="center"/>
        </w:trPr>
        <w:tc>
          <w:tcPr>
            <w:tcW w:w="6379" w:type="dxa"/>
            <w:tcBorders>
              <w:top w:val="nil"/>
              <w:left w:val="nil"/>
              <w:bottom w:val="single" w:sz="4" w:space="0" w:color="FFFFFF"/>
              <w:right w:val="nil"/>
            </w:tcBorders>
            <w:shd w:val="clear" w:color="000000" w:fill="D9D9D9"/>
            <w:vAlign w:val="center"/>
            <w:hideMark/>
          </w:tcPr>
          <w:p w14:paraId="0DD5480A" w14:textId="77777777" w:rsidR="00AF5D05" w:rsidRPr="002406CD" w:rsidRDefault="00AF5D05" w:rsidP="00282B45">
            <w:pPr>
              <w:pStyle w:val="Tabletext"/>
              <w:spacing w:line="280" w:lineRule="exact"/>
            </w:pPr>
            <w:r w:rsidRPr="002406CD">
              <w:t xml:space="preserve">2b. Net nationally financed primary expenditure </w:t>
            </w:r>
            <w:r>
              <w:br/>
            </w:r>
            <w:r w:rsidRPr="002406CD">
              <w:t>(cumulative growth rate)</w:t>
            </w:r>
          </w:p>
        </w:tc>
        <w:tc>
          <w:tcPr>
            <w:tcW w:w="842" w:type="dxa"/>
            <w:tcBorders>
              <w:top w:val="nil"/>
              <w:left w:val="nil"/>
              <w:bottom w:val="single" w:sz="4" w:space="0" w:color="FFFFFF"/>
              <w:right w:val="nil"/>
            </w:tcBorders>
            <w:shd w:val="clear" w:color="000000" w:fill="D9D9D9"/>
            <w:vAlign w:val="center"/>
            <w:hideMark/>
          </w:tcPr>
          <w:p w14:paraId="4A395B7C" w14:textId="77777777" w:rsidR="00AF5D05" w:rsidRPr="002406CD" w:rsidRDefault="00AF5D05" w:rsidP="00282B45">
            <w:pPr>
              <w:pStyle w:val="Tabletext"/>
              <w:spacing w:line="280" w:lineRule="exact"/>
              <w:jc w:val="center"/>
            </w:pPr>
            <w:r w:rsidRPr="002406CD">
              <w:t>-0.1</w:t>
            </w:r>
          </w:p>
        </w:tc>
        <w:tc>
          <w:tcPr>
            <w:tcW w:w="842" w:type="dxa"/>
            <w:tcBorders>
              <w:top w:val="nil"/>
              <w:left w:val="nil"/>
              <w:bottom w:val="single" w:sz="4" w:space="0" w:color="FFFFFF"/>
              <w:right w:val="nil"/>
            </w:tcBorders>
            <w:shd w:val="clear" w:color="000000" w:fill="D9D9D9"/>
            <w:vAlign w:val="center"/>
            <w:hideMark/>
          </w:tcPr>
          <w:p w14:paraId="15777233" w14:textId="77777777" w:rsidR="00AF5D05" w:rsidRPr="002406CD" w:rsidRDefault="00AF5D05" w:rsidP="00282B45">
            <w:pPr>
              <w:pStyle w:val="Tabletext"/>
              <w:spacing w:line="280" w:lineRule="exact"/>
              <w:jc w:val="center"/>
            </w:pPr>
            <w:r w:rsidRPr="002406CD">
              <w:t>2.8</w:t>
            </w:r>
          </w:p>
        </w:tc>
        <w:tc>
          <w:tcPr>
            <w:tcW w:w="842" w:type="dxa"/>
            <w:tcBorders>
              <w:top w:val="nil"/>
              <w:left w:val="nil"/>
              <w:bottom w:val="single" w:sz="4" w:space="0" w:color="FFFFFF"/>
              <w:right w:val="nil"/>
            </w:tcBorders>
            <w:shd w:val="clear" w:color="000000" w:fill="D9D9D9"/>
            <w:vAlign w:val="center"/>
            <w:hideMark/>
          </w:tcPr>
          <w:p w14:paraId="2264D350" w14:textId="77777777" w:rsidR="00AF5D05" w:rsidRPr="002406CD" w:rsidRDefault="00AF5D05" w:rsidP="00282B45">
            <w:pPr>
              <w:pStyle w:val="Tabletext"/>
              <w:spacing w:line="280" w:lineRule="exact"/>
              <w:jc w:val="center"/>
            </w:pPr>
            <w:r w:rsidRPr="002406CD">
              <w:t>10.6</w:t>
            </w:r>
          </w:p>
        </w:tc>
      </w:tr>
      <w:tr w:rsidR="00AF5D05" w:rsidRPr="002406CD" w14:paraId="79CF97E9" w14:textId="77777777" w:rsidTr="009C18D5">
        <w:trPr>
          <w:trHeight w:val="421"/>
          <w:jc w:val="center"/>
        </w:trPr>
        <w:tc>
          <w:tcPr>
            <w:tcW w:w="6379" w:type="dxa"/>
            <w:tcBorders>
              <w:top w:val="nil"/>
              <w:left w:val="nil"/>
              <w:bottom w:val="nil"/>
              <w:right w:val="nil"/>
            </w:tcBorders>
            <w:shd w:val="clear" w:color="000000" w:fill="D6DCE4"/>
            <w:vAlign w:val="center"/>
            <w:hideMark/>
          </w:tcPr>
          <w:p w14:paraId="7F742966" w14:textId="77777777" w:rsidR="00AF5D05" w:rsidRPr="002406CD" w:rsidRDefault="00AF5D05" w:rsidP="00282B45">
            <w:pPr>
              <w:pStyle w:val="Tabletext"/>
              <w:spacing w:line="280" w:lineRule="exact"/>
              <w:rPr>
                <w:b/>
              </w:rPr>
            </w:pPr>
            <w:r w:rsidRPr="002406CD">
              <w:rPr>
                <w:b/>
              </w:rPr>
              <w:t>Control account</w:t>
            </w:r>
          </w:p>
        </w:tc>
        <w:tc>
          <w:tcPr>
            <w:tcW w:w="842" w:type="dxa"/>
            <w:tcBorders>
              <w:top w:val="nil"/>
              <w:left w:val="nil"/>
              <w:bottom w:val="nil"/>
              <w:right w:val="nil"/>
            </w:tcBorders>
            <w:shd w:val="clear" w:color="000000" w:fill="D6DCE4"/>
            <w:vAlign w:val="center"/>
            <w:hideMark/>
          </w:tcPr>
          <w:p w14:paraId="26652C76" w14:textId="77777777" w:rsidR="00AF5D05" w:rsidRPr="002406CD" w:rsidRDefault="00AF5D05" w:rsidP="00282B45">
            <w:pPr>
              <w:pStyle w:val="Tabletext"/>
              <w:spacing w:line="280" w:lineRule="exact"/>
              <w:jc w:val="center"/>
              <w:rPr>
                <w:b/>
              </w:rPr>
            </w:pPr>
          </w:p>
        </w:tc>
        <w:tc>
          <w:tcPr>
            <w:tcW w:w="842" w:type="dxa"/>
            <w:tcBorders>
              <w:top w:val="nil"/>
              <w:left w:val="nil"/>
              <w:bottom w:val="nil"/>
              <w:right w:val="nil"/>
            </w:tcBorders>
            <w:shd w:val="clear" w:color="000000" w:fill="D6DCE4"/>
            <w:vAlign w:val="center"/>
            <w:hideMark/>
          </w:tcPr>
          <w:p w14:paraId="12676ED5" w14:textId="77777777" w:rsidR="00AF5D05" w:rsidRPr="002406CD" w:rsidRDefault="00AF5D05" w:rsidP="00282B45">
            <w:pPr>
              <w:pStyle w:val="Tabletext"/>
              <w:spacing w:line="280" w:lineRule="exact"/>
              <w:jc w:val="center"/>
              <w:rPr>
                <w:b/>
              </w:rPr>
            </w:pPr>
          </w:p>
        </w:tc>
        <w:tc>
          <w:tcPr>
            <w:tcW w:w="842" w:type="dxa"/>
            <w:tcBorders>
              <w:top w:val="nil"/>
              <w:left w:val="nil"/>
              <w:bottom w:val="nil"/>
              <w:right w:val="nil"/>
            </w:tcBorders>
            <w:shd w:val="clear" w:color="000000" w:fill="D6DCE4"/>
            <w:vAlign w:val="center"/>
            <w:hideMark/>
          </w:tcPr>
          <w:p w14:paraId="25138B31" w14:textId="77777777" w:rsidR="00AF5D05" w:rsidRPr="002406CD" w:rsidRDefault="00AF5D05" w:rsidP="00282B45">
            <w:pPr>
              <w:pStyle w:val="Tabletext"/>
              <w:spacing w:line="280" w:lineRule="exact"/>
              <w:jc w:val="center"/>
              <w:rPr>
                <w:b/>
              </w:rPr>
            </w:pPr>
          </w:p>
        </w:tc>
      </w:tr>
      <w:tr w:rsidR="00AF5D05" w:rsidRPr="002406CD" w14:paraId="0800ADB6" w14:textId="77777777" w:rsidTr="00282B45">
        <w:trPr>
          <w:trHeight w:val="170"/>
          <w:jc w:val="center"/>
        </w:trPr>
        <w:tc>
          <w:tcPr>
            <w:tcW w:w="6379" w:type="dxa"/>
            <w:tcBorders>
              <w:top w:val="nil"/>
              <w:left w:val="nil"/>
              <w:bottom w:val="single" w:sz="4" w:space="0" w:color="FFFFFF"/>
              <w:right w:val="nil"/>
            </w:tcBorders>
            <w:shd w:val="clear" w:color="000000" w:fill="F2F2F2"/>
            <w:vAlign w:val="center"/>
            <w:hideMark/>
          </w:tcPr>
          <w:p w14:paraId="2C03BFEE" w14:textId="77777777" w:rsidR="00AF5D05" w:rsidRPr="002406CD" w:rsidRDefault="00AF5D05" w:rsidP="00282B45">
            <w:pPr>
              <w:pStyle w:val="Tabletext"/>
              <w:spacing w:line="280" w:lineRule="exact"/>
            </w:pPr>
            <w:r w:rsidRPr="002406CD">
              <w:t>Cumulated balance of the control account (GDP %)</w:t>
            </w:r>
          </w:p>
        </w:tc>
        <w:tc>
          <w:tcPr>
            <w:tcW w:w="842" w:type="dxa"/>
            <w:tcBorders>
              <w:top w:val="nil"/>
              <w:left w:val="nil"/>
              <w:bottom w:val="single" w:sz="4" w:space="0" w:color="FFFFFF"/>
              <w:right w:val="nil"/>
            </w:tcBorders>
            <w:shd w:val="clear" w:color="000000" w:fill="F2F2F2"/>
            <w:vAlign w:val="center"/>
            <w:hideMark/>
          </w:tcPr>
          <w:p w14:paraId="26E6D1B9" w14:textId="77777777" w:rsidR="00AF5D05" w:rsidRPr="002406CD" w:rsidRDefault="00AF5D05" w:rsidP="00282B45">
            <w:pPr>
              <w:pStyle w:val="Tabletext"/>
              <w:spacing w:line="280" w:lineRule="exact"/>
              <w:jc w:val="center"/>
            </w:pPr>
            <w:r w:rsidRPr="002406CD">
              <w:t>-1.1</w:t>
            </w:r>
          </w:p>
        </w:tc>
        <w:tc>
          <w:tcPr>
            <w:tcW w:w="842" w:type="dxa"/>
            <w:tcBorders>
              <w:top w:val="nil"/>
              <w:left w:val="nil"/>
              <w:bottom w:val="single" w:sz="4" w:space="0" w:color="FFFFFF"/>
              <w:right w:val="nil"/>
            </w:tcBorders>
            <w:shd w:val="clear" w:color="000000" w:fill="F2F2F2"/>
            <w:vAlign w:val="center"/>
            <w:hideMark/>
          </w:tcPr>
          <w:p w14:paraId="00086BE5" w14:textId="77777777" w:rsidR="00AF5D05" w:rsidRPr="002406CD" w:rsidRDefault="00AF5D05" w:rsidP="00282B45">
            <w:pPr>
              <w:pStyle w:val="Tabletext"/>
              <w:spacing w:line="280" w:lineRule="exact"/>
              <w:jc w:val="center"/>
            </w:pPr>
            <w:r w:rsidRPr="002406CD">
              <w:t>-1.4</w:t>
            </w:r>
          </w:p>
        </w:tc>
        <w:tc>
          <w:tcPr>
            <w:tcW w:w="842" w:type="dxa"/>
            <w:tcBorders>
              <w:top w:val="nil"/>
              <w:left w:val="nil"/>
              <w:bottom w:val="single" w:sz="4" w:space="0" w:color="FFFFFF"/>
              <w:right w:val="nil"/>
            </w:tcBorders>
            <w:shd w:val="clear" w:color="000000" w:fill="F2F2F2"/>
            <w:vAlign w:val="center"/>
            <w:hideMark/>
          </w:tcPr>
          <w:p w14:paraId="5E1FE0D2" w14:textId="77777777" w:rsidR="00AF5D05" w:rsidRPr="002406CD" w:rsidRDefault="00AF5D05" w:rsidP="00282B45">
            <w:pPr>
              <w:pStyle w:val="Tabletext"/>
              <w:spacing w:line="280" w:lineRule="exact"/>
              <w:jc w:val="center"/>
            </w:pPr>
            <w:r w:rsidRPr="002406CD">
              <w:t>0.2</w:t>
            </w:r>
          </w:p>
        </w:tc>
      </w:tr>
      <w:tr w:rsidR="00AF5D05" w:rsidRPr="002406CD" w14:paraId="4306CB3C" w14:textId="77777777" w:rsidTr="00282B45">
        <w:trPr>
          <w:trHeight w:val="170"/>
          <w:jc w:val="center"/>
        </w:trPr>
        <w:tc>
          <w:tcPr>
            <w:tcW w:w="6379" w:type="dxa"/>
            <w:tcBorders>
              <w:top w:val="single" w:sz="4" w:space="0" w:color="FFFFFF"/>
              <w:left w:val="nil"/>
              <w:bottom w:val="single" w:sz="18" w:space="0" w:color="4F81BD" w:themeColor="accent1"/>
              <w:right w:val="nil"/>
            </w:tcBorders>
            <w:shd w:val="clear" w:color="000000" w:fill="D9D9D9"/>
            <w:vAlign w:val="center"/>
            <w:hideMark/>
          </w:tcPr>
          <w:p w14:paraId="1D14E2EE" w14:textId="77777777" w:rsidR="00AF5D05" w:rsidRPr="002406CD" w:rsidRDefault="00AF5D05" w:rsidP="00282B45">
            <w:pPr>
              <w:pStyle w:val="Tabletext"/>
              <w:spacing w:line="280" w:lineRule="exact"/>
            </w:pPr>
            <w:r w:rsidRPr="002406CD">
              <w:t xml:space="preserve">Cumulated balance after flexibility from increases </w:t>
            </w:r>
            <w:r>
              <w:br/>
            </w:r>
            <w:r w:rsidRPr="002406CD">
              <w:t>in defen</w:t>
            </w:r>
            <w:r>
              <w:t>c</w:t>
            </w:r>
            <w:r w:rsidRPr="002406CD">
              <w:t>e expenditure (GDP %)</w:t>
            </w:r>
          </w:p>
        </w:tc>
        <w:tc>
          <w:tcPr>
            <w:tcW w:w="842" w:type="dxa"/>
            <w:tcBorders>
              <w:top w:val="single" w:sz="4" w:space="0" w:color="FFFFFF"/>
              <w:left w:val="nil"/>
              <w:bottom w:val="single" w:sz="18" w:space="0" w:color="4F81BD" w:themeColor="accent1"/>
              <w:right w:val="nil"/>
            </w:tcBorders>
            <w:shd w:val="thinDiagStripe" w:color="000000" w:fill="D9D9D9"/>
            <w:vAlign w:val="center"/>
            <w:hideMark/>
          </w:tcPr>
          <w:p w14:paraId="455286B3" w14:textId="77777777" w:rsidR="00AF5D05" w:rsidRPr="002406CD" w:rsidRDefault="00AF5D05" w:rsidP="00282B45">
            <w:pPr>
              <w:pStyle w:val="Tabletext"/>
              <w:spacing w:line="280" w:lineRule="exact"/>
              <w:jc w:val="center"/>
            </w:pPr>
          </w:p>
        </w:tc>
        <w:tc>
          <w:tcPr>
            <w:tcW w:w="842" w:type="dxa"/>
            <w:tcBorders>
              <w:top w:val="single" w:sz="4" w:space="0" w:color="FFFFFF"/>
              <w:left w:val="nil"/>
              <w:bottom w:val="single" w:sz="18" w:space="0" w:color="4F81BD" w:themeColor="accent1"/>
              <w:right w:val="nil"/>
            </w:tcBorders>
            <w:shd w:val="clear" w:color="000000" w:fill="D9D9D9"/>
            <w:vAlign w:val="center"/>
            <w:hideMark/>
          </w:tcPr>
          <w:p w14:paraId="0A064A63" w14:textId="77777777" w:rsidR="00AF5D05" w:rsidRPr="002406CD" w:rsidRDefault="00AF5D05" w:rsidP="00282B45">
            <w:pPr>
              <w:pStyle w:val="Tabletext"/>
              <w:spacing w:line="280" w:lineRule="exact"/>
              <w:jc w:val="center"/>
            </w:pPr>
            <w:r w:rsidRPr="002406CD">
              <w:t>-1.6</w:t>
            </w:r>
          </w:p>
        </w:tc>
        <w:tc>
          <w:tcPr>
            <w:tcW w:w="842" w:type="dxa"/>
            <w:tcBorders>
              <w:top w:val="single" w:sz="4" w:space="0" w:color="FFFFFF"/>
              <w:left w:val="nil"/>
              <w:bottom w:val="single" w:sz="18" w:space="0" w:color="4F81BD" w:themeColor="accent1"/>
              <w:right w:val="nil"/>
            </w:tcBorders>
            <w:shd w:val="clear" w:color="000000" w:fill="D9D9D9"/>
            <w:vAlign w:val="center"/>
            <w:hideMark/>
          </w:tcPr>
          <w:p w14:paraId="2E6064C6" w14:textId="77777777" w:rsidR="00AF5D05" w:rsidRPr="002406CD" w:rsidRDefault="00AF5D05" w:rsidP="00282B45">
            <w:pPr>
              <w:pStyle w:val="Tabletext"/>
              <w:spacing w:line="280" w:lineRule="exact"/>
              <w:jc w:val="center"/>
            </w:pPr>
            <w:r w:rsidRPr="002406CD">
              <w:t>-0.1</w:t>
            </w:r>
          </w:p>
        </w:tc>
      </w:tr>
    </w:tbl>
    <w:p w14:paraId="76AF8553" w14:textId="77777777" w:rsidR="00FE49FB" w:rsidRDefault="00FE49FB" w:rsidP="007F16F9">
      <w:pPr>
        <w:spacing w:before="120"/>
        <w:rPr>
          <w:lang w:val="en-US"/>
        </w:rPr>
      </w:pPr>
      <w:r>
        <w:rPr>
          <w:lang w:val="en-US"/>
        </w:rPr>
        <w:t>The net expenditure for 2026 is estimated to grow by 7.5% on an annual basis, while the maximum annual growth rate recommended is 3.6%. The cumulative growth in the years 2024-2026 taken together, does not exceed the relevant Council recommendation, taking into account the flexibility provided by the escape clause for higher defen</w:t>
      </w:r>
      <w:r w:rsidR="00133604">
        <w:rPr>
          <w:lang w:val="en-US"/>
        </w:rPr>
        <w:t>c</w:t>
      </w:r>
      <w:r>
        <w:rPr>
          <w:lang w:val="en-US"/>
        </w:rPr>
        <w:t xml:space="preserve">e expenditure and it stands 0.1% of GDP below the maximum threshold. The estimated increase in total </w:t>
      </w:r>
      <w:r w:rsidR="002406CD">
        <w:rPr>
          <w:lang w:val="en-US"/>
        </w:rPr>
        <w:t>defen</w:t>
      </w:r>
      <w:r w:rsidR="00133604">
        <w:rPr>
          <w:lang w:val="en-US"/>
        </w:rPr>
        <w:t>c</w:t>
      </w:r>
      <w:r w:rsidR="002406CD">
        <w:rPr>
          <w:lang w:val="en-US"/>
        </w:rPr>
        <w:t>e</w:t>
      </w:r>
      <w:r>
        <w:rPr>
          <w:lang w:val="en-US"/>
        </w:rPr>
        <w:t xml:space="preserve"> expenditure as a ratio to GDP from 2024 to 2026 is estimated to reach 0.3 pp.</w:t>
      </w:r>
    </w:p>
    <w:p w14:paraId="1BA8DB27" w14:textId="77777777" w:rsidR="00891A1C" w:rsidRPr="00FE49FB" w:rsidRDefault="00891A1C" w:rsidP="007F16F9">
      <w:pPr>
        <w:spacing w:before="120"/>
        <w:rPr>
          <w:lang w:val="en-US"/>
        </w:rPr>
      </w:pPr>
    </w:p>
    <w:p w14:paraId="469ABAC3" w14:textId="77777777" w:rsidR="00E03AFB" w:rsidRDefault="00E03AFB" w:rsidP="00DB4522">
      <w:pPr>
        <w:pStyle w:val="Heading2"/>
        <w:numPr>
          <w:ilvl w:val="1"/>
          <w:numId w:val="2"/>
        </w:numPr>
        <w:spacing w:before="360" w:after="60" w:line="280" w:lineRule="exact"/>
        <w:ind w:left="567" w:hanging="567"/>
        <w:rPr>
          <w:lang w:val="en-US"/>
        </w:rPr>
      </w:pPr>
      <w:bookmarkStart w:id="20" w:name="_Toc228279081"/>
      <w:r>
        <w:rPr>
          <w:lang w:val="en-US"/>
        </w:rPr>
        <w:lastRenderedPageBreak/>
        <w:t>Fiscal interventions</w:t>
      </w:r>
      <w:bookmarkEnd w:id="20"/>
    </w:p>
    <w:p w14:paraId="38FB9D30" w14:textId="77777777" w:rsidR="00040F57" w:rsidRPr="00E03AFB" w:rsidRDefault="00040F57" w:rsidP="007F0FDD">
      <w:pPr>
        <w:pStyle w:val="mesotitlos"/>
        <w:spacing w:before="120" w:after="60" w:line="270" w:lineRule="exact"/>
      </w:pPr>
      <w:bookmarkStart w:id="21" w:name="_Ref227925201"/>
      <w:r w:rsidRPr="00E03AFB">
        <w:t xml:space="preserve">Temporary energy measures to address the impact of </w:t>
      </w:r>
      <w:r w:rsidR="00703C4C">
        <w:t xml:space="preserve">increased </w:t>
      </w:r>
      <w:r w:rsidRPr="00E03AFB">
        <w:t>fuel prices &amp; inflation</w:t>
      </w:r>
    </w:p>
    <w:p w14:paraId="27CA05D1" w14:textId="77777777" w:rsidR="00040F57" w:rsidRPr="00214DF4" w:rsidRDefault="00040F57" w:rsidP="007F0FDD">
      <w:pPr>
        <w:spacing w:after="200" w:line="270" w:lineRule="exact"/>
        <w:rPr>
          <w:lang w:val="en-US"/>
        </w:rPr>
      </w:pPr>
      <w:r w:rsidRPr="00214DF4">
        <w:rPr>
          <w:lang w:val="en-US"/>
        </w:rPr>
        <w:t xml:space="preserve">Since the outbreak of the Middle East war, a package of temporary and targeted measures has been adopted, aiming to alleviate the impact of increasing energy and inflation costs on vulnerable households and businesses, with a total estimated cost of </w:t>
      </w:r>
      <w:r w:rsidRPr="00282B45">
        <w:rPr>
          <w:lang w:val="en-US"/>
        </w:rPr>
        <w:t>€517 million</w:t>
      </w:r>
      <w:r w:rsidRPr="00214DF4">
        <w:rPr>
          <w:lang w:val="en-US"/>
        </w:rPr>
        <w:t>.</w:t>
      </w:r>
    </w:p>
    <w:p w14:paraId="0C4DF26E" w14:textId="77777777" w:rsidR="00040F57" w:rsidRPr="00214DF4" w:rsidRDefault="00040F57" w:rsidP="007F0FDD">
      <w:pPr>
        <w:spacing w:after="200" w:line="270" w:lineRule="exact"/>
        <w:rPr>
          <w:lang w:val="en-US"/>
        </w:rPr>
      </w:pPr>
      <w:r w:rsidRPr="00214DF4">
        <w:rPr>
          <w:lang w:val="en-US"/>
        </w:rPr>
        <w:t>Specifically, the measures include the following:</w:t>
      </w:r>
    </w:p>
    <w:p w14:paraId="255A0EB9" w14:textId="77777777" w:rsidR="00040F57" w:rsidRPr="00D54DE0" w:rsidRDefault="00040F57" w:rsidP="007F0FDD">
      <w:pPr>
        <w:pStyle w:val="ListParagraph"/>
        <w:numPr>
          <w:ilvl w:val="0"/>
          <w:numId w:val="32"/>
        </w:numPr>
        <w:spacing w:after="200" w:line="270" w:lineRule="exact"/>
        <w:rPr>
          <w:rStyle w:val="Strong"/>
          <w:b w:val="0"/>
          <w:bCs w:val="0"/>
          <w:szCs w:val="23"/>
          <w:lang w:val="en-US"/>
        </w:rPr>
      </w:pPr>
      <w:r w:rsidRPr="00D54DE0">
        <w:rPr>
          <w:rStyle w:val="Strong"/>
          <w:b w:val="0"/>
          <w:bCs w:val="0"/>
          <w:szCs w:val="23"/>
          <w:lang w:val="en-US"/>
        </w:rPr>
        <w:t xml:space="preserve">Subsidy of €0.16 per </w:t>
      </w:r>
      <w:proofErr w:type="spellStart"/>
      <w:r w:rsidRPr="00D54DE0">
        <w:rPr>
          <w:rStyle w:val="Strong"/>
          <w:b w:val="0"/>
          <w:bCs w:val="0"/>
          <w:szCs w:val="23"/>
          <w:lang w:val="en-US"/>
        </w:rPr>
        <w:t>litre</w:t>
      </w:r>
      <w:proofErr w:type="spellEnd"/>
      <w:r w:rsidRPr="00D54DE0">
        <w:rPr>
          <w:rStyle w:val="Strong"/>
          <w:b w:val="0"/>
          <w:bCs w:val="0"/>
          <w:szCs w:val="23"/>
          <w:lang w:val="en-US"/>
        </w:rPr>
        <w:t xml:space="preserve"> on diesel (€0.20 including VAT).</w:t>
      </w:r>
      <w:r w:rsidRPr="00D54DE0">
        <w:rPr>
          <w:rStyle w:val="Strong"/>
          <w:b w:val="0"/>
          <w:szCs w:val="23"/>
          <w:lang w:val="en-US"/>
        </w:rPr>
        <w:t xml:space="preserve"> The measure provides a temporary subsidy on diesel prices for April and May 2026, to contain fuel costs and mitigate price pressures across the supply chain, </w:t>
      </w:r>
      <w:r w:rsidRPr="00D54DE0">
        <w:rPr>
          <w:rStyle w:val="Strong"/>
          <w:b w:val="0"/>
          <w:bCs w:val="0"/>
          <w:szCs w:val="23"/>
          <w:lang w:val="en-US"/>
        </w:rPr>
        <w:t>with a cost of €106 million;</w:t>
      </w:r>
    </w:p>
    <w:p w14:paraId="0AF3A1DB" w14:textId="77777777" w:rsidR="00040F57" w:rsidRPr="00D54DE0" w:rsidRDefault="00040F57" w:rsidP="007F0FDD">
      <w:pPr>
        <w:pStyle w:val="ListParagraph"/>
        <w:numPr>
          <w:ilvl w:val="0"/>
          <w:numId w:val="32"/>
        </w:numPr>
        <w:spacing w:after="200" w:line="270" w:lineRule="exact"/>
        <w:rPr>
          <w:rStyle w:val="Strong"/>
          <w:b w:val="0"/>
          <w:szCs w:val="23"/>
          <w:lang w:val="en-US"/>
        </w:rPr>
      </w:pPr>
      <w:r w:rsidRPr="00282B45">
        <w:rPr>
          <w:rStyle w:val="Strong"/>
          <w:b w:val="0"/>
          <w:szCs w:val="23"/>
          <w:lang w:val="en-US"/>
        </w:rPr>
        <w:t xml:space="preserve">a prepaid card for fuel cost (“fuel pass”), compensating €50–€60 per vehicle to households, subject to income criteria. </w:t>
      </w:r>
      <w:r w:rsidRPr="00D54DE0">
        <w:rPr>
          <w:rStyle w:val="Strong"/>
          <w:b w:val="0"/>
          <w:szCs w:val="23"/>
          <w:lang w:val="en-US"/>
        </w:rPr>
        <w:t xml:space="preserve">The measure provides temporary support to offset 2 months’ increased fuel costs through a digital card or bank transfer, with a cost of </w:t>
      </w:r>
      <w:r w:rsidRPr="00D54DE0">
        <w:rPr>
          <w:rStyle w:val="Strong"/>
          <w:b w:val="0"/>
          <w:bCs w:val="0"/>
          <w:szCs w:val="23"/>
          <w:lang w:val="en-US"/>
        </w:rPr>
        <w:t>€130 million;</w:t>
      </w:r>
    </w:p>
    <w:p w14:paraId="3F950F72" w14:textId="77777777" w:rsidR="00040F57" w:rsidRPr="00282B45" w:rsidRDefault="00040F57" w:rsidP="007F0FDD">
      <w:pPr>
        <w:pStyle w:val="ListParagraph"/>
        <w:numPr>
          <w:ilvl w:val="0"/>
          <w:numId w:val="32"/>
        </w:numPr>
        <w:spacing w:after="200" w:line="270" w:lineRule="exact"/>
        <w:rPr>
          <w:rStyle w:val="Strong"/>
          <w:b w:val="0"/>
          <w:szCs w:val="23"/>
          <w:lang w:val="en-US"/>
        </w:rPr>
      </w:pPr>
      <w:r w:rsidRPr="00282B45">
        <w:rPr>
          <w:rStyle w:val="Strong"/>
          <w:b w:val="0"/>
          <w:szCs w:val="23"/>
          <w:lang w:val="en-US"/>
        </w:rPr>
        <w:t xml:space="preserve">subsidy covering 15% of farmers’ fertilizer costs (based on invoices), for the period 15 March-31 August 2026. The measure provides targeted support to farmers and agricultural businesses by </w:t>
      </w:r>
      <w:proofErr w:type="spellStart"/>
      <w:r w:rsidRPr="00282B45">
        <w:rPr>
          <w:rStyle w:val="Strong"/>
          <w:b w:val="0"/>
          <w:szCs w:val="23"/>
          <w:lang w:val="en-US"/>
        </w:rPr>
        <w:t>subsidising</w:t>
      </w:r>
      <w:proofErr w:type="spellEnd"/>
      <w:r w:rsidRPr="00282B45">
        <w:rPr>
          <w:rStyle w:val="Strong"/>
          <w:b w:val="0"/>
          <w:szCs w:val="23"/>
          <w:lang w:val="en-US"/>
        </w:rPr>
        <w:t xml:space="preserve"> part of fertilizer expenses, </w:t>
      </w:r>
      <w:r w:rsidRPr="00D54DE0">
        <w:rPr>
          <w:rStyle w:val="Strong"/>
          <w:b w:val="0"/>
          <w:szCs w:val="23"/>
          <w:lang w:val="en-US"/>
        </w:rPr>
        <w:t xml:space="preserve">with a cost of </w:t>
      </w:r>
      <w:r w:rsidRPr="00D54DE0">
        <w:rPr>
          <w:rStyle w:val="Strong"/>
          <w:b w:val="0"/>
          <w:bCs w:val="0"/>
          <w:szCs w:val="23"/>
          <w:lang w:val="en-US"/>
        </w:rPr>
        <w:t>€41 million;</w:t>
      </w:r>
      <w:r w:rsidRPr="00282B45">
        <w:rPr>
          <w:rStyle w:val="Strong"/>
          <w:b w:val="0"/>
          <w:szCs w:val="23"/>
          <w:lang w:val="en-US"/>
        </w:rPr>
        <w:t xml:space="preserve"> </w:t>
      </w:r>
    </w:p>
    <w:p w14:paraId="547E6DCB" w14:textId="77777777" w:rsidR="00040F57" w:rsidRPr="00D54DE0" w:rsidRDefault="00040F57" w:rsidP="007F0FDD">
      <w:pPr>
        <w:pStyle w:val="ListParagraph"/>
        <w:numPr>
          <w:ilvl w:val="0"/>
          <w:numId w:val="32"/>
        </w:numPr>
        <w:spacing w:after="200" w:line="270" w:lineRule="exact"/>
        <w:rPr>
          <w:rStyle w:val="Strong"/>
          <w:szCs w:val="23"/>
          <w:lang w:val="en-US"/>
        </w:rPr>
      </w:pPr>
      <w:r w:rsidRPr="00282B45">
        <w:rPr>
          <w:rStyle w:val="Strong"/>
          <w:b w:val="0"/>
          <w:szCs w:val="23"/>
          <w:lang w:val="en-US"/>
        </w:rPr>
        <w:t>allowance of €150 per child to families, subject to income criteria.</w:t>
      </w:r>
      <w:r w:rsidRPr="00D54DE0">
        <w:rPr>
          <w:rStyle w:val="Strong"/>
          <w:b w:val="0"/>
          <w:bCs w:val="0"/>
          <w:szCs w:val="23"/>
          <w:lang w:val="en-US"/>
        </w:rPr>
        <w:br/>
      </w:r>
      <w:r w:rsidRPr="00282B45">
        <w:rPr>
          <w:rStyle w:val="Strong"/>
          <w:b w:val="0"/>
          <w:szCs w:val="23"/>
          <w:lang w:val="en-US"/>
        </w:rPr>
        <w:t xml:space="preserve">The measure provides a one-off financial support to families with children, that will be disbursed in June 2026, aiming to safeguard their purchasing power and support their disposable income in response to increased inflation, </w:t>
      </w:r>
      <w:r w:rsidRPr="00D54DE0">
        <w:rPr>
          <w:rStyle w:val="Strong"/>
          <w:b w:val="0"/>
          <w:szCs w:val="23"/>
          <w:lang w:val="en-US"/>
        </w:rPr>
        <w:t xml:space="preserve">with a cost of </w:t>
      </w:r>
      <w:r w:rsidRPr="00D54DE0">
        <w:rPr>
          <w:rStyle w:val="Strong"/>
          <w:b w:val="0"/>
          <w:bCs w:val="0"/>
          <w:szCs w:val="23"/>
          <w:lang w:val="en-US"/>
        </w:rPr>
        <w:t>€240 million.</w:t>
      </w:r>
    </w:p>
    <w:p w14:paraId="1146D55F" w14:textId="77777777" w:rsidR="00040F57" w:rsidRPr="00E03AFB" w:rsidRDefault="00040F57" w:rsidP="007F0FDD">
      <w:pPr>
        <w:pStyle w:val="mesotitlos"/>
        <w:spacing w:before="120" w:after="60" w:line="270" w:lineRule="exact"/>
      </w:pPr>
      <w:r w:rsidRPr="00E03AFB">
        <w:t xml:space="preserve">New permanent fiscal interventions </w:t>
      </w:r>
    </w:p>
    <w:p w14:paraId="65746212" w14:textId="77777777" w:rsidR="00040F57" w:rsidRPr="00214DF4" w:rsidRDefault="00040F57" w:rsidP="007F0FDD">
      <w:pPr>
        <w:spacing w:after="200" w:line="270" w:lineRule="exact"/>
        <w:rPr>
          <w:lang w:val="en-US"/>
        </w:rPr>
      </w:pPr>
      <w:r w:rsidRPr="00214DF4">
        <w:rPr>
          <w:lang w:val="en-US"/>
        </w:rPr>
        <w:t>In addition to the above temporary measures, a set of permanent measures was announced in March &amp; April 2026, with a total estimated net fiscal cost of €229 million:</w:t>
      </w:r>
    </w:p>
    <w:p w14:paraId="3CE32E19" w14:textId="77777777" w:rsidR="00040F57" w:rsidRPr="00CF2758" w:rsidRDefault="00040F57" w:rsidP="007F0FDD">
      <w:pPr>
        <w:pStyle w:val="ListParagraph"/>
        <w:numPr>
          <w:ilvl w:val="0"/>
          <w:numId w:val="32"/>
        </w:numPr>
        <w:spacing w:after="200" w:line="270" w:lineRule="exact"/>
        <w:rPr>
          <w:rStyle w:val="Strong"/>
          <w:b w:val="0"/>
          <w:lang w:val="en-US"/>
        </w:rPr>
      </w:pPr>
      <w:r w:rsidRPr="00CF2758">
        <w:rPr>
          <w:rStyle w:val="Strong"/>
          <w:b w:val="0"/>
          <w:szCs w:val="23"/>
          <w:lang w:val="en-US"/>
        </w:rPr>
        <w:t>Compensation to passenger shipping companies for mandatory discounts granted to specific vulnerable passengers. It aims to contain increases in ticket prices for the broader population in response to rising fuel costs, with an estimated annual fiscal cost of €56 million;</w:t>
      </w:r>
    </w:p>
    <w:p w14:paraId="726C3B96" w14:textId="77777777" w:rsidR="00040F57" w:rsidRPr="00CF2758" w:rsidRDefault="00040F57" w:rsidP="007F0FDD">
      <w:pPr>
        <w:pStyle w:val="ListParagraph"/>
        <w:numPr>
          <w:ilvl w:val="0"/>
          <w:numId w:val="32"/>
        </w:numPr>
        <w:spacing w:after="200" w:line="270" w:lineRule="exact"/>
        <w:rPr>
          <w:rStyle w:val="Strong"/>
          <w:b w:val="0"/>
          <w:szCs w:val="23"/>
          <w:lang w:val="en-US"/>
        </w:rPr>
      </w:pPr>
      <w:r w:rsidRPr="00CF2758">
        <w:rPr>
          <w:rStyle w:val="Strong"/>
          <w:b w:val="0"/>
          <w:szCs w:val="23"/>
          <w:lang w:val="en-US"/>
        </w:rPr>
        <w:t xml:space="preserve">permanent increase from €250 to €300 of the annual social benefit for pensioners, uninsured elderlies and beneficiaries of disability allowances and broadening of the income and property eligibility criteria, with the aim to support the income of vulnerable citizens, with an estimated annual fiscal cost of </w:t>
      </w:r>
      <w:r w:rsidRPr="00CF2758">
        <w:rPr>
          <w:lang w:val="en-US"/>
        </w:rPr>
        <w:t>€198 million;</w:t>
      </w:r>
    </w:p>
    <w:p w14:paraId="3D36E6C6" w14:textId="77777777" w:rsidR="00040F57" w:rsidRPr="00CF2758" w:rsidRDefault="00040F57" w:rsidP="007F0FDD">
      <w:pPr>
        <w:pStyle w:val="ListParagraph"/>
        <w:numPr>
          <w:ilvl w:val="0"/>
          <w:numId w:val="32"/>
        </w:numPr>
        <w:spacing w:after="200" w:line="270" w:lineRule="exact"/>
        <w:rPr>
          <w:lang w:val="en-US"/>
        </w:rPr>
      </w:pPr>
      <w:r w:rsidRPr="00CF2758">
        <w:rPr>
          <w:rStyle w:val="Strong"/>
          <w:b w:val="0"/>
          <w:szCs w:val="23"/>
          <w:lang w:val="en-US"/>
        </w:rPr>
        <w:t>expansion of the income eligibility criteria for the annual rent refund.</w:t>
      </w:r>
      <w:r w:rsidRPr="00CF2758">
        <w:rPr>
          <w:b/>
          <w:lang w:val="en-US"/>
        </w:rPr>
        <w:br/>
      </w:r>
      <w:r w:rsidRPr="00CF2758">
        <w:rPr>
          <w:rStyle w:val="Strong"/>
          <w:b w:val="0"/>
          <w:szCs w:val="23"/>
          <w:lang w:val="en-US"/>
        </w:rPr>
        <w:t>The measure increases income thresholds, expanding eligibility to cover the majority of tenants, with an estimated annual fiscal cost of</w:t>
      </w:r>
      <w:r w:rsidRPr="00CF2758">
        <w:rPr>
          <w:rStyle w:val="Strong"/>
          <w:szCs w:val="23"/>
          <w:lang w:val="en-US"/>
        </w:rPr>
        <w:t xml:space="preserve"> </w:t>
      </w:r>
      <w:r w:rsidRPr="00CF2758">
        <w:rPr>
          <w:lang w:val="en-US"/>
        </w:rPr>
        <w:t>€25 million.</w:t>
      </w:r>
    </w:p>
    <w:p w14:paraId="7E400860" w14:textId="77777777" w:rsidR="00040F57" w:rsidRPr="00CF2758" w:rsidRDefault="00040F57" w:rsidP="007F0FDD">
      <w:pPr>
        <w:pStyle w:val="ListParagraph"/>
        <w:numPr>
          <w:ilvl w:val="0"/>
          <w:numId w:val="32"/>
        </w:numPr>
        <w:spacing w:after="200" w:line="270" w:lineRule="exact"/>
        <w:rPr>
          <w:rStyle w:val="Strong"/>
          <w:b w:val="0"/>
          <w:lang w:val="en-US"/>
        </w:rPr>
      </w:pPr>
      <w:r w:rsidRPr="00CF2758">
        <w:rPr>
          <w:rStyle w:val="Strong"/>
          <w:b w:val="0"/>
          <w:szCs w:val="23"/>
          <w:lang w:val="en-US"/>
        </w:rPr>
        <w:t>increase of the taxation on online gambling, with estimated additional revenues of €50 million for 2026, rising to approximately €100 million annually thereafter.</w:t>
      </w:r>
    </w:p>
    <w:p w14:paraId="798E51E5" w14:textId="77777777" w:rsidR="00040F57" w:rsidRPr="0050140A" w:rsidRDefault="00040F57" w:rsidP="007F0FDD">
      <w:pPr>
        <w:spacing w:after="200" w:line="270" w:lineRule="exact"/>
        <w:rPr>
          <w:lang w:val="en-US"/>
        </w:rPr>
      </w:pPr>
      <w:r w:rsidRPr="00214DF4">
        <w:rPr>
          <w:lang w:val="en-US"/>
        </w:rPr>
        <w:t>Apart from the above fiscal interventions, a set of measures was announced in April 2026 aiming to contribute to the efficient management of private debt, which include: (</w:t>
      </w:r>
      <w:proofErr w:type="spellStart"/>
      <w:r w:rsidRPr="00214DF4">
        <w:rPr>
          <w:lang w:val="en-US"/>
        </w:rPr>
        <w:t>i</w:t>
      </w:r>
      <w:proofErr w:type="spellEnd"/>
      <w:r w:rsidRPr="00214DF4">
        <w:rPr>
          <w:lang w:val="en-US"/>
        </w:rPr>
        <w:t xml:space="preserve">) the release of </w:t>
      </w:r>
      <w:r>
        <w:rPr>
          <w:lang w:val="en-US"/>
        </w:rPr>
        <w:t xml:space="preserve">seized </w:t>
      </w:r>
      <w:r w:rsidRPr="00214DF4">
        <w:rPr>
          <w:lang w:val="en-US"/>
        </w:rPr>
        <w:t xml:space="preserve">bank accounts upon partial (at least 25%) repayment and settlement of the remaining outstanding tax liabilities, (ii) the access of the </w:t>
      </w:r>
      <w:proofErr w:type="spellStart"/>
      <w:r w:rsidRPr="00214DF4">
        <w:rPr>
          <w:lang w:val="en-US"/>
        </w:rPr>
        <w:t>out-of</w:t>
      </w:r>
      <w:proofErr w:type="spellEnd"/>
      <w:r w:rsidRPr="00214DF4">
        <w:rPr>
          <w:lang w:val="en-US"/>
        </w:rPr>
        <w:t xml:space="preserve"> court settlement mechanism to debtors</w:t>
      </w:r>
      <w:r>
        <w:rPr>
          <w:lang w:val="en-US"/>
        </w:rPr>
        <w:t xml:space="preserve"> with debts above </w:t>
      </w:r>
      <w:r w:rsidR="00741C54">
        <w:rPr>
          <w:lang w:val="en-US"/>
        </w:rPr>
        <w:t>€</w:t>
      </w:r>
      <w:r>
        <w:rPr>
          <w:lang w:val="en-US"/>
        </w:rPr>
        <w:t xml:space="preserve">5,000 instead of </w:t>
      </w:r>
      <w:r w:rsidR="00741C54">
        <w:rPr>
          <w:lang w:val="en-US"/>
        </w:rPr>
        <w:t>€</w:t>
      </w:r>
      <w:r>
        <w:rPr>
          <w:lang w:val="en-US"/>
        </w:rPr>
        <w:t>10,000 and</w:t>
      </w:r>
      <w:r w:rsidRPr="00214DF4">
        <w:rPr>
          <w:lang w:val="en-US"/>
        </w:rPr>
        <w:t xml:space="preserve"> (iii) the introduction of an installment scheme</w:t>
      </w:r>
      <w:r>
        <w:rPr>
          <w:lang w:val="en-US"/>
        </w:rPr>
        <w:t xml:space="preserve"> of up to 72 installments</w:t>
      </w:r>
      <w:r w:rsidRPr="00214DF4">
        <w:rPr>
          <w:lang w:val="en-US"/>
        </w:rPr>
        <w:t xml:space="preserve"> for outstanding debts up to the end of 2023, applied conditionally</w:t>
      </w:r>
      <w:r>
        <w:rPr>
          <w:lang w:val="en-US"/>
        </w:rPr>
        <w:t xml:space="preserve"> on the settlement of the remaining debt</w:t>
      </w:r>
      <w:r w:rsidRPr="00214DF4">
        <w:rPr>
          <w:lang w:val="en-US"/>
        </w:rPr>
        <w:t>.</w:t>
      </w:r>
      <w:r>
        <w:rPr>
          <w:lang w:val="en-US"/>
        </w:rPr>
        <w:t xml:space="preserve"> Moreover, in March 2026 a new provision was announced that allows to lower the installment in the </w:t>
      </w:r>
      <w:proofErr w:type="spellStart"/>
      <w:r w:rsidRPr="00214DF4">
        <w:rPr>
          <w:lang w:val="en-US"/>
        </w:rPr>
        <w:t>out-of</w:t>
      </w:r>
      <w:proofErr w:type="spellEnd"/>
      <w:r w:rsidRPr="00214DF4">
        <w:rPr>
          <w:lang w:val="en-US"/>
        </w:rPr>
        <w:t xml:space="preserve"> court settlement mechanism</w:t>
      </w:r>
      <w:r>
        <w:rPr>
          <w:lang w:val="en-US"/>
        </w:rPr>
        <w:t>, in case the debtor wants to protect only the first residence.</w:t>
      </w:r>
    </w:p>
    <w:p w14:paraId="63E8A451" w14:textId="77777777" w:rsidR="00040F57" w:rsidRDefault="00040F57" w:rsidP="007F0FDD">
      <w:pPr>
        <w:spacing w:after="180" w:line="270" w:lineRule="exact"/>
        <w:rPr>
          <w:lang w:val="en-US"/>
        </w:rPr>
      </w:pPr>
      <w:r>
        <w:rPr>
          <w:lang w:val="en-US"/>
        </w:rPr>
        <w:lastRenderedPageBreak/>
        <w:t>In addition to the interventions above, a new set of measures to address the housing needs was announced at the end of 2025 including:</w:t>
      </w:r>
    </w:p>
    <w:p w14:paraId="6EF4A771" w14:textId="77777777" w:rsidR="00040F57" w:rsidRDefault="00040F57" w:rsidP="007F0FDD">
      <w:pPr>
        <w:pStyle w:val="ListParagraph"/>
        <w:numPr>
          <w:ilvl w:val="0"/>
          <w:numId w:val="40"/>
        </w:numPr>
        <w:spacing w:after="180" w:line="270" w:lineRule="exact"/>
        <w:rPr>
          <w:szCs w:val="23"/>
          <w:lang w:val="en-US"/>
        </w:rPr>
      </w:pPr>
      <w:r w:rsidRPr="001A53F8">
        <w:rPr>
          <w:szCs w:val="23"/>
          <w:lang w:val="en-US"/>
        </w:rPr>
        <w:t xml:space="preserve">An additional rent refund for doctors and teachers working outside Attica and Thessaloniki, with yearly fiscal cost of </w:t>
      </w:r>
      <w:r w:rsidRPr="00B26385">
        <w:rPr>
          <w:rStyle w:val="Strong"/>
          <w:b w:val="0"/>
          <w:bCs w:val="0"/>
          <w:szCs w:val="23"/>
          <w:lang w:val="en-US"/>
        </w:rPr>
        <w:t>€</w:t>
      </w:r>
      <w:r w:rsidRPr="001A53F8">
        <w:rPr>
          <w:szCs w:val="23"/>
          <w:lang w:val="en-US"/>
        </w:rPr>
        <w:t>18 million</w:t>
      </w:r>
      <w:r>
        <w:rPr>
          <w:szCs w:val="23"/>
          <w:lang w:val="en-US"/>
        </w:rPr>
        <w:t>;</w:t>
      </w:r>
    </w:p>
    <w:p w14:paraId="3AC88918" w14:textId="68791E85" w:rsidR="00040F57" w:rsidRDefault="00040F57" w:rsidP="007F0FDD">
      <w:pPr>
        <w:pStyle w:val="ListParagraph"/>
        <w:numPr>
          <w:ilvl w:val="0"/>
          <w:numId w:val="40"/>
        </w:numPr>
        <w:spacing w:after="180" w:line="270" w:lineRule="exact"/>
        <w:rPr>
          <w:szCs w:val="23"/>
          <w:lang w:val="en-US"/>
        </w:rPr>
      </w:pPr>
      <w:r>
        <w:rPr>
          <w:szCs w:val="23"/>
          <w:lang w:val="en-US"/>
        </w:rPr>
        <w:t xml:space="preserve">a new program for renovation of old houses with low energy interventions, with budget </w:t>
      </w:r>
      <w:r w:rsidR="00B26385" w:rsidRPr="00B26385">
        <w:rPr>
          <w:rStyle w:val="Strong"/>
          <w:b w:val="0"/>
          <w:bCs w:val="0"/>
          <w:szCs w:val="23"/>
          <w:lang w:val="en-US"/>
        </w:rPr>
        <w:t>up to</w:t>
      </w:r>
      <w:r w:rsidR="00B26385">
        <w:rPr>
          <w:rStyle w:val="Strong"/>
          <w:b w:val="0"/>
          <w:bCs w:val="0"/>
          <w:szCs w:val="23"/>
          <w:lang w:val="en-US"/>
        </w:rPr>
        <w:t xml:space="preserve"> </w:t>
      </w:r>
      <w:r w:rsidR="00B26385" w:rsidRPr="00B26385">
        <w:rPr>
          <w:rStyle w:val="Strong"/>
          <w:b w:val="0"/>
          <w:bCs w:val="0"/>
          <w:szCs w:val="23"/>
          <w:lang w:val="en-US"/>
        </w:rPr>
        <w:t>€</w:t>
      </w:r>
      <w:r w:rsidR="00B26385">
        <w:rPr>
          <w:rStyle w:val="Strong"/>
          <w:b w:val="0"/>
          <w:bCs w:val="0"/>
          <w:szCs w:val="23"/>
          <w:lang w:val="en-US"/>
        </w:rPr>
        <w:t>0.5 billion</w:t>
      </w:r>
      <w:r w:rsidR="00B26385">
        <w:rPr>
          <w:rStyle w:val="Strong"/>
          <w:szCs w:val="23"/>
          <w:lang w:val="en-US"/>
        </w:rPr>
        <w:t xml:space="preserve"> </w:t>
      </w:r>
      <w:r>
        <w:rPr>
          <w:szCs w:val="23"/>
          <w:lang w:val="en-US"/>
        </w:rPr>
        <w:t xml:space="preserve"> covered from the co-funded public investment budget;</w:t>
      </w:r>
    </w:p>
    <w:p w14:paraId="3A403F0D" w14:textId="77777777" w:rsidR="00040F57" w:rsidRDefault="00040F57" w:rsidP="007F0FDD">
      <w:pPr>
        <w:pStyle w:val="ListParagraph"/>
        <w:numPr>
          <w:ilvl w:val="0"/>
          <w:numId w:val="40"/>
        </w:numPr>
        <w:spacing w:after="180" w:line="270" w:lineRule="exact"/>
        <w:rPr>
          <w:szCs w:val="23"/>
          <w:lang w:val="en-US"/>
        </w:rPr>
      </w:pPr>
      <w:r>
        <w:rPr>
          <w:szCs w:val="23"/>
          <w:lang w:val="en-US"/>
        </w:rPr>
        <w:t>a new program for renovation of public buildings in local governments, so as to rent them to public employees in regions there is shortage of available houses, funded by the regional public investment budget;</w:t>
      </w:r>
    </w:p>
    <w:p w14:paraId="4DBFADB0" w14:textId="77777777" w:rsidR="00040F57" w:rsidRDefault="00040F57" w:rsidP="007F0FDD">
      <w:pPr>
        <w:pStyle w:val="ListParagraph"/>
        <w:numPr>
          <w:ilvl w:val="0"/>
          <w:numId w:val="40"/>
        </w:numPr>
        <w:spacing w:after="180" w:line="270" w:lineRule="exact"/>
        <w:rPr>
          <w:szCs w:val="23"/>
          <w:lang w:val="en-US"/>
        </w:rPr>
      </w:pPr>
      <w:r>
        <w:rPr>
          <w:szCs w:val="23"/>
          <w:lang w:val="en-US"/>
        </w:rPr>
        <w:t xml:space="preserve">extension of the </w:t>
      </w:r>
      <w:r w:rsidRPr="00DD2BDD">
        <w:rPr>
          <w:szCs w:val="23"/>
          <w:lang w:val="en-US"/>
        </w:rPr>
        <w:t>of the restriction on new short-term rentals</w:t>
      </w:r>
      <w:r>
        <w:rPr>
          <w:szCs w:val="23"/>
          <w:lang w:val="en-US"/>
        </w:rPr>
        <w:t xml:space="preserve"> in the center of Thessaloniki;</w:t>
      </w:r>
    </w:p>
    <w:p w14:paraId="4D771C38" w14:textId="77777777" w:rsidR="00040F57" w:rsidRDefault="00040F57" w:rsidP="007F0FDD">
      <w:pPr>
        <w:pStyle w:val="ListParagraph"/>
        <w:numPr>
          <w:ilvl w:val="0"/>
          <w:numId w:val="40"/>
        </w:numPr>
        <w:spacing w:after="180" w:line="270" w:lineRule="exact"/>
        <w:rPr>
          <w:szCs w:val="23"/>
          <w:lang w:val="en-US"/>
        </w:rPr>
      </w:pPr>
      <w:r>
        <w:rPr>
          <w:szCs w:val="23"/>
          <w:lang w:val="en-US"/>
        </w:rPr>
        <w:t>t</w:t>
      </w:r>
      <w:r w:rsidRPr="003814A6">
        <w:rPr>
          <w:szCs w:val="23"/>
          <w:lang w:val="en-US"/>
        </w:rPr>
        <w:t>ax incentive for the construction of new homes for long-term lease on favorable terms</w:t>
      </w:r>
      <w:r>
        <w:rPr>
          <w:szCs w:val="23"/>
          <w:lang w:val="en-US"/>
        </w:rPr>
        <w:t xml:space="preserve">, </w:t>
      </w:r>
      <w:r w:rsidRPr="003814A6">
        <w:rPr>
          <w:szCs w:val="23"/>
          <w:lang w:val="en-US"/>
        </w:rPr>
        <w:t>where construction companies will be able to construct new homes or convert existing properties of other uses into residential use, with the exclusive purpose of renting them out on favorable terms on a long-term lease for at least 10 years (built to rent). The income from such rent will be deductible from the income tax of the legal entity</w:t>
      </w:r>
      <w:r>
        <w:rPr>
          <w:szCs w:val="23"/>
          <w:lang w:val="en-US"/>
        </w:rPr>
        <w:t>;</w:t>
      </w:r>
    </w:p>
    <w:p w14:paraId="6D825DAB" w14:textId="77777777" w:rsidR="00040F57" w:rsidRPr="00AF5D05" w:rsidRDefault="00040F57" w:rsidP="007F0FDD">
      <w:pPr>
        <w:pStyle w:val="ListParagraph"/>
        <w:numPr>
          <w:ilvl w:val="0"/>
          <w:numId w:val="40"/>
        </w:numPr>
        <w:spacing w:after="180" w:line="270" w:lineRule="exact"/>
        <w:rPr>
          <w:szCs w:val="23"/>
          <w:lang w:val="en-US"/>
        </w:rPr>
      </w:pPr>
      <w:r>
        <w:rPr>
          <w:szCs w:val="23"/>
          <w:lang w:val="en-US"/>
        </w:rPr>
        <w:t>u</w:t>
      </w:r>
      <w:r w:rsidRPr="00541E81">
        <w:rPr>
          <w:szCs w:val="23"/>
          <w:lang w:val="en-US"/>
        </w:rPr>
        <w:t xml:space="preserve">rban planning regulation for the possibility of rapid conversion of existing properties </w:t>
      </w:r>
      <w:r>
        <w:rPr>
          <w:szCs w:val="23"/>
          <w:lang w:val="en-US"/>
        </w:rPr>
        <w:t>that</w:t>
      </w:r>
      <w:r w:rsidRPr="00541E81">
        <w:rPr>
          <w:szCs w:val="23"/>
          <w:lang w:val="en-US"/>
        </w:rPr>
        <w:t xml:space="preserve"> have non-residential use (e.g. offices, shops, accommodation, etc.) into residential use.</w:t>
      </w:r>
    </w:p>
    <w:p w14:paraId="3D505458" w14:textId="77777777" w:rsidR="00040F57" w:rsidRPr="00E03AFB" w:rsidRDefault="00040F57" w:rsidP="007F0FDD">
      <w:pPr>
        <w:pStyle w:val="mesotitlos"/>
        <w:spacing w:before="120" w:after="60" w:line="270" w:lineRule="exact"/>
      </w:pPr>
      <w:r w:rsidRPr="00E03AFB">
        <w:t>Interventions included in the Draft Budgetary Plan 2026</w:t>
      </w:r>
    </w:p>
    <w:p w14:paraId="4DC08B1C" w14:textId="77777777" w:rsidR="00040F57" w:rsidRDefault="00040F57" w:rsidP="007F0FDD">
      <w:pPr>
        <w:spacing w:after="180" w:line="270" w:lineRule="exact"/>
        <w:rPr>
          <w:lang w:val="en-US"/>
        </w:rPr>
      </w:pPr>
      <w:r>
        <w:rPr>
          <w:lang w:val="en-US"/>
        </w:rPr>
        <w:t xml:space="preserve">The fiscal interventions for </w:t>
      </w:r>
      <w:r w:rsidR="00703C4C">
        <w:rPr>
          <w:lang w:val="en-US"/>
        </w:rPr>
        <w:t xml:space="preserve">the </w:t>
      </w:r>
      <w:r>
        <w:rPr>
          <w:lang w:val="en-US"/>
        </w:rPr>
        <w:t>2026 budget include</w:t>
      </w:r>
      <w:r w:rsidR="00703C4C">
        <w:rPr>
          <w:lang w:val="en-US"/>
        </w:rPr>
        <w:t>d</w:t>
      </w:r>
      <w:r>
        <w:rPr>
          <w:lang w:val="en-US"/>
        </w:rPr>
        <w:t xml:space="preserve"> a series of reforms primarily aimed at boosting income and reducing the tax burden, particularly for the middle class, the families with children and the young people. The main interventions </w:t>
      </w:r>
      <w:r w:rsidR="00703C4C">
        <w:rPr>
          <w:lang w:val="en-US"/>
        </w:rPr>
        <w:t>included</w:t>
      </w:r>
      <w:r>
        <w:rPr>
          <w:lang w:val="en-US"/>
        </w:rPr>
        <w:t>:</w:t>
      </w:r>
    </w:p>
    <w:p w14:paraId="6EA59486" w14:textId="77777777" w:rsidR="00040F57" w:rsidRPr="00E03AFB" w:rsidRDefault="00040F57" w:rsidP="007F0FDD">
      <w:pPr>
        <w:pStyle w:val="ListParagraph"/>
        <w:numPr>
          <w:ilvl w:val="0"/>
          <w:numId w:val="33"/>
        </w:numPr>
        <w:spacing w:after="180" w:line="270" w:lineRule="exact"/>
        <w:rPr>
          <w:lang w:val="en-US"/>
        </w:rPr>
      </w:pPr>
      <w:r w:rsidRPr="00E03AFB">
        <w:rPr>
          <w:lang w:val="en-US"/>
        </w:rPr>
        <w:t>The structural reform of the income tax scale for employees, pensioners, farmers and self-employed individuals.</w:t>
      </w:r>
    </w:p>
    <w:p w14:paraId="613FD356" w14:textId="77777777" w:rsidR="00040F57" w:rsidRPr="00E03AFB" w:rsidRDefault="00040F57" w:rsidP="007F0FDD">
      <w:pPr>
        <w:pStyle w:val="ListParagraph"/>
        <w:numPr>
          <w:ilvl w:val="0"/>
          <w:numId w:val="33"/>
        </w:numPr>
        <w:spacing w:after="180" w:line="270" w:lineRule="exact"/>
        <w:rPr>
          <w:lang w:val="en-US"/>
        </w:rPr>
      </w:pPr>
      <w:r w:rsidRPr="00E03AFB">
        <w:rPr>
          <w:rStyle w:val="rynqvb"/>
          <w:lang w:val="en-US"/>
        </w:rPr>
        <w:t>The gradual elimination of the pensioners’ personal difference offset.</w:t>
      </w:r>
    </w:p>
    <w:p w14:paraId="689B716B" w14:textId="77777777" w:rsidR="00040F57" w:rsidRPr="00E03AFB" w:rsidRDefault="00040F57" w:rsidP="007F0FDD">
      <w:pPr>
        <w:pStyle w:val="ListParagraph"/>
        <w:numPr>
          <w:ilvl w:val="0"/>
          <w:numId w:val="33"/>
        </w:numPr>
        <w:spacing w:after="180" w:line="270" w:lineRule="exact"/>
        <w:rPr>
          <w:lang w:val="en-US"/>
        </w:rPr>
      </w:pPr>
      <w:r w:rsidRPr="00E03AFB">
        <w:rPr>
          <w:lang w:val="en-US"/>
        </w:rPr>
        <w:t xml:space="preserve">The reform of the special wage grid of the Armed and Security Forces, as well as wage interventions for other employee categories. </w:t>
      </w:r>
    </w:p>
    <w:p w14:paraId="2E5AF448" w14:textId="77777777" w:rsidR="00040F57" w:rsidRPr="00E03AFB" w:rsidRDefault="00040F57" w:rsidP="007F0FDD">
      <w:pPr>
        <w:pStyle w:val="ListParagraph"/>
        <w:numPr>
          <w:ilvl w:val="0"/>
          <w:numId w:val="33"/>
        </w:numPr>
        <w:spacing w:after="180" w:line="270" w:lineRule="exact"/>
        <w:rPr>
          <w:lang w:val="en-US"/>
        </w:rPr>
      </w:pPr>
      <w:r w:rsidRPr="00E03AFB">
        <w:rPr>
          <w:lang w:val="en-US"/>
        </w:rPr>
        <w:t>The gradual abolition of the property tax for small communities up to 1,500 residents.</w:t>
      </w:r>
    </w:p>
    <w:p w14:paraId="725A42E6" w14:textId="77777777" w:rsidR="00040F57" w:rsidRPr="00E03AFB" w:rsidRDefault="00040F57" w:rsidP="007F0FDD">
      <w:pPr>
        <w:pStyle w:val="ListParagraph"/>
        <w:numPr>
          <w:ilvl w:val="0"/>
          <w:numId w:val="33"/>
        </w:numPr>
        <w:spacing w:after="180" w:line="270" w:lineRule="exact"/>
        <w:rPr>
          <w:lang w:val="en-US"/>
        </w:rPr>
      </w:pPr>
      <w:r w:rsidRPr="00E03AFB">
        <w:rPr>
          <w:lang w:val="en-US"/>
        </w:rPr>
        <w:t>The 30% reduction of VAT on remote islands with population up to 20,000</w:t>
      </w:r>
      <w:r w:rsidR="00703C4C">
        <w:rPr>
          <w:lang w:val="en-US"/>
        </w:rPr>
        <w:t xml:space="preserve"> inhabitants</w:t>
      </w:r>
      <w:r w:rsidRPr="00E03AFB">
        <w:rPr>
          <w:lang w:val="en-US"/>
        </w:rPr>
        <w:t>.</w:t>
      </w:r>
    </w:p>
    <w:p w14:paraId="0BC55C1B" w14:textId="77777777" w:rsidR="00040F57" w:rsidRPr="00E03AFB" w:rsidRDefault="00040F57" w:rsidP="007F0FDD">
      <w:pPr>
        <w:pStyle w:val="ListParagraph"/>
        <w:numPr>
          <w:ilvl w:val="0"/>
          <w:numId w:val="33"/>
        </w:numPr>
        <w:spacing w:after="180" w:line="270" w:lineRule="exact"/>
        <w:rPr>
          <w:lang w:val="en-US"/>
        </w:rPr>
      </w:pPr>
      <w:r w:rsidRPr="00E03AFB">
        <w:rPr>
          <w:lang w:val="en-US"/>
        </w:rPr>
        <w:t xml:space="preserve">The introduction of an intermediate 25% tax rate on income from real estate. </w:t>
      </w:r>
    </w:p>
    <w:p w14:paraId="2D6B36AD" w14:textId="77777777" w:rsidR="00040F57" w:rsidRPr="00E03AFB" w:rsidRDefault="00040F57" w:rsidP="007F0FDD">
      <w:pPr>
        <w:pStyle w:val="ListParagraph"/>
        <w:numPr>
          <w:ilvl w:val="0"/>
          <w:numId w:val="33"/>
        </w:numPr>
        <w:spacing w:after="180" w:line="270" w:lineRule="exact"/>
        <w:rPr>
          <w:lang w:val="en-US"/>
        </w:rPr>
      </w:pPr>
      <w:r w:rsidRPr="00E03AFB">
        <w:rPr>
          <w:lang w:val="en-US"/>
        </w:rPr>
        <w:t xml:space="preserve">The reform of the objective living expenses tax system. </w:t>
      </w:r>
    </w:p>
    <w:p w14:paraId="051D4D8A" w14:textId="77777777" w:rsidR="00040F57" w:rsidRDefault="00040F57" w:rsidP="007F0FDD">
      <w:pPr>
        <w:spacing w:after="180" w:line="270" w:lineRule="exact"/>
        <w:rPr>
          <w:lang w:val="en-US"/>
        </w:rPr>
      </w:pPr>
      <w:r>
        <w:rPr>
          <w:lang w:val="en-US"/>
        </w:rPr>
        <w:t>In addition, the private sector’s minimum wage was further increased from €880 to €920 since April 2026, aiming to reach €950 in April 2027. This increase affects the unemployment benefits, the maternity allowances, the seniority allowances, the overtime compensation and the public sector wage grid.</w:t>
      </w:r>
    </w:p>
    <w:p w14:paraId="50344D92" w14:textId="77777777" w:rsidR="00040F57" w:rsidRDefault="00040F57" w:rsidP="007F0FDD">
      <w:pPr>
        <w:spacing w:after="180" w:line="270" w:lineRule="exact"/>
        <w:rPr>
          <w:lang w:val="en-US"/>
        </w:rPr>
      </w:pPr>
      <w:r>
        <w:rPr>
          <w:lang w:val="en-US"/>
        </w:rPr>
        <w:t>Additional interventions include:</w:t>
      </w:r>
    </w:p>
    <w:p w14:paraId="0190BADA" w14:textId="77777777" w:rsidR="00040F57" w:rsidRPr="00E03AFB" w:rsidRDefault="00040F57" w:rsidP="007F0FDD">
      <w:pPr>
        <w:pStyle w:val="ListParagraph"/>
        <w:numPr>
          <w:ilvl w:val="0"/>
          <w:numId w:val="34"/>
        </w:numPr>
        <w:spacing w:after="180" w:line="270" w:lineRule="exact"/>
        <w:rPr>
          <w:lang w:val="en-US"/>
        </w:rPr>
      </w:pPr>
      <w:r w:rsidRPr="00E03AFB">
        <w:rPr>
          <w:lang w:val="en-US"/>
        </w:rPr>
        <w:t xml:space="preserve">The extension of the "Marietta </w:t>
      </w:r>
      <w:proofErr w:type="spellStart"/>
      <w:r w:rsidRPr="00E03AFB">
        <w:rPr>
          <w:lang w:val="en-US"/>
        </w:rPr>
        <w:t>Giannakou</w:t>
      </w:r>
      <w:proofErr w:type="spellEnd"/>
      <w:r w:rsidRPr="00E03AFB">
        <w:rPr>
          <w:lang w:val="en-US"/>
        </w:rPr>
        <w:t>" program for the renovation and upgrading of school infrastructure, after the €300 million donation from the four systemic banks, raising the total budget to €650 million, aiming to implement projects in more than 2,500 school units.</w:t>
      </w:r>
    </w:p>
    <w:p w14:paraId="285CE462" w14:textId="77777777" w:rsidR="00040F57" w:rsidRPr="00E03AFB" w:rsidRDefault="00040F57" w:rsidP="007F0FDD">
      <w:pPr>
        <w:pStyle w:val="ListParagraph"/>
        <w:numPr>
          <w:ilvl w:val="0"/>
          <w:numId w:val="34"/>
        </w:numPr>
        <w:spacing w:after="180" w:line="270" w:lineRule="exact"/>
        <w:rPr>
          <w:lang w:val="en-US"/>
        </w:rPr>
      </w:pPr>
      <w:r w:rsidRPr="00E03AFB">
        <w:rPr>
          <w:lang w:val="en-US"/>
        </w:rPr>
        <w:t>The establishment of 100% super tax deductions for investment expenditures in strategic sectors, such as defence and the construction of vehicles, aircraft and their components.</w:t>
      </w:r>
    </w:p>
    <w:p w14:paraId="0EB25D5F" w14:textId="78CC888A" w:rsidR="00040F57" w:rsidRPr="00DA1854" w:rsidRDefault="000668FC" w:rsidP="007F0FDD">
      <w:pPr>
        <w:spacing w:after="200" w:line="270" w:lineRule="exact"/>
        <w:rPr>
          <w:lang w:val="en-US"/>
        </w:rPr>
      </w:pPr>
      <w:r w:rsidRPr="00511A6F">
        <w:fldChar w:fldCharType="begin"/>
      </w:r>
      <w:r w:rsidRPr="00511A6F">
        <w:rPr>
          <w:lang w:val="en-US"/>
        </w:rPr>
        <w:instrText xml:space="preserve"> REF _Ref228178693 \h  \* MERGEFORMAT </w:instrText>
      </w:r>
      <w:r w:rsidRPr="00511A6F">
        <w:fldChar w:fldCharType="separate"/>
      </w:r>
      <w:r w:rsidR="000B61F1" w:rsidRPr="000B61F1">
        <w:rPr>
          <w:lang w:val="en-US"/>
        </w:rPr>
        <w:t>Table 6</w:t>
      </w:r>
      <w:r w:rsidRPr="00511A6F">
        <w:fldChar w:fldCharType="end"/>
      </w:r>
      <w:r w:rsidR="00282B45" w:rsidRPr="00DA1854">
        <w:rPr>
          <w:lang w:val="en-US"/>
        </w:rPr>
        <w:t xml:space="preserve"> </w:t>
      </w:r>
      <w:r w:rsidR="00040F57" w:rsidRPr="00DA1854">
        <w:rPr>
          <w:lang w:val="en-US"/>
        </w:rPr>
        <w:t>below, presents the main fiscal interventions for the years 2025-2026 and their estimated fiscal impact. The estimated incremental impact of the discretionary revenue measures for the period 2024-2026 is presented in Annex I.</w:t>
      </w:r>
    </w:p>
    <w:p w14:paraId="0E9E29DC" w14:textId="6BC85250" w:rsidR="00214DF4" w:rsidRPr="00AF5D05" w:rsidRDefault="00214DF4" w:rsidP="00214DF4">
      <w:pPr>
        <w:pStyle w:val="Caption"/>
        <w:rPr>
          <w:b w:val="0"/>
        </w:rPr>
      </w:pPr>
      <w:bookmarkStart w:id="22" w:name="_Ref228178693"/>
      <w:bookmarkStart w:id="23" w:name="_Toc228374160"/>
      <w:r w:rsidRPr="00C53BAC">
        <w:lastRenderedPageBreak/>
        <w:t xml:space="preserve">Table </w:t>
      </w:r>
      <w:r w:rsidR="00B6443E" w:rsidRPr="00C53BAC">
        <w:fldChar w:fldCharType="begin"/>
      </w:r>
      <w:r w:rsidRPr="00C53BAC">
        <w:instrText xml:space="preserve"> SEQ Table \* ARABIC </w:instrText>
      </w:r>
      <w:r w:rsidR="00B6443E" w:rsidRPr="00C53BAC">
        <w:fldChar w:fldCharType="separate"/>
      </w:r>
      <w:r w:rsidR="000B61F1">
        <w:rPr>
          <w:noProof/>
        </w:rPr>
        <w:t>6</w:t>
      </w:r>
      <w:r w:rsidR="00B6443E" w:rsidRPr="00C53BAC">
        <w:fldChar w:fldCharType="end"/>
      </w:r>
      <w:bookmarkEnd w:id="21"/>
      <w:bookmarkEnd w:id="22"/>
      <w:r w:rsidRPr="00C53BAC">
        <w:t xml:space="preserve"> | Main discretionary measures 2025-2026</w:t>
      </w:r>
      <w:r w:rsidR="00E86BD3">
        <w:rPr>
          <w:b w:val="0"/>
        </w:rPr>
        <w:t xml:space="preserve">                                 </w:t>
      </w:r>
      <w:r w:rsidRPr="00AF5D05">
        <w:rPr>
          <w:b w:val="0"/>
        </w:rPr>
        <w:t>(in million euros)</w:t>
      </w:r>
      <w:bookmarkEnd w:id="23"/>
      <w:r w:rsidRPr="00AF5D05">
        <w:rPr>
          <w:b w:val="0"/>
        </w:rPr>
        <w:tab/>
      </w:r>
    </w:p>
    <w:tbl>
      <w:tblPr>
        <w:tblW w:w="8902" w:type="dxa"/>
        <w:jc w:val="center"/>
        <w:tblLook w:val="04A0" w:firstRow="1" w:lastRow="0" w:firstColumn="1" w:lastColumn="0" w:noHBand="0" w:noVBand="1"/>
      </w:tblPr>
      <w:tblGrid>
        <w:gridCol w:w="6972"/>
        <w:gridCol w:w="965"/>
        <w:gridCol w:w="965"/>
      </w:tblGrid>
      <w:tr w:rsidR="00CF2758" w:rsidRPr="00CF2758" w14:paraId="4EC17E5E" w14:textId="77777777" w:rsidTr="008E5B9E">
        <w:trPr>
          <w:trHeight w:val="284"/>
          <w:jc w:val="center"/>
        </w:trPr>
        <w:tc>
          <w:tcPr>
            <w:tcW w:w="6936" w:type="dxa"/>
            <w:tcBorders>
              <w:top w:val="single" w:sz="8" w:space="0" w:color="95B3D7" w:themeColor="accent1" w:themeTint="99"/>
              <w:left w:val="single" w:sz="8" w:space="0" w:color="95B3D7" w:themeColor="accent1" w:themeTint="99"/>
              <w:bottom w:val="single" w:sz="8" w:space="0" w:color="FFFFFF"/>
              <w:right w:val="nil"/>
            </w:tcBorders>
            <w:shd w:val="clear" w:color="auto" w:fill="C6D9F1" w:themeFill="text2" w:themeFillTint="33"/>
            <w:vAlign w:val="center"/>
            <w:hideMark/>
          </w:tcPr>
          <w:p w14:paraId="64B884DB" w14:textId="77777777" w:rsidR="00CF2758" w:rsidRPr="00AF5D05" w:rsidRDefault="00CF2758" w:rsidP="00282B45">
            <w:pPr>
              <w:pStyle w:val="Tabletext"/>
              <w:spacing w:line="250" w:lineRule="exact"/>
              <w:rPr>
                <w:b/>
              </w:rPr>
            </w:pPr>
            <w:r w:rsidRPr="00AF5D05">
              <w:rPr>
                <w:b/>
              </w:rPr>
              <w:t>A. New Interventions</w:t>
            </w:r>
          </w:p>
        </w:tc>
        <w:tc>
          <w:tcPr>
            <w:tcW w:w="960" w:type="dxa"/>
            <w:tcBorders>
              <w:top w:val="single" w:sz="8" w:space="0" w:color="95B3D7" w:themeColor="accent1" w:themeTint="99"/>
              <w:left w:val="nil"/>
              <w:bottom w:val="single" w:sz="8" w:space="0" w:color="FFFFFF"/>
              <w:right w:val="nil"/>
            </w:tcBorders>
            <w:shd w:val="clear" w:color="auto" w:fill="C6D9F1" w:themeFill="text2" w:themeFillTint="33"/>
            <w:vAlign w:val="center"/>
            <w:hideMark/>
          </w:tcPr>
          <w:p w14:paraId="15CDBEA5" w14:textId="77777777" w:rsidR="00CF2758" w:rsidRPr="00AF5D05" w:rsidRDefault="00CF2758" w:rsidP="00282B45">
            <w:pPr>
              <w:pStyle w:val="Tabletext"/>
              <w:spacing w:line="250" w:lineRule="exact"/>
              <w:jc w:val="center"/>
              <w:rPr>
                <w:b/>
                <w:sz w:val="22"/>
              </w:rPr>
            </w:pPr>
            <w:r w:rsidRPr="00AF5D05">
              <w:rPr>
                <w:b/>
                <w:sz w:val="22"/>
              </w:rPr>
              <w:t>2025</w:t>
            </w:r>
          </w:p>
        </w:tc>
        <w:tc>
          <w:tcPr>
            <w:tcW w:w="960" w:type="dxa"/>
            <w:tcBorders>
              <w:top w:val="single" w:sz="8" w:space="0" w:color="95B3D7" w:themeColor="accent1" w:themeTint="99"/>
              <w:left w:val="nil"/>
              <w:bottom w:val="single" w:sz="8" w:space="0" w:color="FFFFFF"/>
              <w:right w:val="single" w:sz="8" w:space="0" w:color="95B3D7" w:themeColor="accent1" w:themeTint="99"/>
            </w:tcBorders>
            <w:shd w:val="clear" w:color="auto" w:fill="C6D9F1" w:themeFill="text2" w:themeFillTint="33"/>
            <w:vAlign w:val="center"/>
            <w:hideMark/>
          </w:tcPr>
          <w:p w14:paraId="111787CD" w14:textId="77777777" w:rsidR="00CF2758" w:rsidRPr="00AF5D05" w:rsidRDefault="00CF2758" w:rsidP="00282B45">
            <w:pPr>
              <w:pStyle w:val="Tabletext"/>
              <w:spacing w:line="250" w:lineRule="exact"/>
              <w:jc w:val="center"/>
              <w:rPr>
                <w:b/>
                <w:sz w:val="22"/>
              </w:rPr>
            </w:pPr>
            <w:r w:rsidRPr="00AF5D05">
              <w:rPr>
                <w:b/>
                <w:sz w:val="22"/>
              </w:rPr>
              <w:t>2026</w:t>
            </w:r>
          </w:p>
        </w:tc>
      </w:tr>
      <w:tr w:rsidR="00CF2758" w:rsidRPr="00CF2758" w14:paraId="7335799D" w14:textId="77777777" w:rsidTr="008E5B9E">
        <w:trPr>
          <w:trHeight w:val="284"/>
          <w:jc w:val="center"/>
        </w:trPr>
        <w:tc>
          <w:tcPr>
            <w:tcW w:w="6936" w:type="dxa"/>
            <w:tcBorders>
              <w:top w:val="single" w:sz="8" w:space="0" w:color="FFFFFF"/>
              <w:left w:val="single" w:sz="8" w:space="0" w:color="95B3D7" w:themeColor="accent1" w:themeTint="99"/>
              <w:bottom w:val="single" w:sz="8" w:space="0" w:color="FFFFFF"/>
              <w:right w:val="nil"/>
            </w:tcBorders>
            <w:shd w:val="clear" w:color="auto" w:fill="DBE5F1" w:themeFill="accent1" w:themeFillTint="33"/>
            <w:noWrap/>
            <w:vAlign w:val="center"/>
            <w:hideMark/>
          </w:tcPr>
          <w:p w14:paraId="7019AD25" w14:textId="77777777" w:rsidR="00CF2758" w:rsidRPr="00AF5D05" w:rsidRDefault="00CF2758" w:rsidP="00282B45">
            <w:pPr>
              <w:pStyle w:val="Tabletext"/>
              <w:spacing w:line="250" w:lineRule="exact"/>
              <w:rPr>
                <w:b/>
                <w:sz w:val="22"/>
              </w:rPr>
            </w:pPr>
            <w:r w:rsidRPr="00AF5D05">
              <w:rPr>
                <w:b/>
                <w:sz w:val="22"/>
              </w:rPr>
              <w:t>A1.  Temporary energy measures</w:t>
            </w:r>
          </w:p>
        </w:tc>
        <w:tc>
          <w:tcPr>
            <w:tcW w:w="960" w:type="dxa"/>
            <w:tcBorders>
              <w:top w:val="single" w:sz="8" w:space="0" w:color="FFFFFF"/>
              <w:left w:val="nil"/>
              <w:bottom w:val="single" w:sz="8" w:space="0" w:color="FFFFFF"/>
              <w:right w:val="nil"/>
            </w:tcBorders>
            <w:shd w:val="clear" w:color="auto" w:fill="DBE5F1" w:themeFill="accent1" w:themeFillTint="33"/>
            <w:noWrap/>
            <w:vAlign w:val="center"/>
            <w:hideMark/>
          </w:tcPr>
          <w:p w14:paraId="24144BD8" w14:textId="77777777" w:rsidR="00CF2758" w:rsidRPr="00AF5D05" w:rsidRDefault="00CF2758" w:rsidP="00282B45">
            <w:pPr>
              <w:pStyle w:val="Tabletext"/>
              <w:spacing w:line="250" w:lineRule="exact"/>
              <w:jc w:val="center"/>
              <w:rPr>
                <w:b/>
                <w:sz w:val="22"/>
              </w:rPr>
            </w:pPr>
          </w:p>
        </w:tc>
        <w:tc>
          <w:tcPr>
            <w:tcW w:w="960" w:type="dxa"/>
            <w:tcBorders>
              <w:top w:val="single" w:sz="8" w:space="0" w:color="FFFFFF"/>
              <w:left w:val="nil"/>
              <w:bottom w:val="single" w:sz="8" w:space="0" w:color="FFFFFF"/>
              <w:right w:val="single" w:sz="8" w:space="0" w:color="95B3D7" w:themeColor="accent1" w:themeTint="99"/>
            </w:tcBorders>
            <w:shd w:val="clear" w:color="auto" w:fill="DBE5F1" w:themeFill="accent1" w:themeFillTint="33"/>
            <w:noWrap/>
            <w:vAlign w:val="center"/>
            <w:hideMark/>
          </w:tcPr>
          <w:p w14:paraId="39AE6A6C" w14:textId="77777777" w:rsidR="00CF2758" w:rsidRPr="00AF5D05" w:rsidRDefault="00CF2758" w:rsidP="00282B45">
            <w:pPr>
              <w:pStyle w:val="Tabletext"/>
              <w:spacing w:line="250" w:lineRule="exact"/>
              <w:jc w:val="center"/>
              <w:rPr>
                <w:b/>
                <w:sz w:val="22"/>
              </w:rPr>
            </w:pPr>
          </w:p>
        </w:tc>
      </w:tr>
      <w:tr w:rsidR="00CF2758" w:rsidRPr="00CF2758" w14:paraId="53C1E320" w14:textId="77777777" w:rsidTr="008E5B9E">
        <w:trPr>
          <w:trHeight w:val="284"/>
          <w:jc w:val="center"/>
        </w:trPr>
        <w:tc>
          <w:tcPr>
            <w:tcW w:w="6936" w:type="dxa"/>
            <w:tcBorders>
              <w:top w:val="single" w:sz="8" w:space="0" w:color="FFFFFF"/>
              <w:left w:val="single" w:sz="8" w:space="0" w:color="95B3D7" w:themeColor="accent1" w:themeTint="99"/>
              <w:bottom w:val="single" w:sz="8" w:space="0" w:color="FFFFFF"/>
              <w:right w:val="nil"/>
            </w:tcBorders>
            <w:shd w:val="clear" w:color="000000" w:fill="F2F2F2"/>
            <w:vAlign w:val="center"/>
            <w:hideMark/>
          </w:tcPr>
          <w:p w14:paraId="658767B5" w14:textId="77777777" w:rsidR="00CF2758" w:rsidRPr="00CF2758" w:rsidRDefault="00CF2758" w:rsidP="00282B45">
            <w:pPr>
              <w:pStyle w:val="Tabletext"/>
              <w:spacing w:line="250" w:lineRule="exact"/>
              <w:rPr>
                <w:sz w:val="22"/>
              </w:rPr>
            </w:pPr>
            <w:r w:rsidRPr="00CF2758">
              <w:rPr>
                <w:sz w:val="22"/>
              </w:rPr>
              <w:t>Subsidy on diesel fuel, covering April-May 2026</w:t>
            </w:r>
          </w:p>
        </w:tc>
        <w:tc>
          <w:tcPr>
            <w:tcW w:w="960" w:type="dxa"/>
            <w:tcBorders>
              <w:top w:val="single" w:sz="8" w:space="0" w:color="FFFFFF"/>
              <w:left w:val="nil"/>
              <w:bottom w:val="single" w:sz="8" w:space="0" w:color="FFFFFF"/>
              <w:right w:val="nil"/>
            </w:tcBorders>
            <w:shd w:val="clear" w:color="000000" w:fill="F2F2F2"/>
            <w:vAlign w:val="center"/>
            <w:hideMark/>
          </w:tcPr>
          <w:p w14:paraId="16A26558" w14:textId="77777777" w:rsidR="00CF2758" w:rsidRPr="00CF2758" w:rsidRDefault="00CF2758" w:rsidP="00282B45">
            <w:pPr>
              <w:pStyle w:val="Tabletext"/>
              <w:spacing w:line="250" w:lineRule="exact"/>
              <w:jc w:val="center"/>
              <w:rPr>
                <w:sz w:val="22"/>
              </w:rPr>
            </w:pPr>
            <w:r w:rsidRPr="00CF2758">
              <w:rPr>
                <w:sz w:val="22"/>
              </w:rPr>
              <w:t>0</w:t>
            </w:r>
          </w:p>
        </w:tc>
        <w:tc>
          <w:tcPr>
            <w:tcW w:w="960" w:type="dxa"/>
            <w:tcBorders>
              <w:top w:val="single" w:sz="8" w:space="0" w:color="FFFFFF"/>
              <w:left w:val="nil"/>
              <w:bottom w:val="single" w:sz="8" w:space="0" w:color="FFFFFF"/>
              <w:right w:val="single" w:sz="8" w:space="0" w:color="95B3D7" w:themeColor="accent1" w:themeTint="99"/>
            </w:tcBorders>
            <w:shd w:val="clear" w:color="000000" w:fill="F2F2F2"/>
            <w:vAlign w:val="center"/>
            <w:hideMark/>
          </w:tcPr>
          <w:p w14:paraId="6F16AB98" w14:textId="77777777" w:rsidR="00CF2758" w:rsidRPr="00CF2758" w:rsidRDefault="00CF2758" w:rsidP="00282B45">
            <w:pPr>
              <w:pStyle w:val="Tabletext"/>
              <w:spacing w:line="250" w:lineRule="exact"/>
              <w:jc w:val="center"/>
              <w:rPr>
                <w:sz w:val="22"/>
              </w:rPr>
            </w:pPr>
            <w:r w:rsidRPr="00CF2758">
              <w:rPr>
                <w:sz w:val="22"/>
              </w:rPr>
              <w:t>-106</w:t>
            </w:r>
          </w:p>
        </w:tc>
      </w:tr>
      <w:tr w:rsidR="00CF2758" w:rsidRPr="00CF2758" w14:paraId="087E2CD7" w14:textId="77777777" w:rsidTr="008E5B9E">
        <w:trPr>
          <w:trHeight w:val="284"/>
          <w:jc w:val="center"/>
        </w:trPr>
        <w:tc>
          <w:tcPr>
            <w:tcW w:w="6936" w:type="dxa"/>
            <w:tcBorders>
              <w:top w:val="single" w:sz="8" w:space="0" w:color="FFFFFF"/>
              <w:left w:val="single" w:sz="8" w:space="0" w:color="95B3D7" w:themeColor="accent1" w:themeTint="99"/>
              <w:bottom w:val="single" w:sz="8" w:space="0" w:color="FFFFFF"/>
              <w:right w:val="nil"/>
            </w:tcBorders>
            <w:shd w:val="clear" w:color="000000" w:fill="D9D9D9"/>
            <w:vAlign w:val="center"/>
            <w:hideMark/>
          </w:tcPr>
          <w:p w14:paraId="503314AC" w14:textId="77777777" w:rsidR="00CF2758" w:rsidRPr="00CF2758" w:rsidRDefault="00CF2758" w:rsidP="00282B45">
            <w:pPr>
              <w:pStyle w:val="Tabletext"/>
              <w:spacing w:line="250" w:lineRule="exact"/>
              <w:rPr>
                <w:sz w:val="22"/>
              </w:rPr>
            </w:pPr>
            <w:r w:rsidRPr="00CF2758">
              <w:rPr>
                <w:sz w:val="22"/>
              </w:rPr>
              <w:t>Prepaid card for fuels to households, covering April-May 2026</w:t>
            </w:r>
          </w:p>
        </w:tc>
        <w:tc>
          <w:tcPr>
            <w:tcW w:w="960" w:type="dxa"/>
            <w:tcBorders>
              <w:top w:val="single" w:sz="8" w:space="0" w:color="FFFFFF"/>
              <w:left w:val="nil"/>
              <w:bottom w:val="single" w:sz="8" w:space="0" w:color="FFFFFF"/>
              <w:right w:val="nil"/>
            </w:tcBorders>
            <w:shd w:val="clear" w:color="000000" w:fill="D9D9D9"/>
            <w:vAlign w:val="center"/>
            <w:hideMark/>
          </w:tcPr>
          <w:p w14:paraId="52ACE05A" w14:textId="77777777" w:rsidR="00CF2758" w:rsidRPr="00CF2758" w:rsidRDefault="00CF2758" w:rsidP="00282B45">
            <w:pPr>
              <w:pStyle w:val="Tabletext"/>
              <w:spacing w:line="250" w:lineRule="exact"/>
              <w:jc w:val="center"/>
              <w:rPr>
                <w:sz w:val="22"/>
              </w:rPr>
            </w:pPr>
            <w:r w:rsidRPr="00CF2758">
              <w:rPr>
                <w:sz w:val="22"/>
              </w:rPr>
              <w:t>0</w:t>
            </w:r>
          </w:p>
        </w:tc>
        <w:tc>
          <w:tcPr>
            <w:tcW w:w="960" w:type="dxa"/>
            <w:tcBorders>
              <w:top w:val="single" w:sz="8" w:space="0" w:color="FFFFFF"/>
              <w:left w:val="nil"/>
              <w:bottom w:val="single" w:sz="8" w:space="0" w:color="FFFFFF"/>
              <w:right w:val="single" w:sz="8" w:space="0" w:color="95B3D7" w:themeColor="accent1" w:themeTint="99"/>
            </w:tcBorders>
            <w:shd w:val="clear" w:color="000000" w:fill="D9D9D9"/>
            <w:vAlign w:val="center"/>
            <w:hideMark/>
          </w:tcPr>
          <w:p w14:paraId="4D27BCAE" w14:textId="77777777" w:rsidR="00CF2758" w:rsidRPr="00CF2758" w:rsidRDefault="00CF2758" w:rsidP="00282B45">
            <w:pPr>
              <w:pStyle w:val="Tabletext"/>
              <w:spacing w:line="250" w:lineRule="exact"/>
              <w:jc w:val="center"/>
              <w:rPr>
                <w:sz w:val="22"/>
              </w:rPr>
            </w:pPr>
            <w:r w:rsidRPr="00CF2758">
              <w:rPr>
                <w:sz w:val="22"/>
              </w:rPr>
              <w:t>-130</w:t>
            </w:r>
          </w:p>
        </w:tc>
      </w:tr>
      <w:tr w:rsidR="00CF2758" w:rsidRPr="00CF2758" w14:paraId="0011BBE9" w14:textId="77777777" w:rsidTr="008E5B9E">
        <w:trPr>
          <w:trHeight w:val="284"/>
          <w:jc w:val="center"/>
        </w:trPr>
        <w:tc>
          <w:tcPr>
            <w:tcW w:w="6936" w:type="dxa"/>
            <w:tcBorders>
              <w:top w:val="single" w:sz="8" w:space="0" w:color="FFFFFF"/>
              <w:left w:val="single" w:sz="8" w:space="0" w:color="95B3D7" w:themeColor="accent1" w:themeTint="99"/>
              <w:bottom w:val="single" w:sz="8" w:space="0" w:color="FFFFFF"/>
              <w:right w:val="nil"/>
            </w:tcBorders>
            <w:shd w:val="clear" w:color="000000" w:fill="F2F2F2"/>
            <w:vAlign w:val="center"/>
            <w:hideMark/>
          </w:tcPr>
          <w:p w14:paraId="6B8AEE79" w14:textId="77777777" w:rsidR="00CF2758" w:rsidRPr="00CF2758" w:rsidRDefault="00CF2758" w:rsidP="00282B45">
            <w:pPr>
              <w:pStyle w:val="Tabletext"/>
              <w:spacing w:line="250" w:lineRule="exact"/>
              <w:rPr>
                <w:sz w:val="22"/>
              </w:rPr>
            </w:pPr>
            <w:r w:rsidRPr="00CF2758">
              <w:rPr>
                <w:sz w:val="22"/>
              </w:rPr>
              <w:t>Subsidy covering 15% of farmers’ fertilizer costs, for the period 15 March-31 August 2026</w:t>
            </w:r>
          </w:p>
        </w:tc>
        <w:tc>
          <w:tcPr>
            <w:tcW w:w="960" w:type="dxa"/>
            <w:tcBorders>
              <w:top w:val="single" w:sz="8" w:space="0" w:color="FFFFFF"/>
              <w:left w:val="nil"/>
              <w:bottom w:val="single" w:sz="8" w:space="0" w:color="FFFFFF"/>
              <w:right w:val="nil"/>
            </w:tcBorders>
            <w:shd w:val="clear" w:color="000000" w:fill="F2F2F2"/>
            <w:vAlign w:val="center"/>
            <w:hideMark/>
          </w:tcPr>
          <w:p w14:paraId="4BEB84E7" w14:textId="77777777" w:rsidR="00CF2758" w:rsidRPr="00CF2758" w:rsidRDefault="00CF2758" w:rsidP="00282B45">
            <w:pPr>
              <w:pStyle w:val="Tabletext"/>
              <w:spacing w:line="250" w:lineRule="exact"/>
              <w:jc w:val="center"/>
              <w:rPr>
                <w:sz w:val="22"/>
              </w:rPr>
            </w:pPr>
            <w:r w:rsidRPr="00CF2758">
              <w:rPr>
                <w:sz w:val="22"/>
              </w:rPr>
              <w:t>0</w:t>
            </w:r>
          </w:p>
        </w:tc>
        <w:tc>
          <w:tcPr>
            <w:tcW w:w="960" w:type="dxa"/>
            <w:tcBorders>
              <w:top w:val="single" w:sz="8" w:space="0" w:color="FFFFFF"/>
              <w:left w:val="nil"/>
              <w:bottom w:val="single" w:sz="8" w:space="0" w:color="FFFFFF"/>
              <w:right w:val="single" w:sz="8" w:space="0" w:color="95B3D7" w:themeColor="accent1" w:themeTint="99"/>
            </w:tcBorders>
            <w:shd w:val="clear" w:color="000000" w:fill="F2F2F2"/>
            <w:vAlign w:val="center"/>
            <w:hideMark/>
          </w:tcPr>
          <w:p w14:paraId="25566FF4" w14:textId="77777777" w:rsidR="00CF2758" w:rsidRPr="00CF2758" w:rsidRDefault="00CF2758" w:rsidP="00282B45">
            <w:pPr>
              <w:pStyle w:val="Tabletext"/>
              <w:spacing w:line="250" w:lineRule="exact"/>
              <w:jc w:val="center"/>
              <w:rPr>
                <w:sz w:val="22"/>
              </w:rPr>
            </w:pPr>
            <w:r w:rsidRPr="00CF2758">
              <w:rPr>
                <w:sz w:val="22"/>
              </w:rPr>
              <w:t>-41</w:t>
            </w:r>
          </w:p>
        </w:tc>
      </w:tr>
      <w:tr w:rsidR="00CF2758" w:rsidRPr="00CF2758" w14:paraId="3DC5FAD4" w14:textId="77777777" w:rsidTr="008E5B9E">
        <w:trPr>
          <w:trHeight w:val="284"/>
          <w:jc w:val="center"/>
        </w:trPr>
        <w:tc>
          <w:tcPr>
            <w:tcW w:w="6936" w:type="dxa"/>
            <w:tcBorders>
              <w:top w:val="single" w:sz="8" w:space="0" w:color="FFFFFF"/>
              <w:left w:val="single" w:sz="8" w:space="0" w:color="95B3D7" w:themeColor="accent1" w:themeTint="99"/>
              <w:bottom w:val="single" w:sz="8" w:space="0" w:color="FFFFFF"/>
              <w:right w:val="nil"/>
            </w:tcBorders>
            <w:shd w:val="clear" w:color="000000" w:fill="D9D9D9"/>
            <w:vAlign w:val="center"/>
            <w:hideMark/>
          </w:tcPr>
          <w:p w14:paraId="43628C12" w14:textId="77777777" w:rsidR="00CF2758" w:rsidRPr="00CF2758" w:rsidRDefault="00CF2758" w:rsidP="00282B45">
            <w:pPr>
              <w:pStyle w:val="Tabletext"/>
              <w:spacing w:line="250" w:lineRule="exact"/>
              <w:rPr>
                <w:sz w:val="22"/>
              </w:rPr>
            </w:pPr>
            <w:r w:rsidRPr="00CF2758">
              <w:rPr>
                <w:sz w:val="22"/>
              </w:rPr>
              <w:t>One-off allowance of €150 per child to families, subject to income criteria</w:t>
            </w:r>
          </w:p>
        </w:tc>
        <w:tc>
          <w:tcPr>
            <w:tcW w:w="960" w:type="dxa"/>
            <w:tcBorders>
              <w:top w:val="single" w:sz="8" w:space="0" w:color="FFFFFF"/>
              <w:left w:val="nil"/>
              <w:bottom w:val="single" w:sz="8" w:space="0" w:color="FFFFFF"/>
              <w:right w:val="nil"/>
            </w:tcBorders>
            <w:shd w:val="clear" w:color="000000" w:fill="D9D9D9"/>
            <w:vAlign w:val="center"/>
            <w:hideMark/>
          </w:tcPr>
          <w:p w14:paraId="36A471BF" w14:textId="77777777" w:rsidR="00CF2758" w:rsidRPr="00CF2758" w:rsidRDefault="00CF2758" w:rsidP="00282B45">
            <w:pPr>
              <w:pStyle w:val="Tabletext"/>
              <w:spacing w:line="250" w:lineRule="exact"/>
              <w:jc w:val="center"/>
              <w:rPr>
                <w:sz w:val="22"/>
              </w:rPr>
            </w:pPr>
            <w:r w:rsidRPr="00CF2758">
              <w:rPr>
                <w:sz w:val="22"/>
              </w:rPr>
              <w:t>0</w:t>
            </w:r>
          </w:p>
        </w:tc>
        <w:tc>
          <w:tcPr>
            <w:tcW w:w="960" w:type="dxa"/>
            <w:tcBorders>
              <w:top w:val="single" w:sz="8" w:space="0" w:color="FFFFFF"/>
              <w:left w:val="nil"/>
              <w:bottom w:val="single" w:sz="8" w:space="0" w:color="FFFFFF"/>
              <w:right w:val="single" w:sz="8" w:space="0" w:color="95B3D7" w:themeColor="accent1" w:themeTint="99"/>
            </w:tcBorders>
            <w:shd w:val="clear" w:color="000000" w:fill="D9D9D9"/>
            <w:vAlign w:val="center"/>
            <w:hideMark/>
          </w:tcPr>
          <w:p w14:paraId="5DAC8061" w14:textId="77777777" w:rsidR="00CF2758" w:rsidRPr="00CF2758" w:rsidRDefault="00CF2758" w:rsidP="00282B45">
            <w:pPr>
              <w:pStyle w:val="Tabletext"/>
              <w:spacing w:line="250" w:lineRule="exact"/>
              <w:jc w:val="center"/>
              <w:rPr>
                <w:sz w:val="22"/>
              </w:rPr>
            </w:pPr>
            <w:r w:rsidRPr="00CF2758">
              <w:rPr>
                <w:sz w:val="22"/>
              </w:rPr>
              <w:t>-240</w:t>
            </w:r>
          </w:p>
        </w:tc>
      </w:tr>
      <w:tr w:rsidR="00CF2758" w:rsidRPr="006E7C4C" w14:paraId="2EF02DBE" w14:textId="77777777" w:rsidTr="008E5B9E">
        <w:trPr>
          <w:trHeight w:val="284"/>
          <w:jc w:val="center"/>
        </w:trPr>
        <w:tc>
          <w:tcPr>
            <w:tcW w:w="6936" w:type="dxa"/>
            <w:tcBorders>
              <w:top w:val="single" w:sz="8" w:space="0" w:color="FFFFFF"/>
              <w:left w:val="single" w:sz="8" w:space="0" w:color="95B3D7" w:themeColor="accent1" w:themeTint="99"/>
              <w:bottom w:val="single" w:sz="8" w:space="0" w:color="FFFFFF"/>
              <w:right w:val="nil"/>
            </w:tcBorders>
            <w:shd w:val="clear" w:color="auto" w:fill="DBE5F1" w:themeFill="accent1" w:themeFillTint="33"/>
            <w:noWrap/>
            <w:vAlign w:val="center"/>
            <w:hideMark/>
          </w:tcPr>
          <w:p w14:paraId="6F347EF0" w14:textId="77777777" w:rsidR="00CF2758" w:rsidRPr="006E7C4C" w:rsidRDefault="00CF2758" w:rsidP="00282B45">
            <w:pPr>
              <w:pStyle w:val="Tabletext"/>
              <w:spacing w:line="250" w:lineRule="exact"/>
              <w:rPr>
                <w:b/>
                <w:sz w:val="22"/>
              </w:rPr>
            </w:pPr>
            <w:r w:rsidRPr="006E7C4C">
              <w:rPr>
                <w:b/>
                <w:sz w:val="22"/>
              </w:rPr>
              <w:t>A2.  New permanent measures</w:t>
            </w:r>
          </w:p>
        </w:tc>
        <w:tc>
          <w:tcPr>
            <w:tcW w:w="960" w:type="dxa"/>
            <w:tcBorders>
              <w:top w:val="single" w:sz="8" w:space="0" w:color="FFFFFF"/>
              <w:left w:val="nil"/>
              <w:bottom w:val="single" w:sz="8" w:space="0" w:color="FFFFFF"/>
              <w:right w:val="nil"/>
            </w:tcBorders>
            <w:shd w:val="clear" w:color="auto" w:fill="DBE5F1" w:themeFill="accent1" w:themeFillTint="33"/>
            <w:noWrap/>
            <w:vAlign w:val="center"/>
            <w:hideMark/>
          </w:tcPr>
          <w:p w14:paraId="4BF6BAEB" w14:textId="77777777" w:rsidR="00CF2758" w:rsidRPr="006E7C4C" w:rsidRDefault="00CF2758" w:rsidP="00282B45">
            <w:pPr>
              <w:pStyle w:val="Tabletext"/>
              <w:spacing w:line="250" w:lineRule="exact"/>
              <w:jc w:val="center"/>
              <w:rPr>
                <w:b/>
                <w:sz w:val="22"/>
              </w:rPr>
            </w:pPr>
          </w:p>
        </w:tc>
        <w:tc>
          <w:tcPr>
            <w:tcW w:w="960" w:type="dxa"/>
            <w:tcBorders>
              <w:top w:val="single" w:sz="8" w:space="0" w:color="FFFFFF"/>
              <w:left w:val="nil"/>
              <w:bottom w:val="single" w:sz="8" w:space="0" w:color="FFFFFF"/>
              <w:right w:val="single" w:sz="8" w:space="0" w:color="95B3D7" w:themeColor="accent1" w:themeTint="99"/>
            </w:tcBorders>
            <w:shd w:val="clear" w:color="auto" w:fill="DBE5F1" w:themeFill="accent1" w:themeFillTint="33"/>
            <w:noWrap/>
            <w:vAlign w:val="center"/>
            <w:hideMark/>
          </w:tcPr>
          <w:p w14:paraId="536D9B6B" w14:textId="77777777" w:rsidR="00CF2758" w:rsidRPr="006E7C4C" w:rsidRDefault="00CF2758" w:rsidP="00282B45">
            <w:pPr>
              <w:pStyle w:val="Tabletext"/>
              <w:spacing w:line="250" w:lineRule="exact"/>
              <w:jc w:val="center"/>
              <w:rPr>
                <w:b/>
                <w:sz w:val="22"/>
              </w:rPr>
            </w:pPr>
          </w:p>
        </w:tc>
      </w:tr>
      <w:tr w:rsidR="00CF2758" w:rsidRPr="00CF2758" w14:paraId="58E087BA" w14:textId="77777777" w:rsidTr="008E5B9E">
        <w:trPr>
          <w:trHeight w:val="284"/>
          <w:jc w:val="center"/>
        </w:trPr>
        <w:tc>
          <w:tcPr>
            <w:tcW w:w="6936" w:type="dxa"/>
            <w:tcBorders>
              <w:top w:val="single" w:sz="8" w:space="0" w:color="FFFFFF"/>
              <w:left w:val="single" w:sz="8" w:space="0" w:color="95B3D7" w:themeColor="accent1" w:themeTint="99"/>
              <w:bottom w:val="single" w:sz="8" w:space="0" w:color="FFFFFF"/>
              <w:right w:val="nil"/>
            </w:tcBorders>
            <w:shd w:val="clear" w:color="000000" w:fill="F2F2F2"/>
            <w:vAlign w:val="center"/>
            <w:hideMark/>
          </w:tcPr>
          <w:p w14:paraId="4F178BA5" w14:textId="77777777" w:rsidR="00CF2758" w:rsidRPr="00CF2758" w:rsidRDefault="00CF2758" w:rsidP="00282B45">
            <w:pPr>
              <w:pStyle w:val="Tabletext"/>
              <w:spacing w:line="250" w:lineRule="exact"/>
              <w:rPr>
                <w:sz w:val="22"/>
              </w:rPr>
            </w:pPr>
            <w:r w:rsidRPr="00CF2758">
              <w:rPr>
                <w:sz w:val="22"/>
              </w:rPr>
              <w:t>Increase of the annual amount to €300 and the number of eligible citizens for the social benefit to pensioners, uninsured elderly and beneficiaries of disability allowances</w:t>
            </w:r>
          </w:p>
        </w:tc>
        <w:tc>
          <w:tcPr>
            <w:tcW w:w="960" w:type="dxa"/>
            <w:tcBorders>
              <w:top w:val="single" w:sz="8" w:space="0" w:color="FFFFFF"/>
              <w:left w:val="nil"/>
              <w:bottom w:val="single" w:sz="8" w:space="0" w:color="FFFFFF"/>
              <w:right w:val="nil"/>
            </w:tcBorders>
            <w:shd w:val="clear" w:color="000000" w:fill="F2F2F2"/>
            <w:vAlign w:val="center"/>
            <w:hideMark/>
          </w:tcPr>
          <w:p w14:paraId="55550691" w14:textId="77777777" w:rsidR="00CF2758" w:rsidRPr="00CF2758" w:rsidRDefault="00CF2758" w:rsidP="00282B45">
            <w:pPr>
              <w:pStyle w:val="Tabletext"/>
              <w:spacing w:line="250" w:lineRule="exact"/>
              <w:jc w:val="center"/>
              <w:rPr>
                <w:sz w:val="22"/>
              </w:rPr>
            </w:pPr>
            <w:r w:rsidRPr="00CF2758">
              <w:rPr>
                <w:sz w:val="22"/>
              </w:rPr>
              <w:t>0</w:t>
            </w:r>
          </w:p>
        </w:tc>
        <w:tc>
          <w:tcPr>
            <w:tcW w:w="960" w:type="dxa"/>
            <w:tcBorders>
              <w:top w:val="single" w:sz="8" w:space="0" w:color="FFFFFF"/>
              <w:left w:val="nil"/>
              <w:bottom w:val="single" w:sz="8" w:space="0" w:color="FFFFFF"/>
              <w:right w:val="single" w:sz="8" w:space="0" w:color="95B3D7" w:themeColor="accent1" w:themeTint="99"/>
            </w:tcBorders>
            <w:shd w:val="clear" w:color="000000" w:fill="F2F2F2"/>
            <w:vAlign w:val="center"/>
            <w:hideMark/>
          </w:tcPr>
          <w:p w14:paraId="39E9C969" w14:textId="77777777" w:rsidR="00CF2758" w:rsidRPr="00CF2758" w:rsidRDefault="00CF2758" w:rsidP="00282B45">
            <w:pPr>
              <w:pStyle w:val="Tabletext"/>
              <w:spacing w:line="250" w:lineRule="exact"/>
              <w:jc w:val="center"/>
              <w:rPr>
                <w:sz w:val="22"/>
              </w:rPr>
            </w:pPr>
            <w:r w:rsidRPr="00CF2758">
              <w:rPr>
                <w:sz w:val="22"/>
              </w:rPr>
              <w:t>-198</w:t>
            </w:r>
          </w:p>
        </w:tc>
      </w:tr>
      <w:tr w:rsidR="00CF2758" w:rsidRPr="00CF2758" w14:paraId="64160499" w14:textId="77777777" w:rsidTr="008E5B9E">
        <w:trPr>
          <w:trHeight w:val="284"/>
          <w:jc w:val="center"/>
        </w:trPr>
        <w:tc>
          <w:tcPr>
            <w:tcW w:w="6936" w:type="dxa"/>
            <w:tcBorders>
              <w:top w:val="single" w:sz="8" w:space="0" w:color="FFFFFF"/>
              <w:left w:val="single" w:sz="8" w:space="0" w:color="95B3D7" w:themeColor="accent1" w:themeTint="99"/>
              <w:bottom w:val="single" w:sz="8" w:space="0" w:color="FFFFFF"/>
              <w:right w:val="nil"/>
            </w:tcBorders>
            <w:shd w:val="clear" w:color="000000" w:fill="D9D9D9"/>
            <w:vAlign w:val="center"/>
            <w:hideMark/>
          </w:tcPr>
          <w:p w14:paraId="38C3C875" w14:textId="77777777" w:rsidR="00CF2758" w:rsidRPr="00CF2758" w:rsidRDefault="00CF2758" w:rsidP="00282B45">
            <w:pPr>
              <w:pStyle w:val="Tabletext"/>
              <w:spacing w:line="250" w:lineRule="exact"/>
              <w:rPr>
                <w:sz w:val="22"/>
              </w:rPr>
            </w:pPr>
            <w:r w:rsidRPr="00CF2758">
              <w:rPr>
                <w:sz w:val="22"/>
              </w:rPr>
              <w:t>Expansion of the eligibility criteria for the annual rent refund</w:t>
            </w:r>
          </w:p>
        </w:tc>
        <w:tc>
          <w:tcPr>
            <w:tcW w:w="960" w:type="dxa"/>
            <w:tcBorders>
              <w:top w:val="single" w:sz="8" w:space="0" w:color="FFFFFF"/>
              <w:left w:val="nil"/>
              <w:bottom w:val="single" w:sz="8" w:space="0" w:color="FFFFFF"/>
              <w:right w:val="nil"/>
            </w:tcBorders>
            <w:shd w:val="clear" w:color="000000" w:fill="D9D9D9"/>
            <w:vAlign w:val="center"/>
            <w:hideMark/>
          </w:tcPr>
          <w:p w14:paraId="49EDFAD5" w14:textId="77777777" w:rsidR="00CF2758" w:rsidRPr="00CF2758" w:rsidRDefault="00CF2758" w:rsidP="00282B45">
            <w:pPr>
              <w:pStyle w:val="Tabletext"/>
              <w:spacing w:line="250" w:lineRule="exact"/>
              <w:jc w:val="center"/>
              <w:rPr>
                <w:sz w:val="22"/>
              </w:rPr>
            </w:pPr>
            <w:r w:rsidRPr="00CF2758">
              <w:rPr>
                <w:sz w:val="22"/>
              </w:rPr>
              <w:t>0</w:t>
            </w:r>
          </w:p>
        </w:tc>
        <w:tc>
          <w:tcPr>
            <w:tcW w:w="960" w:type="dxa"/>
            <w:tcBorders>
              <w:top w:val="single" w:sz="8" w:space="0" w:color="FFFFFF"/>
              <w:left w:val="nil"/>
              <w:bottom w:val="single" w:sz="8" w:space="0" w:color="FFFFFF"/>
              <w:right w:val="single" w:sz="8" w:space="0" w:color="95B3D7" w:themeColor="accent1" w:themeTint="99"/>
            </w:tcBorders>
            <w:shd w:val="clear" w:color="000000" w:fill="D9D9D9"/>
            <w:vAlign w:val="center"/>
            <w:hideMark/>
          </w:tcPr>
          <w:p w14:paraId="49BC9E69" w14:textId="77777777" w:rsidR="00CF2758" w:rsidRPr="00CF2758" w:rsidRDefault="00CF2758" w:rsidP="00282B45">
            <w:pPr>
              <w:pStyle w:val="Tabletext"/>
              <w:spacing w:line="250" w:lineRule="exact"/>
              <w:jc w:val="center"/>
              <w:rPr>
                <w:sz w:val="22"/>
              </w:rPr>
            </w:pPr>
            <w:r w:rsidRPr="00CF2758">
              <w:rPr>
                <w:sz w:val="22"/>
              </w:rPr>
              <w:t>-25</w:t>
            </w:r>
          </w:p>
        </w:tc>
      </w:tr>
      <w:tr w:rsidR="00CF2758" w:rsidRPr="00CF2758" w14:paraId="466A2ADE" w14:textId="77777777" w:rsidTr="008E5B9E">
        <w:trPr>
          <w:trHeight w:val="284"/>
          <w:jc w:val="center"/>
        </w:trPr>
        <w:tc>
          <w:tcPr>
            <w:tcW w:w="6936" w:type="dxa"/>
            <w:tcBorders>
              <w:top w:val="single" w:sz="8" w:space="0" w:color="FFFFFF"/>
              <w:left w:val="single" w:sz="8" w:space="0" w:color="95B3D7" w:themeColor="accent1" w:themeTint="99"/>
              <w:bottom w:val="single" w:sz="8" w:space="0" w:color="FFFFFF"/>
              <w:right w:val="nil"/>
            </w:tcBorders>
            <w:shd w:val="clear" w:color="000000" w:fill="F2F2F2"/>
            <w:vAlign w:val="center"/>
            <w:hideMark/>
          </w:tcPr>
          <w:p w14:paraId="3BBB5559" w14:textId="77777777" w:rsidR="00CF2758" w:rsidRPr="00CF2758" w:rsidRDefault="00CF2758" w:rsidP="00282B45">
            <w:pPr>
              <w:pStyle w:val="Tabletext"/>
              <w:spacing w:line="250" w:lineRule="exact"/>
              <w:rPr>
                <w:sz w:val="22"/>
              </w:rPr>
            </w:pPr>
            <w:r w:rsidRPr="00CF2758">
              <w:rPr>
                <w:sz w:val="22"/>
              </w:rPr>
              <w:t>Additional rent refund for doctors and teachers working outside Attica and Thessaloniki (for 2026 to receive retrospectively 2025 refund)</w:t>
            </w:r>
          </w:p>
        </w:tc>
        <w:tc>
          <w:tcPr>
            <w:tcW w:w="960" w:type="dxa"/>
            <w:tcBorders>
              <w:top w:val="single" w:sz="8" w:space="0" w:color="FFFFFF"/>
              <w:left w:val="nil"/>
              <w:bottom w:val="single" w:sz="8" w:space="0" w:color="FFFFFF"/>
              <w:right w:val="nil"/>
            </w:tcBorders>
            <w:shd w:val="clear" w:color="000000" w:fill="F2F2F2"/>
            <w:vAlign w:val="center"/>
            <w:hideMark/>
          </w:tcPr>
          <w:p w14:paraId="1CC60329" w14:textId="77777777" w:rsidR="00CF2758" w:rsidRPr="00CF2758" w:rsidRDefault="00CF2758" w:rsidP="00282B45">
            <w:pPr>
              <w:pStyle w:val="Tabletext"/>
              <w:spacing w:line="250" w:lineRule="exact"/>
              <w:jc w:val="center"/>
              <w:rPr>
                <w:sz w:val="22"/>
              </w:rPr>
            </w:pPr>
            <w:r w:rsidRPr="00CF2758">
              <w:rPr>
                <w:sz w:val="22"/>
              </w:rPr>
              <w:t>0</w:t>
            </w:r>
          </w:p>
        </w:tc>
        <w:tc>
          <w:tcPr>
            <w:tcW w:w="960" w:type="dxa"/>
            <w:tcBorders>
              <w:top w:val="single" w:sz="8" w:space="0" w:color="FFFFFF"/>
              <w:left w:val="nil"/>
              <w:bottom w:val="single" w:sz="8" w:space="0" w:color="FFFFFF"/>
              <w:right w:val="single" w:sz="8" w:space="0" w:color="95B3D7" w:themeColor="accent1" w:themeTint="99"/>
            </w:tcBorders>
            <w:shd w:val="clear" w:color="000000" w:fill="F2F2F2"/>
            <w:vAlign w:val="center"/>
            <w:hideMark/>
          </w:tcPr>
          <w:p w14:paraId="73740ED6" w14:textId="77777777" w:rsidR="00CF2758" w:rsidRPr="00CF2758" w:rsidRDefault="00CF2758" w:rsidP="00282B45">
            <w:pPr>
              <w:pStyle w:val="Tabletext"/>
              <w:spacing w:line="250" w:lineRule="exact"/>
              <w:jc w:val="center"/>
              <w:rPr>
                <w:sz w:val="22"/>
              </w:rPr>
            </w:pPr>
            <w:r w:rsidRPr="00CF2758">
              <w:rPr>
                <w:sz w:val="22"/>
              </w:rPr>
              <w:t>-36</w:t>
            </w:r>
          </w:p>
        </w:tc>
      </w:tr>
      <w:tr w:rsidR="00CF2758" w:rsidRPr="00CF2758" w14:paraId="037078CF" w14:textId="77777777" w:rsidTr="008E5B9E">
        <w:trPr>
          <w:trHeight w:val="284"/>
          <w:jc w:val="center"/>
        </w:trPr>
        <w:tc>
          <w:tcPr>
            <w:tcW w:w="6936" w:type="dxa"/>
            <w:tcBorders>
              <w:top w:val="single" w:sz="8" w:space="0" w:color="FFFFFF"/>
              <w:left w:val="single" w:sz="8" w:space="0" w:color="95B3D7" w:themeColor="accent1" w:themeTint="99"/>
              <w:bottom w:val="single" w:sz="8" w:space="0" w:color="FFFFFF"/>
              <w:right w:val="nil"/>
            </w:tcBorders>
            <w:shd w:val="clear" w:color="000000" w:fill="D9D9D9"/>
            <w:vAlign w:val="center"/>
            <w:hideMark/>
          </w:tcPr>
          <w:p w14:paraId="71FB5BB0" w14:textId="77777777" w:rsidR="00CF2758" w:rsidRPr="00CF2758" w:rsidRDefault="00CF2758" w:rsidP="00282B45">
            <w:pPr>
              <w:pStyle w:val="Tabletext"/>
              <w:spacing w:line="250" w:lineRule="exact"/>
              <w:rPr>
                <w:sz w:val="22"/>
              </w:rPr>
            </w:pPr>
            <w:r w:rsidRPr="00CF2758">
              <w:rPr>
                <w:sz w:val="22"/>
              </w:rPr>
              <w:t>Compensation to passenger shipping companies for mandatory discounts</w:t>
            </w:r>
          </w:p>
        </w:tc>
        <w:tc>
          <w:tcPr>
            <w:tcW w:w="960" w:type="dxa"/>
            <w:tcBorders>
              <w:top w:val="single" w:sz="8" w:space="0" w:color="FFFFFF"/>
              <w:left w:val="nil"/>
              <w:bottom w:val="single" w:sz="8" w:space="0" w:color="FFFFFF"/>
              <w:right w:val="nil"/>
            </w:tcBorders>
            <w:shd w:val="clear" w:color="000000" w:fill="D9D9D9"/>
            <w:vAlign w:val="center"/>
            <w:hideMark/>
          </w:tcPr>
          <w:p w14:paraId="52F9755C" w14:textId="77777777" w:rsidR="00CF2758" w:rsidRPr="00CF2758" w:rsidRDefault="00CF2758" w:rsidP="00282B45">
            <w:pPr>
              <w:pStyle w:val="Tabletext"/>
              <w:spacing w:line="250" w:lineRule="exact"/>
              <w:jc w:val="center"/>
              <w:rPr>
                <w:sz w:val="22"/>
              </w:rPr>
            </w:pPr>
            <w:r w:rsidRPr="00CF2758">
              <w:rPr>
                <w:sz w:val="22"/>
              </w:rPr>
              <w:t>0</w:t>
            </w:r>
          </w:p>
        </w:tc>
        <w:tc>
          <w:tcPr>
            <w:tcW w:w="960" w:type="dxa"/>
            <w:tcBorders>
              <w:top w:val="single" w:sz="8" w:space="0" w:color="FFFFFF"/>
              <w:left w:val="nil"/>
              <w:bottom w:val="single" w:sz="8" w:space="0" w:color="FFFFFF"/>
              <w:right w:val="single" w:sz="8" w:space="0" w:color="95B3D7" w:themeColor="accent1" w:themeTint="99"/>
            </w:tcBorders>
            <w:shd w:val="clear" w:color="000000" w:fill="D9D9D9"/>
            <w:vAlign w:val="center"/>
            <w:hideMark/>
          </w:tcPr>
          <w:p w14:paraId="47181F2A" w14:textId="77777777" w:rsidR="00CF2758" w:rsidRPr="00CF2758" w:rsidRDefault="00CF2758" w:rsidP="00282B45">
            <w:pPr>
              <w:pStyle w:val="Tabletext"/>
              <w:spacing w:line="250" w:lineRule="exact"/>
              <w:jc w:val="center"/>
              <w:rPr>
                <w:sz w:val="22"/>
              </w:rPr>
            </w:pPr>
            <w:r w:rsidRPr="00CF2758">
              <w:rPr>
                <w:sz w:val="22"/>
              </w:rPr>
              <w:t>-56</w:t>
            </w:r>
          </w:p>
        </w:tc>
      </w:tr>
      <w:tr w:rsidR="00CF2758" w:rsidRPr="00CF2758" w14:paraId="56B6F565" w14:textId="77777777" w:rsidTr="008E5B9E">
        <w:trPr>
          <w:trHeight w:val="284"/>
          <w:jc w:val="center"/>
        </w:trPr>
        <w:tc>
          <w:tcPr>
            <w:tcW w:w="6936" w:type="dxa"/>
            <w:tcBorders>
              <w:top w:val="single" w:sz="8" w:space="0" w:color="FFFFFF"/>
              <w:left w:val="single" w:sz="8" w:space="0" w:color="95B3D7" w:themeColor="accent1" w:themeTint="99"/>
              <w:bottom w:val="single" w:sz="8" w:space="0" w:color="FFFFFF"/>
              <w:right w:val="nil"/>
            </w:tcBorders>
            <w:shd w:val="clear" w:color="000000" w:fill="F2F2F2"/>
            <w:vAlign w:val="center"/>
            <w:hideMark/>
          </w:tcPr>
          <w:p w14:paraId="0CD75BEB" w14:textId="77777777" w:rsidR="00CF2758" w:rsidRPr="00CF2758" w:rsidRDefault="00CF2758" w:rsidP="00282B45">
            <w:pPr>
              <w:pStyle w:val="Tabletext"/>
              <w:spacing w:line="250" w:lineRule="exact"/>
              <w:rPr>
                <w:sz w:val="22"/>
              </w:rPr>
            </w:pPr>
            <w:r w:rsidRPr="00CF2758">
              <w:rPr>
                <w:sz w:val="22"/>
              </w:rPr>
              <w:t>Increase taxation on online gambling</w:t>
            </w:r>
          </w:p>
        </w:tc>
        <w:tc>
          <w:tcPr>
            <w:tcW w:w="960" w:type="dxa"/>
            <w:tcBorders>
              <w:top w:val="single" w:sz="8" w:space="0" w:color="FFFFFF"/>
              <w:left w:val="nil"/>
              <w:bottom w:val="single" w:sz="8" w:space="0" w:color="FFFFFF"/>
              <w:right w:val="nil"/>
            </w:tcBorders>
            <w:shd w:val="clear" w:color="000000" w:fill="F2F2F2"/>
            <w:vAlign w:val="center"/>
            <w:hideMark/>
          </w:tcPr>
          <w:p w14:paraId="3CEDFB1F" w14:textId="77777777" w:rsidR="00CF2758" w:rsidRPr="00CF2758" w:rsidRDefault="00CF2758" w:rsidP="00282B45">
            <w:pPr>
              <w:pStyle w:val="Tabletext"/>
              <w:spacing w:line="250" w:lineRule="exact"/>
              <w:jc w:val="center"/>
              <w:rPr>
                <w:sz w:val="22"/>
              </w:rPr>
            </w:pPr>
            <w:r w:rsidRPr="00CF2758">
              <w:rPr>
                <w:sz w:val="22"/>
              </w:rPr>
              <w:t>0</w:t>
            </w:r>
          </w:p>
        </w:tc>
        <w:tc>
          <w:tcPr>
            <w:tcW w:w="960" w:type="dxa"/>
            <w:tcBorders>
              <w:top w:val="single" w:sz="8" w:space="0" w:color="FFFFFF"/>
              <w:left w:val="nil"/>
              <w:bottom w:val="single" w:sz="8" w:space="0" w:color="FFFFFF"/>
              <w:right w:val="single" w:sz="8" w:space="0" w:color="95B3D7" w:themeColor="accent1" w:themeTint="99"/>
            </w:tcBorders>
            <w:shd w:val="clear" w:color="000000" w:fill="F2F2F2"/>
            <w:vAlign w:val="center"/>
            <w:hideMark/>
          </w:tcPr>
          <w:p w14:paraId="10C7A94F" w14:textId="77777777" w:rsidR="00CF2758" w:rsidRPr="00CF2758" w:rsidRDefault="00CF2758" w:rsidP="00282B45">
            <w:pPr>
              <w:pStyle w:val="Tabletext"/>
              <w:spacing w:line="250" w:lineRule="exact"/>
              <w:jc w:val="center"/>
              <w:rPr>
                <w:sz w:val="22"/>
              </w:rPr>
            </w:pPr>
            <w:r w:rsidRPr="00CF2758">
              <w:rPr>
                <w:sz w:val="22"/>
              </w:rPr>
              <w:t>50</w:t>
            </w:r>
          </w:p>
        </w:tc>
      </w:tr>
      <w:tr w:rsidR="00CF2758" w:rsidRPr="00CF2758" w14:paraId="602E8110" w14:textId="77777777" w:rsidTr="008E5B9E">
        <w:trPr>
          <w:trHeight w:val="284"/>
          <w:jc w:val="center"/>
        </w:trPr>
        <w:tc>
          <w:tcPr>
            <w:tcW w:w="6936" w:type="dxa"/>
            <w:tcBorders>
              <w:top w:val="single" w:sz="8" w:space="0" w:color="FFFFFF"/>
              <w:left w:val="single" w:sz="8" w:space="0" w:color="95B3D7" w:themeColor="accent1" w:themeTint="99"/>
              <w:bottom w:val="single" w:sz="8" w:space="0" w:color="95B3D7" w:themeColor="accent1" w:themeTint="99"/>
              <w:right w:val="nil"/>
            </w:tcBorders>
            <w:shd w:val="clear" w:color="auto" w:fill="C6D9F1" w:themeFill="text2" w:themeFillTint="33"/>
            <w:vAlign w:val="center"/>
            <w:hideMark/>
          </w:tcPr>
          <w:p w14:paraId="43F0F849" w14:textId="77777777" w:rsidR="00CF2758" w:rsidRPr="00AF5D05" w:rsidRDefault="00CF2758" w:rsidP="00282B45">
            <w:pPr>
              <w:pStyle w:val="Tabletext"/>
              <w:spacing w:line="250" w:lineRule="exact"/>
              <w:rPr>
                <w:b/>
              </w:rPr>
            </w:pPr>
            <w:r w:rsidRPr="00AF5D05">
              <w:rPr>
                <w:b/>
              </w:rPr>
              <w:t>A. Total (A1 +A2)</w:t>
            </w:r>
          </w:p>
        </w:tc>
        <w:tc>
          <w:tcPr>
            <w:tcW w:w="960" w:type="dxa"/>
            <w:tcBorders>
              <w:top w:val="single" w:sz="8" w:space="0" w:color="FFFFFF"/>
              <w:left w:val="nil"/>
              <w:bottom w:val="single" w:sz="8" w:space="0" w:color="95B3D7" w:themeColor="accent1" w:themeTint="99"/>
              <w:right w:val="nil"/>
            </w:tcBorders>
            <w:shd w:val="clear" w:color="auto" w:fill="C6D9F1" w:themeFill="text2" w:themeFillTint="33"/>
            <w:vAlign w:val="center"/>
            <w:hideMark/>
          </w:tcPr>
          <w:p w14:paraId="0E71E522" w14:textId="611A25B5" w:rsidR="00CF2758" w:rsidRPr="00AF5D05" w:rsidRDefault="00402AC5" w:rsidP="00282B45">
            <w:pPr>
              <w:pStyle w:val="Tabletext"/>
              <w:spacing w:line="250" w:lineRule="exact"/>
              <w:jc w:val="center"/>
              <w:rPr>
                <w:b/>
                <w:sz w:val="22"/>
              </w:rPr>
            </w:pPr>
            <w:r>
              <w:rPr>
                <w:b/>
                <w:sz w:val="22"/>
              </w:rPr>
              <w:t>0</w:t>
            </w:r>
          </w:p>
        </w:tc>
        <w:tc>
          <w:tcPr>
            <w:tcW w:w="960" w:type="dxa"/>
            <w:tcBorders>
              <w:top w:val="single" w:sz="8" w:space="0" w:color="FFFFFF"/>
              <w:left w:val="nil"/>
              <w:bottom w:val="single" w:sz="8" w:space="0" w:color="95B3D7" w:themeColor="accent1" w:themeTint="99"/>
              <w:right w:val="single" w:sz="8" w:space="0" w:color="95B3D7" w:themeColor="accent1" w:themeTint="99"/>
            </w:tcBorders>
            <w:shd w:val="clear" w:color="auto" w:fill="C6D9F1" w:themeFill="text2" w:themeFillTint="33"/>
            <w:vAlign w:val="center"/>
            <w:hideMark/>
          </w:tcPr>
          <w:p w14:paraId="4270104F" w14:textId="77777777" w:rsidR="00CF2758" w:rsidRPr="00AF5D05" w:rsidRDefault="00CF2758" w:rsidP="00282B45">
            <w:pPr>
              <w:pStyle w:val="Tabletext"/>
              <w:spacing w:line="250" w:lineRule="exact"/>
              <w:jc w:val="center"/>
              <w:rPr>
                <w:b/>
                <w:sz w:val="22"/>
              </w:rPr>
            </w:pPr>
            <w:r w:rsidRPr="00AF5D05">
              <w:rPr>
                <w:b/>
                <w:sz w:val="22"/>
              </w:rPr>
              <w:t>-782</w:t>
            </w:r>
          </w:p>
        </w:tc>
      </w:tr>
      <w:tr w:rsidR="00CF2758" w:rsidRPr="00CF2758" w14:paraId="50A8A8F2" w14:textId="77777777" w:rsidTr="008E5B9E">
        <w:trPr>
          <w:trHeight w:val="91"/>
          <w:jc w:val="center"/>
        </w:trPr>
        <w:tc>
          <w:tcPr>
            <w:tcW w:w="6936" w:type="dxa"/>
            <w:tcBorders>
              <w:top w:val="single" w:sz="8" w:space="0" w:color="95B3D7" w:themeColor="accent1" w:themeTint="99"/>
              <w:left w:val="nil"/>
              <w:bottom w:val="single" w:sz="8" w:space="0" w:color="948A54" w:themeColor="background2" w:themeShade="80"/>
              <w:right w:val="nil"/>
            </w:tcBorders>
            <w:shd w:val="clear" w:color="000000" w:fill="FFFFFF"/>
            <w:vAlign w:val="center"/>
            <w:hideMark/>
          </w:tcPr>
          <w:p w14:paraId="731A1EE6" w14:textId="77777777" w:rsidR="00CF2758" w:rsidRPr="00CF2758" w:rsidRDefault="00CF2758" w:rsidP="00282B45">
            <w:pPr>
              <w:pStyle w:val="Tabletext"/>
              <w:spacing w:line="250" w:lineRule="exact"/>
            </w:pPr>
            <w:r w:rsidRPr="00CF2758">
              <w:t> </w:t>
            </w:r>
          </w:p>
        </w:tc>
        <w:tc>
          <w:tcPr>
            <w:tcW w:w="960" w:type="dxa"/>
            <w:tcBorders>
              <w:top w:val="single" w:sz="8" w:space="0" w:color="95B3D7" w:themeColor="accent1" w:themeTint="99"/>
              <w:left w:val="nil"/>
              <w:bottom w:val="single" w:sz="8" w:space="0" w:color="948A54" w:themeColor="background2" w:themeShade="80"/>
              <w:right w:val="nil"/>
            </w:tcBorders>
            <w:shd w:val="clear" w:color="000000" w:fill="FFFFFF"/>
            <w:vAlign w:val="center"/>
            <w:hideMark/>
          </w:tcPr>
          <w:p w14:paraId="4C204076" w14:textId="77777777" w:rsidR="00CF2758" w:rsidRPr="00CF2758" w:rsidRDefault="00CF2758" w:rsidP="00282B45">
            <w:pPr>
              <w:pStyle w:val="Tabletext"/>
              <w:spacing w:line="250" w:lineRule="exact"/>
              <w:jc w:val="center"/>
            </w:pPr>
          </w:p>
        </w:tc>
        <w:tc>
          <w:tcPr>
            <w:tcW w:w="960" w:type="dxa"/>
            <w:tcBorders>
              <w:top w:val="single" w:sz="8" w:space="0" w:color="95B3D7" w:themeColor="accent1" w:themeTint="99"/>
              <w:left w:val="nil"/>
              <w:bottom w:val="single" w:sz="8" w:space="0" w:color="948A54" w:themeColor="background2" w:themeShade="80"/>
              <w:right w:val="nil"/>
            </w:tcBorders>
            <w:shd w:val="clear" w:color="000000" w:fill="FFFFFF"/>
            <w:vAlign w:val="center"/>
            <w:hideMark/>
          </w:tcPr>
          <w:p w14:paraId="0C55BFB8" w14:textId="77777777" w:rsidR="00CF2758" w:rsidRPr="00CF2758" w:rsidRDefault="00CF2758" w:rsidP="00282B45">
            <w:pPr>
              <w:pStyle w:val="Tabletext"/>
              <w:spacing w:line="250" w:lineRule="exact"/>
              <w:jc w:val="center"/>
            </w:pPr>
          </w:p>
        </w:tc>
      </w:tr>
      <w:tr w:rsidR="00CF2758" w:rsidRPr="00CF2758" w14:paraId="384253E0" w14:textId="77777777" w:rsidTr="00282B45">
        <w:trPr>
          <w:trHeight w:val="284"/>
          <w:jc w:val="center"/>
        </w:trPr>
        <w:tc>
          <w:tcPr>
            <w:tcW w:w="6936" w:type="dxa"/>
            <w:tcBorders>
              <w:top w:val="single" w:sz="8" w:space="0" w:color="948A54" w:themeColor="background2" w:themeShade="80"/>
              <w:left w:val="single" w:sz="8" w:space="0" w:color="948A54" w:themeColor="background2" w:themeShade="80"/>
              <w:bottom w:val="single" w:sz="8" w:space="0" w:color="FFFFFF"/>
              <w:right w:val="nil"/>
            </w:tcBorders>
            <w:shd w:val="clear" w:color="auto" w:fill="C4BC96" w:themeFill="background2" w:themeFillShade="BF"/>
            <w:vAlign w:val="center"/>
            <w:hideMark/>
          </w:tcPr>
          <w:p w14:paraId="7166211B" w14:textId="77777777" w:rsidR="00CF2758" w:rsidRPr="00AF5D05" w:rsidRDefault="00CF2758" w:rsidP="00282B45">
            <w:pPr>
              <w:pStyle w:val="Tabletext"/>
              <w:spacing w:line="250" w:lineRule="exact"/>
              <w:rPr>
                <w:b/>
              </w:rPr>
            </w:pPr>
            <w:r w:rsidRPr="00AF5D05">
              <w:rPr>
                <w:b/>
              </w:rPr>
              <w:t>B. Interventions included in the Draft Budgetary Plan 2026</w:t>
            </w:r>
          </w:p>
        </w:tc>
        <w:tc>
          <w:tcPr>
            <w:tcW w:w="960" w:type="dxa"/>
            <w:tcBorders>
              <w:top w:val="single" w:sz="8" w:space="0" w:color="948A54" w:themeColor="background2" w:themeShade="80"/>
              <w:left w:val="nil"/>
              <w:bottom w:val="single" w:sz="8" w:space="0" w:color="FFFFFF"/>
              <w:right w:val="nil"/>
            </w:tcBorders>
            <w:shd w:val="clear" w:color="auto" w:fill="C4BC96" w:themeFill="background2" w:themeFillShade="BF"/>
            <w:vAlign w:val="center"/>
            <w:hideMark/>
          </w:tcPr>
          <w:p w14:paraId="7610F6CD" w14:textId="77777777" w:rsidR="00CF2758" w:rsidRPr="00AF5D05" w:rsidRDefault="00AF5D05" w:rsidP="00282B45">
            <w:pPr>
              <w:pStyle w:val="Tabletext"/>
              <w:spacing w:line="250" w:lineRule="exact"/>
              <w:jc w:val="center"/>
              <w:rPr>
                <w:b/>
                <w:sz w:val="22"/>
              </w:rPr>
            </w:pPr>
            <w:r>
              <w:rPr>
                <w:b/>
                <w:sz w:val="22"/>
              </w:rPr>
              <w:t>2025</w:t>
            </w:r>
          </w:p>
        </w:tc>
        <w:tc>
          <w:tcPr>
            <w:tcW w:w="960" w:type="dxa"/>
            <w:tcBorders>
              <w:top w:val="single" w:sz="8" w:space="0" w:color="948A54" w:themeColor="background2" w:themeShade="80"/>
              <w:left w:val="nil"/>
              <w:bottom w:val="single" w:sz="8" w:space="0" w:color="FFFFFF"/>
              <w:right w:val="single" w:sz="8" w:space="0" w:color="948A54" w:themeColor="background2" w:themeShade="80"/>
            </w:tcBorders>
            <w:shd w:val="clear" w:color="auto" w:fill="C4BC96" w:themeFill="background2" w:themeFillShade="BF"/>
            <w:vAlign w:val="center"/>
            <w:hideMark/>
          </w:tcPr>
          <w:p w14:paraId="03D90931" w14:textId="77777777" w:rsidR="00CF2758" w:rsidRPr="00AF5D05" w:rsidRDefault="00AF5D05" w:rsidP="00282B45">
            <w:pPr>
              <w:pStyle w:val="Tabletext"/>
              <w:spacing w:line="250" w:lineRule="exact"/>
              <w:jc w:val="center"/>
              <w:rPr>
                <w:b/>
                <w:sz w:val="22"/>
              </w:rPr>
            </w:pPr>
            <w:r>
              <w:rPr>
                <w:b/>
                <w:sz w:val="22"/>
              </w:rPr>
              <w:t>2026</w:t>
            </w:r>
          </w:p>
        </w:tc>
      </w:tr>
      <w:tr w:rsidR="00CF2758" w:rsidRPr="00CF2758" w14:paraId="4F4CCB60" w14:textId="77777777" w:rsidTr="00282B45">
        <w:trPr>
          <w:trHeight w:val="284"/>
          <w:jc w:val="center"/>
        </w:trPr>
        <w:tc>
          <w:tcPr>
            <w:tcW w:w="6936" w:type="dxa"/>
            <w:tcBorders>
              <w:top w:val="single" w:sz="8" w:space="0" w:color="FFFFFF"/>
              <w:left w:val="single" w:sz="8" w:space="0" w:color="948A54" w:themeColor="background2" w:themeShade="80"/>
              <w:bottom w:val="single" w:sz="8" w:space="0" w:color="FFFFFF"/>
              <w:right w:val="nil"/>
            </w:tcBorders>
            <w:shd w:val="clear" w:color="000000" w:fill="F2F2F2"/>
            <w:vAlign w:val="center"/>
            <w:hideMark/>
          </w:tcPr>
          <w:p w14:paraId="63987F41" w14:textId="77777777" w:rsidR="00CF2758" w:rsidRPr="00CF2758" w:rsidRDefault="00CF2758" w:rsidP="00282B45">
            <w:pPr>
              <w:pStyle w:val="Tabletext"/>
              <w:spacing w:line="250" w:lineRule="exact"/>
              <w:rPr>
                <w:sz w:val="22"/>
              </w:rPr>
            </w:pPr>
            <w:r w:rsidRPr="00CF2758">
              <w:rPr>
                <w:sz w:val="22"/>
              </w:rPr>
              <w:t>Reform of the income tax scale with emphasis on families with children, young people and the middle class</w:t>
            </w:r>
            <w:r w:rsidRPr="00CF2758">
              <w:rPr>
                <w:rFonts w:ascii="Times New Roman" w:hAnsi="Times New Roman" w:cs="Times New Roman"/>
                <w:sz w:val="22"/>
              </w:rPr>
              <w:t xml:space="preserve"> </w:t>
            </w:r>
          </w:p>
        </w:tc>
        <w:tc>
          <w:tcPr>
            <w:tcW w:w="960" w:type="dxa"/>
            <w:tcBorders>
              <w:top w:val="single" w:sz="8" w:space="0" w:color="FFFFFF"/>
              <w:left w:val="nil"/>
              <w:bottom w:val="single" w:sz="8" w:space="0" w:color="FFFFFF"/>
              <w:right w:val="nil"/>
            </w:tcBorders>
            <w:shd w:val="clear" w:color="000000" w:fill="F2F2F2"/>
            <w:vAlign w:val="center"/>
            <w:hideMark/>
          </w:tcPr>
          <w:p w14:paraId="6C56DA5F" w14:textId="77777777" w:rsidR="00CF2758" w:rsidRPr="00CF2758" w:rsidRDefault="00CF2758" w:rsidP="00282B45">
            <w:pPr>
              <w:pStyle w:val="Tabletext"/>
              <w:spacing w:line="250" w:lineRule="exact"/>
              <w:jc w:val="center"/>
              <w:rPr>
                <w:sz w:val="22"/>
              </w:rPr>
            </w:pPr>
            <w:r w:rsidRPr="00CF2758">
              <w:rPr>
                <w:sz w:val="22"/>
              </w:rPr>
              <w:t>0</w:t>
            </w:r>
          </w:p>
        </w:tc>
        <w:tc>
          <w:tcPr>
            <w:tcW w:w="960" w:type="dxa"/>
            <w:tcBorders>
              <w:top w:val="single" w:sz="8" w:space="0" w:color="FFFFFF"/>
              <w:left w:val="nil"/>
              <w:bottom w:val="single" w:sz="8" w:space="0" w:color="FFFFFF"/>
              <w:right w:val="single" w:sz="8" w:space="0" w:color="948A54" w:themeColor="background2" w:themeShade="80"/>
            </w:tcBorders>
            <w:shd w:val="clear" w:color="000000" w:fill="F2F2F2"/>
            <w:vAlign w:val="center"/>
            <w:hideMark/>
          </w:tcPr>
          <w:p w14:paraId="5B044EB8" w14:textId="77777777" w:rsidR="00CF2758" w:rsidRPr="00CF2758" w:rsidRDefault="00CF2758" w:rsidP="00282B45">
            <w:pPr>
              <w:pStyle w:val="Tabletext"/>
              <w:spacing w:line="250" w:lineRule="exact"/>
              <w:jc w:val="center"/>
              <w:rPr>
                <w:sz w:val="22"/>
              </w:rPr>
            </w:pPr>
            <w:r w:rsidRPr="00CF2758">
              <w:rPr>
                <w:sz w:val="22"/>
              </w:rPr>
              <w:t>-1,218</w:t>
            </w:r>
          </w:p>
        </w:tc>
      </w:tr>
      <w:tr w:rsidR="00CF2758" w:rsidRPr="00CF2758" w14:paraId="56953F5F" w14:textId="77777777" w:rsidTr="00282B45">
        <w:trPr>
          <w:trHeight w:val="284"/>
          <w:jc w:val="center"/>
        </w:trPr>
        <w:tc>
          <w:tcPr>
            <w:tcW w:w="6936" w:type="dxa"/>
            <w:tcBorders>
              <w:top w:val="single" w:sz="8" w:space="0" w:color="FFFFFF"/>
              <w:left w:val="single" w:sz="8" w:space="0" w:color="948A54" w:themeColor="background2" w:themeShade="80"/>
              <w:bottom w:val="single" w:sz="8" w:space="0" w:color="FFFFFF"/>
              <w:right w:val="nil"/>
            </w:tcBorders>
            <w:shd w:val="clear" w:color="000000" w:fill="D9D9D9"/>
            <w:vAlign w:val="center"/>
            <w:hideMark/>
          </w:tcPr>
          <w:p w14:paraId="5022F63E" w14:textId="77777777" w:rsidR="00CF2758" w:rsidRPr="00CF2758" w:rsidRDefault="00CF2758" w:rsidP="00282B45">
            <w:pPr>
              <w:pStyle w:val="Tabletext"/>
              <w:spacing w:line="250" w:lineRule="exact"/>
              <w:rPr>
                <w:sz w:val="22"/>
              </w:rPr>
            </w:pPr>
            <w:r w:rsidRPr="00CF2758">
              <w:rPr>
                <w:sz w:val="22"/>
              </w:rPr>
              <w:t>Reduction of property income tax</w:t>
            </w:r>
            <w:r w:rsidRPr="00CF2758">
              <w:rPr>
                <w:rFonts w:ascii="Times New Roman" w:hAnsi="Times New Roman" w:cs="Times New Roman"/>
                <w:sz w:val="22"/>
              </w:rPr>
              <w:t xml:space="preserve"> </w:t>
            </w:r>
            <w:r w:rsidRPr="00CF2758">
              <w:rPr>
                <w:sz w:val="22"/>
              </w:rPr>
              <w:t>with the introduction of an intermediate rate of 25% (fiscal impact of €90 million from 2027 onwards)</w:t>
            </w:r>
          </w:p>
        </w:tc>
        <w:tc>
          <w:tcPr>
            <w:tcW w:w="960" w:type="dxa"/>
            <w:tcBorders>
              <w:top w:val="single" w:sz="8" w:space="0" w:color="FFFFFF"/>
              <w:left w:val="nil"/>
              <w:bottom w:val="single" w:sz="8" w:space="0" w:color="FFFFFF"/>
              <w:right w:val="nil"/>
            </w:tcBorders>
            <w:shd w:val="clear" w:color="000000" w:fill="D9D9D9"/>
            <w:vAlign w:val="center"/>
            <w:hideMark/>
          </w:tcPr>
          <w:p w14:paraId="684D9697" w14:textId="77777777" w:rsidR="00CF2758" w:rsidRPr="00CF2758" w:rsidRDefault="00CF2758" w:rsidP="00282B45">
            <w:pPr>
              <w:pStyle w:val="Tabletext"/>
              <w:spacing w:line="250" w:lineRule="exact"/>
              <w:jc w:val="center"/>
              <w:rPr>
                <w:sz w:val="22"/>
              </w:rPr>
            </w:pPr>
            <w:r w:rsidRPr="00CF2758">
              <w:rPr>
                <w:sz w:val="22"/>
              </w:rPr>
              <w:t>0</w:t>
            </w:r>
          </w:p>
        </w:tc>
        <w:tc>
          <w:tcPr>
            <w:tcW w:w="960" w:type="dxa"/>
            <w:tcBorders>
              <w:top w:val="single" w:sz="8" w:space="0" w:color="FFFFFF"/>
              <w:left w:val="nil"/>
              <w:bottom w:val="single" w:sz="8" w:space="0" w:color="FFFFFF"/>
              <w:right w:val="single" w:sz="8" w:space="0" w:color="948A54" w:themeColor="background2" w:themeShade="80"/>
            </w:tcBorders>
            <w:shd w:val="clear" w:color="000000" w:fill="D9D9D9"/>
            <w:vAlign w:val="center"/>
            <w:hideMark/>
          </w:tcPr>
          <w:p w14:paraId="0397188B" w14:textId="77777777" w:rsidR="00CF2758" w:rsidRPr="00CF2758" w:rsidRDefault="00CF2758" w:rsidP="00282B45">
            <w:pPr>
              <w:pStyle w:val="Tabletext"/>
              <w:spacing w:line="250" w:lineRule="exact"/>
              <w:jc w:val="center"/>
              <w:rPr>
                <w:sz w:val="22"/>
              </w:rPr>
            </w:pPr>
            <w:r w:rsidRPr="00CF2758">
              <w:rPr>
                <w:sz w:val="22"/>
              </w:rPr>
              <w:t>0</w:t>
            </w:r>
          </w:p>
        </w:tc>
      </w:tr>
      <w:tr w:rsidR="00CF2758" w:rsidRPr="00CF2758" w14:paraId="7B83FD07" w14:textId="77777777" w:rsidTr="00282B45">
        <w:trPr>
          <w:trHeight w:val="284"/>
          <w:jc w:val="center"/>
        </w:trPr>
        <w:tc>
          <w:tcPr>
            <w:tcW w:w="6936" w:type="dxa"/>
            <w:tcBorders>
              <w:top w:val="single" w:sz="8" w:space="0" w:color="FFFFFF"/>
              <w:left w:val="single" w:sz="8" w:space="0" w:color="948A54" w:themeColor="background2" w:themeShade="80"/>
              <w:bottom w:val="single" w:sz="8" w:space="0" w:color="FFFFFF"/>
              <w:right w:val="nil"/>
            </w:tcBorders>
            <w:shd w:val="clear" w:color="000000" w:fill="F2F2F2"/>
            <w:vAlign w:val="center"/>
            <w:hideMark/>
          </w:tcPr>
          <w:p w14:paraId="36AD062A" w14:textId="77777777" w:rsidR="00CF2758" w:rsidRPr="00CF2758" w:rsidRDefault="00CF2758" w:rsidP="00282B45">
            <w:pPr>
              <w:pStyle w:val="Tabletext"/>
              <w:spacing w:line="250" w:lineRule="exact"/>
              <w:rPr>
                <w:sz w:val="22"/>
              </w:rPr>
            </w:pPr>
            <w:r w:rsidRPr="00CF2758">
              <w:rPr>
                <w:sz w:val="22"/>
              </w:rPr>
              <w:t>Gradual abolition of property tax (ENFIA)</w:t>
            </w:r>
            <w:r w:rsidRPr="00CF2758">
              <w:rPr>
                <w:rFonts w:ascii="Times New Roman" w:hAnsi="Times New Roman" w:cs="Times New Roman"/>
                <w:sz w:val="22"/>
              </w:rPr>
              <w:t xml:space="preserve"> </w:t>
            </w:r>
            <w:r w:rsidRPr="00CF2758">
              <w:rPr>
                <w:sz w:val="22"/>
              </w:rPr>
              <w:t xml:space="preserve">for main residences in communities with a population up to 1,500 inhabitants (50% reduction in 2026 and full abolition in 2027) </w:t>
            </w:r>
          </w:p>
        </w:tc>
        <w:tc>
          <w:tcPr>
            <w:tcW w:w="960" w:type="dxa"/>
            <w:tcBorders>
              <w:top w:val="single" w:sz="8" w:space="0" w:color="FFFFFF"/>
              <w:left w:val="nil"/>
              <w:bottom w:val="single" w:sz="8" w:space="0" w:color="FFFFFF"/>
              <w:right w:val="nil"/>
            </w:tcBorders>
            <w:shd w:val="clear" w:color="000000" w:fill="F2F2F2"/>
            <w:vAlign w:val="center"/>
            <w:hideMark/>
          </w:tcPr>
          <w:p w14:paraId="26D24D41" w14:textId="77777777" w:rsidR="00CF2758" w:rsidRPr="00CF2758" w:rsidRDefault="00CF2758" w:rsidP="00282B45">
            <w:pPr>
              <w:pStyle w:val="Tabletext"/>
              <w:spacing w:line="250" w:lineRule="exact"/>
              <w:jc w:val="center"/>
              <w:rPr>
                <w:sz w:val="22"/>
              </w:rPr>
            </w:pPr>
            <w:r w:rsidRPr="00CF2758">
              <w:rPr>
                <w:sz w:val="22"/>
              </w:rPr>
              <w:t>0</w:t>
            </w:r>
          </w:p>
        </w:tc>
        <w:tc>
          <w:tcPr>
            <w:tcW w:w="960" w:type="dxa"/>
            <w:tcBorders>
              <w:top w:val="single" w:sz="8" w:space="0" w:color="FFFFFF"/>
              <w:left w:val="nil"/>
              <w:bottom w:val="single" w:sz="8" w:space="0" w:color="FFFFFF"/>
              <w:right w:val="single" w:sz="8" w:space="0" w:color="948A54" w:themeColor="background2" w:themeShade="80"/>
            </w:tcBorders>
            <w:shd w:val="clear" w:color="000000" w:fill="F2F2F2"/>
            <w:vAlign w:val="center"/>
            <w:hideMark/>
          </w:tcPr>
          <w:p w14:paraId="6CEA81D7" w14:textId="77777777" w:rsidR="00CF2758" w:rsidRPr="00CF2758" w:rsidRDefault="00CF2758" w:rsidP="00282B45">
            <w:pPr>
              <w:pStyle w:val="Tabletext"/>
              <w:spacing w:line="250" w:lineRule="exact"/>
              <w:jc w:val="center"/>
              <w:rPr>
                <w:sz w:val="22"/>
              </w:rPr>
            </w:pPr>
            <w:r w:rsidRPr="00CF2758">
              <w:rPr>
                <w:sz w:val="22"/>
              </w:rPr>
              <w:t>-38</w:t>
            </w:r>
          </w:p>
        </w:tc>
      </w:tr>
      <w:tr w:rsidR="00CF2758" w:rsidRPr="00CF2758" w14:paraId="631EA3BB" w14:textId="77777777" w:rsidTr="00282B45">
        <w:trPr>
          <w:trHeight w:val="284"/>
          <w:jc w:val="center"/>
        </w:trPr>
        <w:tc>
          <w:tcPr>
            <w:tcW w:w="6936" w:type="dxa"/>
            <w:tcBorders>
              <w:top w:val="single" w:sz="8" w:space="0" w:color="FFFFFF"/>
              <w:left w:val="single" w:sz="8" w:space="0" w:color="948A54" w:themeColor="background2" w:themeShade="80"/>
              <w:bottom w:val="single" w:sz="8" w:space="0" w:color="FFFFFF"/>
              <w:right w:val="nil"/>
            </w:tcBorders>
            <w:shd w:val="clear" w:color="000000" w:fill="D9D9D9"/>
            <w:vAlign w:val="center"/>
            <w:hideMark/>
          </w:tcPr>
          <w:p w14:paraId="118EF35A" w14:textId="77777777" w:rsidR="00CF2758" w:rsidRPr="00CF2758" w:rsidRDefault="00CF2758" w:rsidP="00282B45">
            <w:pPr>
              <w:pStyle w:val="Tabletext"/>
              <w:spacing w:line="250" w:lineRule="exact"/>
              <w:rPr>
                <w:sz w:val="22"/>
              </w:rPr>
            </w:pPr>
            <w:r w:rsidRPr="00CF2758">
              <w:rPr>
                <w:sz w:val="22"/>
              </w:rPr>
              <w:t>Reform of the objective living expenses tax system</w:t>
            </w:r>
          </w:p>
        </w:tc>
        <w:tc>
          <w:tcPr>
            <w:tcW w:w="960" w:type="dxa"/>
            <w:tcBorders>
              <w:top w:val="single" w:sz="8" w:space="0" w:color="FFFFFF"/>
              <w:left w:val="nil"/>
              <w:bottom w:val="single" w:sz="8" w:space="0" w:color="FFFFFF"/>
              <w:right w:val="nil"/>
            </w:tcBorders>
            <w:shd w:val="clear" w:color="000000" w:fill="D9D9D9"/>
            <w:vAlign w:val="center"/>
            <w:hideMark/>
          </w:tcPr>
          <w:p w14:paraId="341A7646" w14:textId="77777777" w:rsidR="00CF2758" w:rsidRPr="00CF2758" w:rsidRDefault="00CF2758" w:rsidP="00282B45">
            <w:pPr>
              <w:pStyle w:val="Tabletext"/>
              <w:spacing w:line="250" w:lineRule="exact"/>
              <w:jc w:val="center"/>
              <w:rPr>
                <w:sz w:val="22"/>
              </w:rPr>
            </w:pPr>
            <w:r w:rsidRPr="00CF2758">
              <w:rPr>
                <w:sz w:val="22"/>
              </w:rPr>
              <w:t>0</w:t>
            </w:r>
          </w:p>
        </w:tc>
        <w:tc>
          <w:tcPr>
            <w:tcW w:w="960" w:type="dxa"/>
            <w:tcBorders>
              <w:top w:val="single" w:sz="8" w:space="0" w:color="FFFFFF"/>
              <w:left w:val="nil"/>
              <w:bottom w:val="single" w:sz="8" w:space="0" w:color="FFFFFF"/>
              <w:right w:val="single" w:sz="8" w:space="0" w:color="948A54" w:themeColor="background2" w:themeShade="80"/>
            </w:tcBorders>
            <w:shd w:val="clear" w:color="000000" w:fill="D9D9D9"/>
            <w:vAlign w:val="center"/>
            <w:hideMark/>
          </w:tcPr>
          <w:p w14:paraId="76382635" w14:textId="77777777" w:rsidR="00CF2758" w:rsidRPr="00CF2758" w:rsidRDefault="00CF2758" w:rsidP="00282B45">
            <w:pPr>
              <w:pStyle w:val="Tabletext"/>
              <w:spacing w:line="250" w:lineRule="exact"/>
              <w:jc w:val="center"/>
              <w:rPr>
                <w:sz w:val="22"/>
              </w:rPr>
            </w:pPr>
            <w:r w:rsidRPr="00CF2758">
              <w:rPr>
                <w:sz w:val="22"/>
              </w:rPr>
              <w:t>-40</w:t>
            </w:r>
          </w:p>
        </w:tc>
      </w:tr>
      <w:tr w:rsidR="00CF2758" w:rsidRPr="00CF2758" w14:paraId="7B6BB9E3" w14:textId="77777777" w:rsidTr="00282B45">
        <w:trPr>
          <w:trHeight w:val="284"/>
          <w:jc w:val="center"/>
        </w:trPr>
        <w:tc>
          <w:tcPr>
            <w:tcW w:w="6936" w:type="dxa"/>
            <w:tcBorders>
              <w:top w:val="single" w:sz="8" w:space="0" w:color="FFFFFF"/>
              <w:left w:val="single" w:sz="8" w:space="0" w:color="948A54" w:themeColor="background2" w:themeShade="80"/>
              <w:bottom w:val="single" w:sz="8" w:space="0" w:color="FFFFFF"/>
              <w:right w:val="nil"/>
            </w:tcBorders>
            <w:shd w:val="clear" w:color="000000" w:fill="F2F2F2"/>
            <w:vAlign w:val="center"/>
            <w:hideMark/>
          </w:tcPr>
          <w:p w14:paraId="297C2D1A" w14:textId="77777777" w:rsidR="00CF2758" w:rsidRPr="00CF2758" w:rsidRDefault="00CF2758" w:rsidP="00282B45">
            <w:pPr>
              <w:pStyle w:val="Tabletext"/>
              <w:spacing w:line="250" w:lineRule="exact"/>
              <w:rPr>
                <w:sz w:val="22"/>
              </w:rPr>
            </w:pPr>
            <w:r w:rsidRPr="00CF2758">
              <w:rPr>
                <w:sz w:val="22"/>
              </w:rPr>
              <w:t>Gradual elimination of the pensioners’ personal difference offset</w:t>
            </w:r>
          </w:p>
        </w:tc>
        <w:tc>
          <w:tcPr>
            <w:tcW w:w="960" w:type="dxa"/>
            <w:tcBorders>
              <w:top w:val="single" w:sz="8" w:space="0" w:color="FFFFFF"/>
              <w:left w:val="nil"/>
              <w:bottom w:val="single" w:sz="8" w:space="0" w:color="FFFFFF"/>
              <w:right w:val="nil"/>
            </w:tcBorders>
            <w:shd w:val="clear" w:color="000000" w:fill="F2F2F2"/>
            <w:vAlign w:val="center"/>
            <w:hideMark/>
          </w:tcPr>
          <w:p w14:paraId="1BDB1511" w14:textId="77777777" w:rsidR="00CF2758" w:rsidRPr="00CF2758" w:rsidRDefault="00CF2758" w:rsidP="00282B45">
            <w:pPr>
              <w:pStyle w:val="Tabletext"/>
              <w:spacing w:line="250" w:lineRule="exact"/>
              <w:jc w:val="center"/>
              <w:rPr>
                <w:sz w:val="22"/>
              </w:rPr>
            </w:pPr>
            <w:r w:rsidRPr="00CF2758">
              <w:rPr>
                <w:sz w:val="22"/>
              </w:rPr>
              <w:t>0</w:t>
            </w:r>
          </w:p>
        </w:tc>
        <w:tc>
          <w:tcPr>
            <w:tcW w:w="960" w:type="dxa"/>
            <w:tcBorders>
              <w:top w:val="single" w:sz="8" w:space="0" w:color="FFFFFF"/>
              <w:left w:val="nil"/>
              <w:bottom w:val="single" w:sz="8" w:space="0" w:color="FFFFFF"/>
              <w:right w:val="single" w:sz="8" w:space="0" w:color="948A54" w:themeColor="background2" w:themeShade="80"/>
            </w:tcBorders>
            <w:shd w:val="clear" w:color="000000" w:fill="F2F2F2"/>
            <w:vAlign w:val="center"/>
            <w:hideMark/>
          </w:tcPr>
          <w:p w14:paraId="3EC3DFC1" w14:textId="77777777" w:rsidR="00CF2758" w:rsidRPr="00CF2758" w:rsidRDefault="00CF2758" w:rsidP="00282B45">
            <w:pPr>
              <w:pStyle w:val="Tabletext"/>
              <w:spacing w:line="250" w:lineRule="exact"/>
              <w:jc w:val="center"/>
              <w:rPr>
                <w:sz w:val="22"/>
              </w:rPr>
            </w:pPr>
            <w:r w:rsidRPr="00CF2758">
              <w:rPr>
                <w:sz w:val="22"/>
              </w:rPr>
              <w:t>-75</w:t>
            </w:r>
          </w:p>
        </w:tc>
      </w:tr>
      <w:tr w:rsidR="00CF2758" w:rsidRPr="00CF2758" w14:paraId="73ADBA91" w14:textId="77777777" w:rsidTr="00282B45">
        <w:trPr>
          <w:trHeight w:val="284"/>
          <w:jc w:val="center"/>
        </w:trPr>
        <w:tc>
          <w:tcPr>
            <w:tcW w:w="6936" w:type="dxa"/>
            <w:tcBorders>
              <w:top w:val="single" w:sz="8" w:space="0" w:color="FFFFFF"/>
              <w:left w:val="single" w:sz="8" w:space="0" w:color="948A54" w:themeColor="background2" w:themeShade="80"/>
              <w:bottom w:val="single" w:sz="8" w:space="0" w:color="FFFFFF"/>
              <w:right w:val="nil"/>
            </w:tcBorders>
            <w:shd w:val="clear" w:color="000000" w:fill="D9D9D9"/>
            <w:vAlign w:val="center"/>
            <w:hideMark/>
          </w:tcPr>
          <w:p w14:paraId="6EC7444E" w14:textId="77777777" w:rsidR="00CF2758" w:rsidRPr="00CF2758" w:rsidRDefault="00CF2758" w:rsidP="00282B45">
            <w:pPr>
              <w:pStyle w:val="Tabletext"/>
              <w:spacing w:line="250" w:lineRule="exact"/>
              <w:rPr>
                <w:sz w:val="22"/>
              </w:rPr>
            </w:pPr>
            <w:r w:rsidRPr="00CF2758">
              <w:rPr>
                <w:sz w:val="22"/>
              </w:rPr>
              <w:t xml:space="preserve">Reduction of VAT by 30% on remote islands with population up to 20,000 inhabitants </w:t>
            </w:r>
          </w:p>
        </w:tc>
        <w:tc>
          <w:tcPr>
            <w:tcW w:w="960" w:type="dxa"/>
            <w:tcBorders>
              <w:top w:val="single" w:sz="8" w:space="0" w:color="FFFFFF"/>
              <w:left w:val="nil"/>
              <w:bottom w:val="single" w:sz="8" w:space="0" w:color="FFFFFF"/>
              <w:right w:val="nil"/>
            </w:tcBorders>
            <w:shd w:val="clear" w:color="000000" w:fill="D9D9D9"/>
            <w:vAlign w:val="center"/>
            <w:hideMark/>
          </w:tcPr>
          <w:p w14:paraId="6D945480" w14:textId="77777777" w:rsidR="00CF2758" w:rsidRPr="00CF2758" w:rsidRDefault="00CF2758" w:rsidP="00282B45">
            <w:pPr>
              <w:pStyle w:val="Tabletext"/>
              <w:spacing w:line="250" w:lineRule="exact"/>
              <w:jc w:val="center"/>
              <w:rPr>
                <w:sz w:val="22"/>
              </w:rPr>
            </w:pPr>
            <w:r w:rsidRPr="00CF2758">
              <w:rPr>
                <w:sz w:val="22"/>
              </w:rPr>
              <w:t>0</w:t>
            </w:r>
          </w:p>
        </w:tc>
        <w:tc>
          <w:tcPr>
            <w:tcW w:w="960" w:type="dxa"/>
            <w:tcBorders>
              <w:top w:val="single" w:sz="8" w:space="0" w:color="FFFFFF"/>
              <w:left w:val="nil"/>
              <w:bottom w:val="single" w:sz="8" w:space="0" w:color="FFFFFF"/>
              <w:right w:val="single" w:sz="8" w:space="0" w:color="948A54" w:themeColor="background2" w:themeShade="80"/>
            </w:tcBorders>
            <w:shd w:val="clear" w:color="000000" w:fill="D9D9D9"/>
            <w:vAlign w:val="center"/>
            <w:hideMark/>
          </w:tcPr>
          <w:p w14:paraId="6E7AAF8E" w14:textId="77777777" w:rsidR="00CF2758" w:rsidRPr="00CF2758" w:rsidRDefault="00CF2758" w:rsidP="00282B45">
            <w:pPr>
              <w:pStyle w:val="Tabletext"/>
              <w:spacing w:line="250" w:lineRule="exact"/>
              <w:jc w:val="center"/>
              <w:rPr>
                <w:sz w:val="22"/>
              </w:rPr>
            </w:pPr>
            <w:r w:rsidRPr="00CF2758">
              <w:rPr>
                <w:sz w:val="22"/>
              </w:rPr>
              <w:t>-25</w:t>
            </w:r>
          </w:p>
        </w:tc>
      </w:tr>
      <w:tr w:rsidR="00CF2758" w:rsidRPr="00CF2758" w14:paraId="01F70CFD" w14:textId="77777777" w:rsidTr="00282B45">
        <w:trPr>
          <w:trHeight w:val="284"/>
          <w:jc w:val="center"/>
        </w:trPr>
        <w:tc>
          <w:tcPr>
            <w:tcW w:w="6936" w:type="dxa"/>
            <w:tcBorders>
              <w:top w:val="single" w:sz="8" w:space="0" w:color="FFFFFF"/>
              <w:left w:val="single" w:sz="8" w:space="0" w:color="948A54" w:themeColor="background2" w:themeShade="80"/>
              <w:bottom w:val="single" w:sz="8" w:space="0" w:color="FFFFFF"/>
              <w:right w:val="nil"/>
            </w:tcBorders>
            <w:shd w:val="clear" w:color="000000" w:fill="F2F2F2"/>
            <w:vAlign w:val="center"/>
            <w:hideMark/>
          </w:tcPr>
          <w:p w14:paraId="6ADB40BD" w14:textId="77777777" w:rsidR="00CF2758" w:rsidRPr="00CF2758" w:rsidRDefault="00CF2758" w:rsidP="00282B45">
            <w:pPr>
              <w:pStyle w:val="Tabletext"/>
              <w:spacing w:line="250" w:lineRule="exact"/>
              <w:rPr>
                <w:sz w:val="22"/>
              </w:rPr>
            </w:pPr>
            <w:r w:rsidRPr="00CF2758">
              <w:rPr>
                <w:sz w:val="22"/>
              </w:rPr>
              <w:t>50% reduction of the objective income for self-employed for communities outside Attica, with population up to 1,500 residents and exemption for self-employed new mothers during the year of childbirth and for the following two years</w:t>
            </w:r>
          </w:p>
        </w:tc>
        <w:tc>
          <w:tcPr>
            <w:tcW w:w="960" w:type="dxa"/>
            <w:tcBorders>
              <w:top w:val="single" w:sz="8" w:space="0" w:color="FFFFFF"/>
              <w:left w:val="nil"/>
              <w:bottom w:val="single" w:sz="8" w:space="0" w:color="FFFFFF"/>
              <w:right w:val="nil"/>
            </w:tcBorders>
            <w:shd w:val="clear" w:color="000000" w:fill="F2F2F2"/>
            <w:vAlign w:val="center"/>
            <w:hideMark/>
          </w:tcPr>
          <w:p w14:paraId="784F7A6F" w14:textId="77777777" w:rsidR="00CF2758" w:rsidRPr="00CF2758" w:rsidRDefault="00CF2758" w:rsidP="00282B45">
            <w:pPr>
              <w:pStyle w:val="Tabletext"/>
              <w:spacing w:line="250" w:lineRule="exact"/>
              <w:jc w:val="center"/>
              <w:rPr>
                <w:sz w:val="22"/>
              </w:rPr>
            </w:pPr>
            <w:r w:rsidRPr="00CF2758">
              <w:rPr>
                <w:sz w:val="22"/>
              </w:rPr>
              <w:t>0</w:t>
            </w:r>
          </w:p>
        </w:tc>
        <w:tc>
          <w:tcPr>
            <w:tcW w:w="960" w:type="dxa"/>
            <w:tcBorders>
              <w:top w:val="single" w:sz="8" w:space="0" w:color="FFFFFF"/>
              <w:left w:val="nil"/>
              <w:bottom w:val="single" w:sz="8" w:space="0" w:color="FFFFFF"/>
              <w:right w:val="single" w:sz="8" w:space="0" w:color="948A54" w:themeColor="background2" w:themeShade="80"/>
            </w:tcBorders>
            <w:shd w:val="clear" w:color="000000" w:fill="F2F2F2"/>
            <w:vAlign w:val="center"/>
            <w:hideMark/>
          </w:tcPr>
          <w:p w14:paraId="1C18E432" w14:textId="77777777" w:rsidR="00CF2758" w:rsidRPr="00CF2758" w:rsidRDefault="00CF2758" w:rsidP="00282B45">
            <w:pPr>
              <w:pStyle w:val="Tabletext"/>
              <w:spacing w:line="250" w:lineRule="exact"/>
              <w:jc w:val="center"/>
              <w:rPr>
                <w:sz w:val="22"/>
              </w:rPr>
            </w:pPr>
            <w:r w:rsidRPr="00CF2758">
              <w:rPr>
                <w:sz w:val="22"/>
              </w:rPr>
              <w:t>-10</w:t>
            </w:r>
          </w:p>
        </w:tc>
      </w:tr>
      <w:tr w:rsidR="00CF2758" w:rsidRPr="00CF2758" w14:paraId="11C9D00D" w14:textId="77777777" w:rsidTr="00282B45">
        <w:trPr>
          <w:trHeight w:val="284"/>
          <w:jc w:val="center"/>
        </w:trPr>
        <w:tc>
          <w:tcPr>
            <w:tcW w:w="6936" w:type="dxa"/>
            <w:tcBorders>
              <w:top w:val="single" w:sz="8" w:space="0" w:color="FFFFFF"/>
              <w:left w:val="single" w:sz="8" w:space="0" w:color="948A54" w:themeColor="background2" w:themeShade="80"/>
              <w:bottom w:val="single" w:sz="8" w:space="0" w:color="FFFFFF"/>
              <w:right w:val="nil"/>
            </w:tcBorders>
            <w:shd w:val="clear" w:color="000000" w:fill="D9D9D9"/>
            <w:vAlign w:val="center"/>
            <w:hideMark/>
          </w:tcPr>
          <w:p w14:paraId="7DB9E993" w14:textId="77777777" w:rsidR="00CF2758" w:rsidRPr="00CF2758" w:rsidRDefault="00CF2758" w:rsidP="00282B45">
            <w:pPr>
              <w:pStyle w:val="Tabletext"/>
              <w:spacing w:line="250" w:lineRule="exact"/>
              <w:rPr>
                <w:sz w:val="22"/>
              </w:rPr>
            </w:pPr>
            <w:r w:rsidRPr="00CF2758">
              <w:rPr>
                <w:sz w:val="22"/>
              </w:rPr>
              <w:t>Reform of the wage grid of the Armed Forces &amp; savings from restructuring</w:t>
            </w:r>
          </w:p>
        </w:tc>
        <w:tc>
          <w:tcPr>
            <w:tcW w:w="960" w:type="dxa"/>
            <w:tcBorders>
              <w:top w:val="single" w:sz="8" w:space="0" w:color="FFFFFF"/>
              <w:left w:val="nil"/>
              <w:bottom w:val="single" w:sz="8" w:space="0" w:color="FFFFFF"/>
              <w:right w:val="nil"/>
            </w:tcBorders>
            <w:shd w:val="clear" w:color="000000" w:fill="D9D9D9"/>
            <w:vAlign w:val="center"/>
            <w:hideMark/>
          </w:tcPr>
          <w:p w14:paraId="604297ED" w14:textId="77777777" w:rsidR="00CF2758" w:rsidRPr="00CF2758" w:rsidRDefault="00CF2758" w:rsidP="00282B45">
            <w:pPr>
              <w:pStyle w:val="Tabletext"/>
              <w:spacing w:line="250" w:lineRule="exact"/>
              <w:jc w:val="center"/>
              <w:rPr>
                <w:sz w:val="22"/>
              </w:rPr>
            </w:pPr>
            <w:r w:rsidRPr="00CF2758">
              <w:rPr>
                <w:sz w:val="22"/>
              </w:rPr>
              <w:t>0</w:t>
            </w:r>
          </w:p>
        </w:tc>
        <w:tc>
          <w:tcPr>
            <w:tcW w:w="960" w:type="dxa"/>
            <w:tcBorders>
              <w:top w:val="single" w:sz="8" w:space="0" w:color="FFFFFF"/>
              <w:left w:val="nil"/>
              <w:bottom w:val="single" w:sz="8" w:space="0" w:color="FFFFFF"/>
              <w:right w:val="single" w:sz="8" w:space="0" w:color="948A54" w:themeColor="background2" w:themeShade="80"/>
            </w:tcBorders>
            <w:shd w:val="clear" w:color="000000" w:fill="D9D9D9"/>
            <w:vAlign w:val="center"/>
            <w:hideMark/>
          </w:tcPr>
          <w:p w14:paraId="75CB42AD" w14:textId="77777777" w:rsidR="00CF2758" w:rsidRPr="00CF2758" w:rsidRDefault="00CF2758" w:rsidP="00282B45">
            <w:pPr>
              <w:pStyle w:val="Tabletext"/>
              <w:spacing w:line="250" w:lineRule="exact"/>
              <w:jc w:val="center"/>
              <w:rPr>
                <w:sz w:val="22"/>
              </w:rPr>
            </w:pPr>
            <w:r w:rsidRPr="00CF2758">
              <w:rPr>
                <w:sz w:val="22"/>
              </w:rPr>
              <w:t>-106</w:t>
            </w:r>
          </w:p>
        </w:tc>
      </w:tr>
      <w:tr w:rsidR="00CF2758" w:rsidRPr="00CF2758" w14:paraId="0F5DE508" w14:textId="77777777" w:rsidTr="00282B45">
        <w:trPr>
          <w:trHeight w:val="284"/>
          <w:jc w:val="center"/>
        </w:trPr>
        <w:tc>
          <w:tcPr>
            <w:tcW w:w="6936" w:type="dxa"/>
            <w:tcBorders>
              <w:top w:val="single" w:sz="8" w:space="0" w:color="FFFFFF"/>
              <w:left w:val="single" w:sz="8" w:space="0" w:color="948A54" w:themeColor="background2" w:themeShade="80"/>
              <w:bottom w:val="single" w:sz="8" w:space="0" w:color="FFFFFF"/>
              <w:right w:val="nil"/>
            </w:tcBorders>
            <w:shd w:val="clear" w:color="000000" w:fill="F2F2F2"/>
            <w:vAlign w:val="center"/>
            <w:hideMark/>
          </w:tcPr>
          <w:p w14:paraId="063F371A" w14:textId="77777777" w:rsidR="00CF2758" w:rsidRPr="00CF2758" w:rsidRDefault="00CF2758" w:rsidP="00282B45">
            <w:pPr>
              <w:pStyle w:val="Tabletext"/>
              <w:spacing w:line="250" w:lineRule="exact"/>
              <w:rPr>
                <w:sz w:val="22"/>
              </w:rPr>
            </w:pPr>
            <w:r w:rsidRPr="00CF2758">
              <w:rPr>
                <w:sz w:val="22"/>
              </w:rPr>
              <w:t xml:space="preserve">Increase of the soldiers’ compensation </w:t>
            </w:r>
          </w:p>
        </w:tc>
        <w:tc>
          <w:tcPr>
            <w:tcW w:w="960" w:type="dxa"/>
            <w:tcBorders>
              <w:top w:val="single" w:sz="8" w:space="0" w:color="FFFFFF"/>
              <w:left w:val="nil"/>
              <w:bottom w:val="single" w:sz="8" w:space="0" w:color="FFFFFF"/>
              <w:right w:val="nil"/>
            </w:tcBorders>
            <w:shd w:val="clear" w:color="000000" w:fill="F2F2F2"/>
            <w:vAlign w:val="center"/>
            <w:hideMark/>
          </w:tcPr>
          <w:p w14:paraId="423192A6" w14:textId="77777777" w:rsidR="00CF2758" w:rsidRPr="00CF2758" w:rsidRDefault="00CF2758" w:rsidP="00282B45">
            <w:pPr>
              <w:pStyle w:val="Tabletext"/>
              <w:spacing w:line="250" w:lineRule="exact"/>
              <w:jc w:val="center"/>
              <w:rPr>
                <w:sz w:val="22"/>
              </w:rPr>
            </w:pPr>
            <w:r w:rsidRPr="00CF2758">
              <w:rPr>
                <w:sz w:val="22"/>
              </w:rPr>
              <w:t>0</w:t>
            </w:r>
          </w:p>
        </w:tc>
        <w:tc>
          <w:tcPr>
            <w:tcW w:w="960" w:type="dxa"/>
            <w:tcBorders>
              <w:top w:val="single" w:sz="8" w:space="0" w:color="FFFFFF"/>
              <w:left w:val="nil"/>
              <w:bottom w:val="single" w:sz="8" w:space="0" w:color="FFFFFF"/>
              <w:right w:val="single" w:sz="8" w:space="0" w:color="948A54" w:themeColor="background2" w:themeShade="80"/>
            </w:tcBorders>
            <w:shd w:val="clear" w:color="000000" w:fill="F2F2F2"/>
            <w:vAlign w:val="center"/>
            <w:hideMark/>
          </w:tcPr>
          <w:p w14:paraId="02D3B89C" w14:textId="77777777" w:rsidR="00CF2758" w:rsidRPr="00CF2758" w:rsidRDefault="00CF2758" w:rsidP="00282B45">
            <w:pPr>
              <w:pStyle w:val="Tabletext"/>
              <w:spacing w:line="250" w:lineRule="exact"/>
              <w:jc w:val="center"/>
              <w:rPr>
                <w:sz w:val="22"/>
              </w:rPr>
            </w:pPr>
            <w:r w:rsidRPr="00CF2758">
              <w:rPr>
                <w:sz w:val="22"/>
              </w:rPr>
              <w:t>-25</w:t>
            </w:r>
          </w:p>
        </w:tc>
      </w:tr>
      <w:tr w:rsidR="00CF2758" w:rsidRPr="00CF2758" w14:paraId="66867419" w14:textId="77777777" w:rsidTr="00282B45">
        <w:trPr>
          <w:trHeight w:val="284"/>
          <w:jc w:val="center"/>
        </w:trPr>
        <w:tc>
          <w:tcPr>
            <w:tcW w:w="6936" w:type="dxa"/>
            <w:tcBorders>
              <w:top w:val="single" w:sz="8" w:space="0" w:color="FFFFFF"/>
              <w:left w:val="single" w:sz="8" w:space="0" w:color="948A54" w:themeColor="background2" w:themeShade="80"/>
              <w:bottom w:val="single" w:sz="8" w:space="0" w:color="FFFFFF"/>
              <w:right w:val="nil"/>
            </w:tcBorders>
            <w:shd w:val="clear" w:color="000000" w:fill="D9D9D9"/>
            <w:vAlign w:val="center"/>
            <w:hideMark/>
          </w:tcPr>
          <w:p w14:paraId="20282BC4" w14:textId="77777777" w:rsidR="00CF2758" w:rsidRPr="00CF2758" w:rsidRDefault="00CF2758" w:rsidP="00282B45">
            <w:pPr>
              <w:pStyle w:val="Tabletext"/>
              <w:spacing w:line="250" w:lineRule="exact"/>
              <w:rPr>
                <w:sz w:val="22"/>
              </w:rPr>
            </w:pPr>
            <w:r w:rsidRPr="00CF2758">
              <w:rPr>
                <w:sz w:val="22"/>
              </w:rPr>
              <w:t>Reform of the wage grid of the security forces (Police, Fire Brigade, Coast Guard)</w:t>
            </w:r>
          </w:p>
        </w:tc>
        <w:tc>
          <w:tcPr>
            <w:tcW w:w="960" w:type="dxa"/>
            <w:tcBorders>
              <w:top w:val="single" w:sz="8" w:space="0" w:color="FFFFFF"/>
              <w:left w:val="nil"/>
              <w:bottom w:val="single" w:sz="8" w:space="0" w:color="FFFFFF"/>
              <w:right w:val="nil"/>
            </w:tcBorders>
            <w:shd w:val="clear" w:color="000000" w:fill="D9D9D9"/>
            <w:vAlign w:val="center"/>
            <w:hideMark/>
          </w:tcPr>
          <w:p w14:paraId="4023D01A" w14:textId="77777777" w:rsidR="00CF2758" w:rsidRPr="00CF2758" w:rsidRDefault="00CF2758" w:rsidP="00282B45">
            <w:pPr>
              <w:pStyle w:val="Tabletext"/>
              <w:spacing w:line="250" w:lineRule="exact"/>
              <w:jc w:val="center"/>
              <w:rPr>
                <w:sz w:val="22"/>
              </w:rPr>
            </w:pPr>
            <w:r w:rsidRPr="00CF2758">
              <w:rPr>
                <w:sz w:val="22"/>
              </w:rPr>
              <w:t>-32</w:t>
            </w:r>
          </w:p>
        </w:tc>
        <w:tc>
          <w:tcPr>
            <w:tcW w:w="960" w:type="dxa"/>
            <w:tcBorders>
              <w:top w:val="single" w:sz="8" w:space="0" w:color="FFFFFF"/>
              <w:left w:val="nil"/>
              <w:bottom w:val="single" w:sz="8" w:space="0" w:color="FFFFFF"/>
              <w:right w:val="single" w:sz="8" w:space="0" w:color="948A54" w:themeColor="background2" w:themeShade="80"/>
            </w:tcBorders>
            <w:shd w:val="clear" w:color="000000" w:fill="D9D9D9"/>
            <w:vAlign w:val="center"/>
            <w:hideMark/>
          </w:tcPr>
          <w:p w14:paraId="38F33D61" w14:textId="77777777" w:rsidR="00CF2758" w:rsidRPr="00CF2758" w:rsidRDefault="00CF2758" w:rsidP="00282B45">
            <w:pPr>
              <w:pStyle w:val="Tabletext"/>
              <w:spacing w:line="250" w:lineRule="exact"/>
              <w:jc w:val="center"/>
              <w:rPr>
                <w:sz w:val="22"/>
              </w:rPr>
            </w:pPr>
            <w:r w:rsidRPr="00CF2758">
              <w:rPr>
                <w:sz w:val="22"/>
              </w:rPr>
              <w:t>-127</w:t>
            </w:r>
          </w:p>
        </w:tc>
      </w:tr>
      <w:tr w:rsidR="00CF2758" w:rsidRPr="00CF2758" w14:paraId="19FB80F3" w14:textId="77777777" w:rsidTr="00282B45">
        <w:trPr>
          <w:trHeight w:val="284"/>
          <w:jc w:val="center"/>
        </w:trPr>
        <w:tc>
          <w:tcPr>
            <w:tcW w:w="6936" w:type="dxa"/>
            <w:tcBorders>
              <w:top w:val="single" w:sz="8" w:space="0" w:color="FFFFFF"/>
              <w:left w:val="single" w:sz="8" w:space="0" w:color="948A54" w:themeColor="background2" w:themeShade="80"/>
              <w:bottom w:val="single" w:sz="8" w:space="0" w:color="FFFFFF"/>
              <w:right w:val="nil"/>
            </w:tcBorders>
            <w:shd w:val="clear" w:color="000000" w:fill="F2F2F2"/>
            <w:vAlign w:val="center"/>
            <w:hideMark/>
          </w:tcPr>
          <w:p w14:paraId="4F20D652" w14:textId="77777777" w:rsidR="00CF2758" w:rsidRPr="00CF2758" w:rsidRDefault="00CF2758" w:rsidP="00282B45">
            <w:pPr>
              <w:pStyle w:val="Tabletext"/>
              <w:spacing w:line="250" w:lineRule="exact"/>
              <w:rPr>
                <w:sz w:val="22"/>
              </w:rPr>
            </w:pPr>
            <w:r w:rsidRPr="00CF2758">
              <w:rPr>
                <w:sz w:val="22"/>
              </w:rPr>
              <w:t xml:space="preserve">Reform of the compensation of Ministry of Foreign Affairs employees </w:t>
            </w:r>
          </w:p>
        </w:tc>
        <w:tc>
          <w:tcPr>
            <w:tcW w:w="960" w:type="dxa"/>
            <w:tcBorders>
              <w:top w:val="single" w:sz="8" w:space="0" w:color="FFFFFF"/>
              <w:left w:val="nil"/>
              <w:bottom w:val="single" w:sz="8" w:space="0" w:color="FFFFFF"/>
              <w:right w:val="nil"/>
            </w:tcBorders>
            <w:shd w:val="clear" w:color="000000" w:fill="F2F2F2"/>
            <w:vAlign w:val="center"/>
            <w:hideMark/>
          </w:tcPr>
          <w:p w14:paraId="39CAEF91" w14:textId="77777777" w:rsidR="00CF2758" w:rsidRPr="00CF2758" w:rsidRDefault="00CF2758" w:rsidP="00282B45">
            <w:pPr>
              <w:pStyle w:val="Tabletext"/>
              <w:spacing w:line="250" w:lineRule="exact"/>
              <w:jc w:val="center"/>
              <w:rPr>
                <w:sz w:val="22"/>
              </w:rPr>
            </w:pPr>
            <w:r w:rsidRPr="00CF2758">
              <w:rPr>
                <w:sz w:val="22"/>
              </w:rPr>
              <w:t>0</w:t>
            </w:r>
          </w:p>
        </w:tc>
        <w:tc>
          <w:tcPr>
            <w:tcW w:w="960" w:type="dxa"/>
            <w:tcBorders>
              <w:top w:val="single" w:sz="8" w:space="0" w:color="FFFFFF"/>
              <w:left w:val="nil"/>
              <w:bottom w:val="single" w:sz="8" w:space="0" w:color="FFFFFF"/>
              <w:right w:val="single" w:sz="8" w:space="0" w:color="948A54" w:themeColor="background2" w:themeShade="80"/>
            </w:tcBorders>
            <w:shd w:val="clear" w:color="000000" w:fill="F2F2F2"/>
            <w:vAlign w:val="center"/>
            <w:hideMark/>
          </w:tcPr>
          <w:p w14:paraId="3955571B" w14:textId="77777777" w:rsidR="00CF2758" w:rsidRPr="00CF2758" w:rsidRDefault="00CF2758" w:rsidP="00282B45">
            <w:pPr>
              <w:pStyle w:val="Tabletext"/>
              <w:spacing w:line="250" w:lineRule="exact"/>
              <w:jc w:val="center"/>
              <w:rPr>
                <w:sz w:val="22"/>
              </w:rPr>
            </w:pPr>
            <w:r w:rsidRPr="00CF2758">
              <w:rPr>
                <w:sz w:val="22"/>
              </w:rPr>
              <w:t>-30</w:t>
            </w:r>
          </w:p>
        </w:tc>
      </w:tr>
      <w:tr w:rsidR="00CF2758" w:rsidRPr="00CF2758" w14:paraId="19AE7DB3" w14:textId="77777777" w:rsidTr="00282B45">
        <w:trPr>
          <w:trHeight w:val="284"/>
          <w:jc w:val="center"/>
        </w:trPr>
        <w:tc>
          <w:tcPr>
            <w:tcW w:w="6936" w:type="dxa"/>
            <w:tcBorders>
              <w:top w:val="single" w:sz="8" w:space="0" w:color="FFFFFF"/>
              <w:left w:val="single" w:sz="8" w:space="0" w:color="948A54" w:themeColor="background2" w:themeShade="80"/>
              <w:bottom w:val="single" w:sz="8" w:space="0" w:color="FFFFFF"/>
              <w:right w:val="nil"/>
            </w:tcBorders>
            <w:shd w:val="clear" w:color="000000" w:fill="D9D9D9"/>
            <w:vAlign w:val="center"/>
            <w:hideMark/>
          </w:tcPr>
          <w:p w14:paraId="608EB175" w14:textId="77777777" w:rsidR="00CF2758" w:rsidRPr="00CF2758" w:rsidRDefault="00CF2758" w:rsidP="00282B45">
            <w:pPr>
              <w:pStyle w:val="Tabletext"/>
              <w:spacing w:line="250" w:lineRule="exact"/>
              <w:rPr>
                <w:sz w:val="22"/>
              </w:rPr>
            </w:pPr>
            <w:r w:rsidRPr="00CF2758">
              <w:rPr>
                <w:sz w:val="22"/>
              </w:rPr>
              <w:t>Special duties allowance for detention centers personnel</w:t>
            </w:r>
          </w:p>
        </w:tc>
        <w:tc>
          <w:tcPr>
            <w:tcW w:w="960" w:type="dxa"/>
            <w:tcBorders>
              <w:top w:val="single" w:sz="8" w:space="0" w:color="FFFFFF"/>
              <w:left w:val="nil"/>
              <w:bottom w:val="single" w:sz="8" w:space="0" w:color="FFFFFF"/>
              <w:right w:val="nil"/>
            </w:tcBorders>
            <w:shd w:val="clear" w:color="000000" w:fill="D9D9D9"/>
            <w:vAlign w:val="center"/>
            <w:hideMark/>
          </w:tcPr>
          <w:p w14:paraId="5D3AC4C5" w14:textId="77777777" w:rsidR="00CF2758" w:rsidRPr="00CF2758" w:rsidRDefault="00CF2758" w:rsidP="00282B45">
            <w:pPr>
              <w:pStyle w:val="Tabletext"/>
              <w:spacing w:line="250" w:lineRule="exact"/>
              <w:jc w:val="center"/>
              <w:rPr>
                <w:sz w:val="22"/>
              </w:rPr>
            </w:pPr>
            <w:r w:rsidRPr="00CF2758">
              <w:rPr>
                <w:sz w:val="22"/>
              </w:rPr>
              <w:t>-3</w:t>
            </w:r>
          </w:p>
        </w:tc>
        <w:tc>
          <w:tcPr>
            <w:tcW w:w="960" w:type="dxa"/>
            <w:tcBorders>
              <w:top w:val="single" w:sz="8" w:space="0" w:color="FFFFFF"/>
              <w:left w:val="nil"/>
              <w:bottom w:val="single" w:sz="8" w:space="0" w:color="FFFFFF"/>
              <w:right w:val="single" w:sz="8" w:space="0" w:color="948A54" w:themeColor="background2" w:themeShade="80"/>
            </w:tcBorders>
            <w:shd w:val="clear" w:color="000000" w:fill="D9D9D9"/>
            <w:vAlign w:val="center"/>
            <w:hideMark/>
          </w:tcPr>
          <w:p w14:paraId="329BAFA8" w14:textId="77777777" w:rsidR="00CF2758" w:rsidRPr="00CF2758" w:rsidRDefault="00CF2758" w:rsidP="00282B45">
            <w:pPr>
              <w:pStyle w:val="Tabletext"/>
              <w:spacing w:line="250" w:lineRule="exact"/>
              <w:jc w:val="center"/>
              <w:rPr>
                <w:sz w:val="22"/>
              </w:rPr>
            </w:pPr>
            <w:r w:rsidRPr="00CF2758">
              <w:rPr>
                <w:sz w:val="22"/>
              </w:rPr>
              <w:t>-6</w:t>
            </w:r>
          </w:p>
        </w:tc>
      </w:tr>
      <w:tr w:rsidR="00CF2758" w:rsidRPr="00CF2758" w14:paraId="2EEC5404" w14:textId="77777777" w:rsidTr="00282B45">
        <w:trPr>
          <w:trHeight w:val="284"/>
          <w:jc w:val="center"/>
        </w:trPr>
        <w:tc>
          <w:tcPr>
            <w:tcW w:w="6936" w:type="dxa"/>
            <w:tcBorders>
              <w:top w:val="single" w:sz="8" w:space="0" w:color="FFFFFF"/>
              <w:left w:val="single" w:sz="8" w:space="0" w:color="948A54" w:themeColor="background2" w:themeShade="80"/>
              <w:bottom w:val="single" w:sz="8" w:space="0" w:color="FFFFFF"/>
              <w:right w:val="nil"/>
            </w:tcBorders>
            <w:shd w:val="clear" w:color="000000" w:fill="F2F2F2"/>
            <w:vAlign w:val="center"/>
            <w:hideMark/>
          </w:tcPr>
          <w:p w14:paraId="5619024F" w14:textId="77777777" w:rsidR="00CF2758" w:rsidRPr="00CF2758" w:rsidRDefault="00CF2758" w:rsidP="00282B45">
            <w:pPr>
              <w:pStyle w:val="Tabletext"/>
              <w:spacing w:line="250" w:lineRule="exact"/>
              <w:rPr>
                <w:sz w:val="22"/>
              </w:rPr>
            </w:pPr>
            <w:r w:rsidRPr="00CF2758">
              <w:rPr>
                <w:sz w:val="22"/>
              </w:rPr>
              <w:t>Wage increase for graduates of Polytechnic and other University Schools offering a five-year programme of studies</w:t>
            </w:r>
          </w:p>
        </w:tc>
        <w:tc>
          <w:tcPr>
            <w:tcW w:w="960" w:type="dxa"/>
            <w:tcBorders>
              <w:top w:val="single" w:sz="8" w:space="0" w:color="FFFFFF"/>
              <w:left w:val="nil"/>
              <w:bottom w:val="single" w:sz="8" w:space="0" w:color="FFFFFF"/>
              <w:right w:val="nil"/>
            </w:tcBorders>
            <w:shd w:val="clear" w:color="000000" w:fill="F2F2F2"/>
            <w:vAlign w:val="center"/>
            <w:hideMark/>
          </w:tcPr>
          <w:p w14:paraId="187A7914" w14:textId="77777777" w:rsidR="00CF2758" w:rsidRPr="00CF2758" w:rsidRDefault="00CF2758" w:rsidP="00282B45">
            <w:pPr>
              <w:pStyle w:val="Tabletext"/>
              <w:spacing w:line="250" w:lineRule="exact"/>
              <w:jc w:val="center"/>
              <w:rPr>
                <w:sz w:val="22"/>
              </w:rPr>
            </w:pPr>
            <w:r w:rsidRPr="00CF2758">
              <w:rPr>
                <w:sz w:val="22"/>
              </w:rPr>
              <w:t>0</w:t>
            </w:r>
          </w:p>
        </w:tc>
        <w:tc>
          <w:tcPr>
            <w:tcW w:w="960" w:type="dxa"/>
            <w:tcBorders>
              <w:top w:val="single" w:sz="8" w:space="0" w:color="FFFFFF"/>
              <w:left w:val="nil"/>
              <w:bottom w:val="single" w:sz="8" w:space="0" w:color="FFFFFF"/>
              <w:right w:val="single" w:sz="8" w:space="0" w:color="948A54" w:themeColor="background2" w:themeShade="80"/>
            </w:tcBorders>
            <w:shd w:val="clear" w:color="000000" w:fill="F2F2F2"/>
            <w:vAlign w:val="center"/>
            <w:hideMark/>
          </w:tcPr>
          <w:p w14:paraId="2D83A8B8" w14:textId="77777777" w:rsidR="00CF2758" w:rsidRPr="00CF2758" w:rsidRDefault="00CF2758" w:rsidP="00282B45">
            <w:pPr>
              <w:pStyle w:val="Tabletext"/>
              <w:spacing w:line="250" w:lineRule="exact"/>
              <w:jc w:val="center"/>
              <w:rPr>
                <w:sz w:val="22"/>
              </w:rPr>
            </w:pPr>
            <w:r w:rsidRPr="00CF2758">
              <w:rPr>
                <w:sz w:val="22"/>
              </w:rPr>
              <w:t>-7</w:t>
            </w:r>
          </w:p>
        </w:tc>
      </w:tr>
      <w:tr w:rsidR="00CF2758" w:rsidRPr="00CF2758" w14:paraId="1DC32DB0" w14:textId="77777777" w:rsidTr="00282B45">
        <w:trPr>
          <w:trHeight w:val="284"/>
          <w:jc w:val="center"/>
        </w:trPr>
        <w:tc>
          <w:tcPr>
            <w:tcW w:w="6936" w:type="dxa"/>
            <w:tcBorders>
              <w:top w:val="single" w:sz="8" w:space="0" w:color="FFFFFF"/>
              <w:left w:val="single" w:sz="8" w:space="0" w:color="948A54" w:themeColor="background2" w:themeShade="80"/>
              <w:bottom w:val="single" w:sz="8" w:space="0" w:color="FFFFFF"/>
              <w:right w:val="nil"/>
            </w:tcBorders>
            <w:shd w:val="clear" w:color="000000" w:fill="D9D9D9"/>
            <w:vAlign w:val="center"/>
            <w:hideMark/>
          </w:tcPr>
          <w:p w14:paraId="3B5FE7A2" w14:textId="77777777" w:rsidR="00CF2758" w:rsidRPr="00CF2758" w:rsidRDefault="00CF2758" w:rsidP="00282B45">
            <w:pPr>
              <w:pStyle w:val="Tabletext"/>
              <w:spacing w:line="250" w:lineRule="exact"/>
              <w:rPr>
                <w:sz w:val="22"/>
              </w:rPr>
            </w:pPr>
            <w:r w:rsidRPr="00CF2758">
              <w:rPr>
                <w:sz w:val="22"/>
              </w:rPr>
              <w:t>Introduction of a tax exemption for the academic library allowance of faculty members and researchers</w:t>
            </w:r>
          </w:p>
        </w:tc>
        <w:tc>
          <w:tcPr>
            <w:tcW w:w="960" w:type="dxa"/>
            <w:tcBorders>
              <w:top w:val="single" w:sz="8" w:space="0" w:color="FFFFFF"/>
              <w:left w:val="nil"/>
              <w:bottom w:val="single" w:sz="8" w:space="0" w:color="FFFFFF"/>
              <w:right w:val="nil"/>
            </w:tcBorders>
            <w:shd w:val="clear" w:color="000000" w:fill="D9D9D9"/>
            <w:vAlign w:val="center"/>
            <w:hideMark/>
          </w:tcPr>
          <w:p w14:paraId="694604F2" w14:textId="77777777" w:rsidR="00CF2758" w:rsidRPr="00CF2758" w:rsidRDefault="00CF2758" w:rsidP="00282B45">
            <w:pPr>
              <w:pStyle w:val="Tabletext"/>
              <w:spacing w:line="250" w:lineRule="exact"/>
              <w:jc w:val="center"/>
              <w:rPr>
                <w:sz w:val="22"/>
              </w:rPr>
            </w:pPr>
            <w:r w:rsidRPr="00CF2758">
              <w:rPr>
                <w:sz w:val="22"/>
              </w:rPr>
              <w:t>0</w:t>
            </w:r>
          </w:p>
        </w:tc>
        <w:tc>
          <w:tcPr>
            <w:tcW w:w="960" w:type="dxa"/>
            <w:tcBorders>
              <w:top w:val="single" w:sz="8" w:space="0" w:color="FFFFFF"/>
              <w:left w:val="nil"/>
              <w:bottom w:val="single" w:sz="8" w:space="0" w:color="FFFFFF"/>
              <w:right w:val="single" w:sz="8" w:space="0" w:color="948A54" w:themeColor="background2" w:themeShade="80"/>
            </w:tcBorders>
            <w:shd w:val="clear" w:color="000000" w:fill="D9D9D9"/>
            <w:vAlign w:val="center"/>
            <w:hideMark/>
          </w:tcPr>
          <w:p w14:paraId="3E38A29D" w14:textId="77777777" w:rsidR="00CF2758" w:rsidRPr="00CF2758" w:rsidRDefault="00CF2758" w:rsidP="00282B45">
            <w:pPr>
              <w:pStyle w:val="Tabletext"/>
              <w:spacing w:line="250" w:lineRule="exact"/>
              <w:jc w:val="center"/>
              <w:rPr>
                <w:sz w:val="22"/>
              </w:rPr>
            </w:pPr>
            <w:r w:rsidRPr="00CF2758">
              <w:rPr>
                <w:sz w:val="22"/>
              </w:rPr>
              <w:t>-6</w:t>
            </w:r>
          </w:p>
        </w:tc>
      </w:tr>
      <w:tr w:rsidR="00CF2758" w:rsidRPr="00CF2758" w14:paraId="36D36EA1" w14:textId="77777777" w:rsidTr="00282B45">
        <w:trPr>
          <w:trHeight w:val="284"/>
          <w:jc w:val="center"/>
        </w:trPr>
        <w:tc>
          <w:tcPr>
            <w:tcW w:w="6936" w:type="dxa"/>
            <w:tcBorders>
              <w:top w:val="single" w:sz="8" w:space="0" w:color="FFFFFF"/>
              <w:left w:val="single" w:sz="8" w:space="0" w:color="948A54" w:themeColor="background2" w:themeShade="80"/>
              <w:bottom w:val="single" w:sz="8" w:space="0" w:color="FFFFFF"/>
              <w:right w:val="nil"/>
            </w:tcBorders>
            <w:shd w:val="clear" w:color="000000" w:fill="F2F2F2"/>
            <w:vAlign w:val="center"/>
            <w:hideMark/>
          </w:tcPr>
          <w:p w14:paraId="63BC8BCE" w14:textId="77777777" w:rsidR="00CF2758" w:rsidRPr="00CF2758" w:rsidRDefault="00CF2758" w:rsidP="00282B45">
            <w:pPr>
              <w:pStyle w:val="Tabletext"/>
              <w:spacing w:line="250" w:lineRule="exact"/>
              <w:rPr>
                <w:sz w:val="22"/>
              </w:rPr>
            </w:pPr>
            <w:r w:rsidRPr="00CF2758">
              <w:rPr>
                <w:sz w:val="22"/>
              </w:rPr>
              <w:t>Exemption from income tax for foundations and legacies (fiscal impact of €43 million from 2027 onwards)</w:t>
            </w:r>
          </w:p>
        </w:tc>
        <w:tc>
          <w:tcPr>
            <w:tcW w:w="960" w:type="dxa"/>
            <w:tcBorders>
              <w:top w:val="single" w:sz="8" w:space="0" w:color="FFFFFF"/>
              <w:left w:val="nil"/>
              <w:bottom w:val="single" w:sz="8" w:space="0" w:color="FFFFFF"/>
              <w:right w:val="nil"/>
            </w:tcBorders>
            <w:shd w:val="clear" w:color="000000" w:fill="F2F2F2"/>
            <w:vAlign w:val="center"/>
            <w:hideMark/>
          </w:tcPr>
          <w:p w14:paraId="534C59FE" w14:textId="77777777" w:rsidR="00CF2758" w:rsidRPr="00CF2758" w:rsidRDefault="00CF2758" w:rsidP="00282B45">
            <w:pPr>
              <w:pStyle w:val="Tabletext"/>
              <w:spacing w:line="250" w:lineRule="exact"/>
              <w:jc w:val="center"/>
              <w:rPr>
                <w:sz w:val="22"/>
              </w:rPr>
            </w:pPr>
            <w:r w:rsidRPr="00CF2758">
              <w:rPr>
                <w:sz w:val="22"/>
              </w:rPr>
              <w:t>0</w:t>
            </w:r>
          </w:p>
        </w:tc>
        <w:tc>
          <w:tcPr>
            <w:tcW w:w="960" w:type="dxa"/>
            <w:tcBorders>
              <w:top w:val="single" w:sz="8" w:space="0" w:color="FFFFFF"/>
              <w:left w:val="nil"/>
              <w:bottom w:val="single" w:sz="8" w:space="0" w:color="FFFFFF"/>
              <w:right w:val="single" w:sz="8" w:space="0" w:color="948A54" w:themeColor="background2" w:themeShade="80"/>
            </w:tcBorders>
            <w:shd w:val="clear" w:color="000000" w:fill="F2F2F2"/>
            <w:vAlign w:val="center"/>
            <w:hideMark/>
          </w:tcPr>
          <w:p w14:paraId="33253E4A" w14:textId="77777777" w:rsidR="00CF2758" w:rsidRPr="00CF2758" w:rsidRDefault="00CF2758" w:rsidP="00282B45">
            <w:pPr>
              <w:pStyle w:val="Tabletext"/>
              <w:spacing w:line="250" w:lineRule="exact"/>
              <w:jc w:val="center"/>
              <w:rPr>
                <w:sz w:val="22"/>
              </w:rPr>
            </w:pPr>
            <w:r w:rsidRPr="00CF2758">
              <w:rPr>
                <w:sz w:val="22"/>
              </w:rPr>
              <w:t>0</w:t>
            </w:r>
          </w:p>
        </w:tc>
      </w:tr>
      <w:tr w:rsidR="00CF2758" w:rsidRPr="00CF2758" w14:paraId="3781CEE2" w14:textId="77777777" w:rsidTr="00282B45">
        <w:trPr>
          <w:trHeight w:val="284"/>
          <w:jc w:val="center"/>
        </w:trPr>
        <w:tc>
          <w:tcPr>
            <w:tcW w:w="6936" w:type="dxa"/>
            <w:tcBorders>
              <w:top w:val="single" w:sz="8" w:space="0" w:color="FFFFFF"/>
              <w:left w:val="single" w:sz="8" w:space="0" w:color="948A54" w:themeColor="background2" w:themeShade="80"/>
              <w:bottom w:val="single" w:sz="8" w:space="0" w:color="FFFFFF"/>
              <w:right w:val="nil"/>
            </w:tcBorders>
            <w:shd w:val="clear" w:color="000000" w:fill="D9D9D9"/>
            <w:vAlign w:val="center"/>
            <w:hideMark/>
          </w:tcPr>
          <w:p w14:paraId="6847F6D8" w14:textId="77777777" w:rsidR="00CF2758" w:rsidRPr="00CF2758" w:rsidRDefault="00CF2758" w:rsidP="00282B45">
            <w:pPr>
              <w:pStyle w:val="Tabletext"/>
              <w:spacing w:line="250" w:lineRule="exact"/>
              <w:rPr>
                <w:sz w:val="22"/>
              </w:rPr>
            </w:pPr>
            <w:r w:rsidRPr="00CF2758">
              <w:rPr>
                <w:sz w:val="22"/>
              </w:rPr>
              <w:t xml:space="preserve">Innovation Fund for Pharmaceuticals </w:t>
            </w:r>
          </w:p>
        </w:tc>
        <w:tc>
          <w:tcPr>
            <w:tcW w:w="960" w:type="dxa"/>
            <w:tcBorders>
              <w:top w:val="single" w:sz="8" w:space="0" w:color="FFFFFF"/>
              <w:left w:val="nil"/>
              <w:bottom w:val="single" w:sz="8" w:space="0" w:color="FFFFFF"/>
              <w:right w:val="nil"/>
            </w:tcBorders>
            <w:shd w:val="clear" w:color="000000" w:fill="D9D9D9"/>
            <w:vAlign w:val="center"/>
            <w:hideMark/>
          </w:tcPr>
          <w:p w14:paraId="2BD5ACF0" w14:textId="77777777" w:rsidR="00CF2758" w:rsidRPr="00CF2758" w:rsidRDefault="00CF2758" w:rsidP="00282B45">
            <w:pPr>
              <w:pStyle w:val="Tabletext"/>
              <w:spacing w:line="250" w:lineRule="exact"/>
              <w:jc w:val="center"/>
              <w:rPr>
                <w:sz w:val="22"/>
              </w:rPr>
            </w:pPr>
            <w:r w:rsidRPr="00CF2758">
              <w:rPr>
                <w:sz w:val="22"/>
              </w:rPr>
              <w:t>0</w:t>
            </w:r>
          </w:p>
        </w:tc>
        <w:tc>
          <w:tcPr>
            <w:tcW w:w="960" w:type="dxa"/>
            <w:tcBorders>
              <w:top w:val="single" w:sz="8" w:space="0" w:color="FFFFFF"/>
              <w:left w:val="nil"/>
              <w:bottom w:val="single" w:sz="8" w:space="0" w:color="FFFFFF"/>
              <w:right w:val="single" w:sz="8" w:space="0" w:color="948A54" w:themeColor="background2" w:themeShade="80"/>
            </w:tcBorders>
            <w:shd w:val="clear" w:color="000000" w:fill="D9D9D9"/>
            <w:vAlign w:val="center"/>
            <w:hideMark/>
          </w:tcPr>
          <w:p w14:paraId="3F583F51" w14:textId="77777777" w:rsidR="00CF2758" w:rsidRPr="00CF2758" w:rsidRDefault="00CF2758" w:rsidP="00282B45">
            <w:pPr>
              <w:pStyle w:val="Tabletext"/>
              <w:spacing w:line="250" w:lineRule="exact"/>
              <w:jc w:val="center"/>
              <w:rPr>
                <w:sz w:val="22"/>
              </w:rPr>
            </w:pPr>
            <w:r w:rsidRPr="00CF2758">
              <w:rPr>
                <w:sz w:val="22"/>
              </w:rPr>
              <w:t>-50</w:t>
            </w:r>
          </w:p>
        </w:tc>
      </w:tr>
      <w:tr w:rsidR="00CF2758" w:rsidRPr="00CF2758" w14:paraId="3B54949B" w14:textId="77777777" w:rsidTr="00282B45">
        <w:trPr>
          <w:trHeight w:val="284"/>
          <w:jc w:val="center"/>
        </w:trPr>
        <w:tc>
          <w:tcPr>
            <w:tcW w:w="6936" w:type="dxa"/>
            <w:tcBorders>
              <w:top w:val="single" w:sz="8" w:space="0" w:color="FFFFFF"/>
              <w:left w:val="single" w:sz="8" w:space="0" w:color="948A54" w:themeColor="background2" w:themeShade="80"/>
              <w:bottom w:val="single" w:sz="8" w:space="0" w:color="FFFFFF"/>
              <w:right w:val="nil"/>
            </w:tcBorders>
            <w:shd w:val="clear" w:color="000000" w:fill="F2F2F2"/>
            <w:vAlign w:val="center"/>
            <w:hideMark/>
          </w:tcPr>
          <w:p w14:paraId="09EA8062" w14:textId="77777777" w:rsidR="00CF2758" w:rsidRPr="00CF2758" w:rsidRDefault="00CF2758" w:rsidP="00282B45">
            <w:pPr>
              <w:pStyle w:val="Tabletext"/>
              <w:spacing w:line="250" w:lineRule="exact"/>
              <w:rPr>
                <w:sz w:val="22"/>
              </w:rPr>
            </w:pPr>
            <w:r w:rsidRPr="00CF2758">
              <w:rPr>
                <w:sz w:val="22"/>
              </w:rPr>
              <w:t xml:space="preserve">Abolition of the cable tv fee </w:t>
            </w:r>
          </w:p>
        </w:tc>
        <w:tc>
          <w:tcPr>
            <w:tcW w:w="960" w:type="dxa"/>
            <w:tcBorders>
              <w:top w:val="single" w:sz="8" w:space="0" w:color="FFFFFF"/>
              <w:left w:val="nil"/>
              <w:bottom w:val="single" w:sz="8" w:space="0" w:color="FFFFFF"/>
              <w:right w:val="nil"/>
            </w:tcBorders>
            <w:shd w:val="clear" w:color="000000" w:fill="F2F2F2"/>
            <w:vAlign w:val="center"/>
            <w:hideMark/>
          </w:tcPr>
          <w:p w14:paraId="044BDFA2" w14:textId="77777777" w:rsidR="00CF2758" w:rsidRPr="00CF2758" w:rsidRDefault="00CF2758" w:rsidP="00282B45">
            <w:pPr>
              <w:pStyle w:val="Tabletext"/>
              <w:spacing w:line="250" w:lineRule="exact"/>
              <w:jc w:val="center"/>
              <w:rPr>
                <w:sz w:val="22"/>
              </w:rPr>
            </w:pPr>
            <w:r w:rsidRPr="00CF2758">
              <w:rPr>
                <w:sz w:val="22"/>
              </w:rPr>
              <w:t>0</w:t>
            </w:r>
          </w:p>
        </w:tc>
        <w:tc>
          <w:tcPr>
            <w:tcW w:w="960" w:type="dxa"/>
            <w:tcBorders>
              <w:top w:val="single" w:sz="8" w:space="0" w:color="FFFFFF"/>
              <w:left w:val="nil"/>
              <w:bottom w:val="single" w:sz="8" w:space="0" w:color="FFFFFF"/>
              <w:right w:val="single" w:sz="8" w:space="0" w:color="948A54" w:themeColor="background2" w:themeShade="80"/>
            </w:tcBorders>
            <w:shd w:val="clear" w:color="000000" w:fill="F2F2F2"/>
            <w:vAlign w:val="center"/>
            <w:hideMark/>
          </w:tcPr>
          <w:p w14:paraId="6DCF0DE2" w14:textId="77777777" w:rsidR="00CF2758" w:rsidRPr="00CF2758" w:rsidRDefault="00CF2758" w:rsidP="00282B45">
            <w:pPr>
              <w:pStyle w:val="Tabletext"/>
              <w:spacing w:line="250" w:lineRule="exact"/>
              <w:jc w:val="center"/>
              <w:rPr>
                <w:sz w:val="22"/>
              </w:rPr>
            </w:pPr>
            <w:r w:rsidRPr="00CF2758">
              <w:rPr>
                <w:sz w:val="22"/>
              </w:rPr>
              <w:t>-22</w:t>
            </w:r>
          </w:p>
        </w:tc>
      </w:tr>
      <w:tr w:rsidR="00CF2758" w:rsidRPr="00CF2758" w14:paraId="0EB23E4D" w14:textId="77777777" w:rsidTr="00282B45">
        <w:trPr>
          <w:trHeight w:val="284"/>
          <w:jc w:val="center"/>
        </w:trPr>
        <w:tc>
          <w:tcPr>
            <w:tcW w:w="6936" w:type="dxa"/>
            <w:tcBorders>
              <w:top w:val="single" w:sz="8" w:space="0" w:color="FFFFFF"/>
              <w:left w:val="single" w:sz="8" w:space="0" w:color="948A54" w:themeColor="background2" w:themeShade="80"/>
              <w:bottom w:val="single" w:sz="8" w:space="0" w:color="FFFFFF"/>
              <w:right w:val="nil"/>
            </w:tcBorders>
            <w:shd w:val="clear" w:color="000000" w:fill="D9D9D9"/>
            <w:vAlign w:val="center"/>
            <w:hideMark/>
          </w:tcPr>
          <w:p w14:paraId="36D5E1BD" w14:textId="77777777" w:rsidR="00CF2758" w:rsidRPr="00CF2758" w:rsidRDefault="00CF2758" w:rsidP="00282B45">
            <w:pPr>
              <w:pStyle w:val="Tabletext"/>
              <w:spacing w:line="250" w:lineRule="exact"/>
              <w:rPr>
                <w:sz w:val="22"/>
              </w:rPr>
            </w:pPr>
            <w:r w:rsidRPr="00CF2758">
              <w:rPr>
                <w:sz w:val="22"/>
              </w:rPr>
              <w:t>Return of one rent annually with income and property criteria</w:t>
            </w:r>
          </w:p>
        </w:tc>
        <w:tc>
          <w:tcPr>
            <w:tcW w:w="960" w:type="dxa"/>
            <w:tcBorders>
              <w:top w:val="single" w:sz="8" w:space="0" w:color="FFFFFF"/>
              <w:left w:val="nil"/>
              <w:bottom w:val="single" w:sz="8" w:space="0" w:color="FFFFFF"/>
              <w:right w:val="nil"/>
            </w:tcBorders>
            <w:shd w:val="clear" w:color="000000" w:fill="D9D9D9"/>
            <w:vAlign w:val="center"/>
            <w:hideMark/>
          </w:tcPr>
          <w:p w14:paraId="4641EAEC" w14:textId="77777777" w:rsidR="00CF2758" w:rsidRPr="00CF2758" w:rsidRDefault="00CF2758" w:rsidP="00282B45">
            <w:pPr>
              <w:pStyle w:val="Tabletext"/>
              <w:spacing w:line="250" w:lineRule="exact"/>
              <w:jc w:val="center"/>
              <w:rPr>
                <w:sz w:val="22"/>
              </w:rPr>
            </w:pPr>
            <w:r w:rsidRPr="00CF2758">
              <w:rPr>
                <w:sz w:val="22"/>
              </w:rPr>
              <w:t>-200</w:t>
            </w:r>
          </w:p>
        </w:tc>
        <w:tc>
          <w:tcPr>
            <w:tcW w:w="960" w:type="dxa"/>
            <w:tcBorders>
              <w:top w:val="single" w:sz="8" w:space="0" w:color="FFFFFF"/>
              <w:left w:val="nil"/>
              <w:bottom w:val="single" w:sz="8" w:space="0" w:color="FFFFFF"/>
              <w:right w:val="single" w:sz="8" w:space="0" w:color="948A54" w:themeColor="background2" w:themeShade="80"/>
            </w:tcBorders>
            <w:shd w:val="clear" w:color="000000" w:fill="D9D9D9"/>
            <w:vAlign w:val="center"/>
            <w:hideMark/>
          </w:tcPr>
          <w:p w14:paraId="69DE42B6" w14:textId="77777777" w:rsidR="00CF2758" w:rsidRPr="00CF2758" w:rsidRDefault="00CF2758" w:rsidP="00282B45">
            <w:pPr>
              <w:pStyle w:val="Tabletext"/>
              <w:spacing w:line="250" w:lineRule="exact"/>
              <w:jc w:val="center"/>
              <w:rPr>
                <w:sz w:val="22"/>
              </w:rPr>
            </w:pPr>
            <w:r w:rsidRPr="00CF2758">
              <w:rPr>
                <w:sz w:val="22"/>
              </w:rPr>
              <w:t>-200</w:t>
            </w:r>
          </w:p>
        </w:tc>
      </w:tr>
      <w:tr w:rsidR="00CF2758" w:rsidRPr="00CF2758" w14:paraId="080518C2" w14:textId="77777777" w:rsidTr="00282B45">
        <w:trPr>
          <w:trHeight w:val="284"/>
          <w:jc w:val="center"/>
        </w:trPr>
        <w:tc>
          <w:tcPr>
            <w:tcW w:w="6936" w:type="dxa"/>
            <w:tcBorders>
              <w:top w:val="single" w:sz="8" w:space="0" w:color="FFFFFF"/>
              <w:left w:val="single" w:sz="8" w:space="0" w:color="948A54" w:themeColor="background2" w:themeShade="80"/>
              <w:bottom w:val="single" w:sz="8" w:space="0" w:color="FFFFFF"/>
              <w:right w:val="nil"/>
            </w:tcBorders>
            <w:shd w:val="clear" w:color="000000" w:fill="F2F2F2"/>
            <w:vAlign w:val="center"/>
            <w:hideMark/>
          </w:tcPr>
          <w:p w14:paraId="670CBEF3" w14:textId="77777777" w:rsidR="00CF2758" w:rsidRPr="00CF2758" w:rsidRDefault="00CF2758" w:rsidP="00282B45">
            <w:pPr>
              <w:pStyle w:val="Tabletext"/>
              <w:spacing w:line="250" w:lineRule="exact"/>
              <w:rPr>
                <w:sz w:val="22"/>
              </w:rPr>
            </w:pPr>
            <w:r w:rsidRPr="00CF2758">
              <w:rPr>
                <w:sz w:val="22"/>
              </w:rPr>
              <w:lastRenderedPageBreak/>
              <w:t xml:space="preserve">Social benefit of €250 to low-income pensioners, uninsured elderlies and beneficiaries of disability allowances </w:t>
            </w:r>
          </w:p>
        </w:tc>
        <w:tc>
          <w:tcPr>
            <w:tcW w:w="960" w:type="dxa"/>
            <w:tcBorders>
              <w:top w:val="single" w:sz="8" w:space="0" w:color="FFFFFF"/>
              <w:left w:val="nil"/>
              <w:bottom w:val="single" w:sz="8" w:space="0" w:color="FFFFFF"/>
              <w:right w:val="nil"/>
            </w:tcBorders>
            <w:shd w:val="clear" w:color="000000" w:fill="F2F2F2"/>
            <w:vAlign w:val="center"/>
            <w:hideMark/>
          </w:tcPr>
          <w:p w14:paraId="6F066C35" w14:textId="77777777" w:rsidR="00CF2758" w:rsidRPr="00CF2758" w:rsidRDefault="00CF2758" w:rsidP="00282B45">
            <w:pPr>
              <w:pStyle w:val="Tabletext"/>
              <w:spacing w:line="250" w:lineRule="exact"/>
              <w:jc w:val="center"/>
              <w:rPr>
                <w:sz w:val="22"/>
              </w:rPr>
            </w:pPr>
            <w:r w:rsidRPr="00CF2758">
              <w:rPr>
                <w:sz w:val="22"/>
              </w:rPr>
              <w:t>-362</w:t>
            </w:r>
          </w:p>
        </w:tc>
        <w:tc>
          <w:tcPr>
            <w:tcW w:w="960" w:type="dxa"/>
            <w:tcBorders>
              <w:top w:val="single" w:sz="8" w:space="0" w:color="FFFFFF"/>
              <w:left w:val="nil"/>
              <w:bottom w:val="single" w:sz="8" w:space="0" w:color="FFFFFF"/>
              <w:right w:val="single" w:sz="8" w:space="0" w:color="948A54" w:themeColor="background2" w:themeShade="80"/>
            </w:tcBorders>
            <w:shd w:val="clear" w:color="000000" w:fill="F2F2F2"/>
            <w:vAlign w:val="center"/>
            <w:hideMark/>
          </w:tcPr>
          <w:p w14:paraId="647217BA" w14:textId="77777777" w:rsidR="00CF2758" w:rsidRPr="00CF2758" w:rsidRDefault="00CF2758" w:rsidP="00282B45">
            <w:pPr>
              <w:pStyle w:val="Tabletext"/>
              <w:spacing w:line="250" w:lineRule="exact"/>
              <w:jc w:val="center"/>
              <w:rPr>
                <w:sz w:val="22"/>
              </w:rPr>
            </w:pPr>
            <w:r w:rsidRPr="00CF2758">
              <w:rPr>
                <w:sz w:val="22"/>
              </w:rPr>
              <w:t>-362</w:t>
            </w:r>
          </w:p>
        </w:tc>
      </w:tr>
      <w:tr w:rsidR="00CF2758" w:rsidRPr="00CF2758" w14:paraId="51C102D2" w14:textId="77777777" w:rsidTr="00282B45">
        <w:trPr>
          <w:trHeight w:val="284"/>
          <w:jc w:val="center"/>
        </w:trPr>
        <w:tc>
          <w:tcPr>
            <w:tcW w:w="6936" w:type="dxa"/>
            <w:tcBorders>
              <w:top w:val="single" w:sz="8" w:space="0" w:color="FFFFFF"/>
              <w:left w:val="single" w:sz="8" w:space="0" w:color="948A54" w:themeColor="background2" w:themeShade="80"/>
              <w:bottom w:val="single" w:sz="8" w:space="0" w:color="FFFFFF"/>
              <w:right w:val="nil"/>
            </w:tcBorders>
            <w:shd w:val="clear" w:color="000000" w:fill="D9D9D9"/>
            <w:vAlign w:val="center"/>
            <w:hideMark/>
          </w:tcPr>
          <w:p w14:paraId="46938A51" w14:textId="77777777" w:rsidR="00CF2758" w:rsidRPr="00CF2758" w:rsidRDefault="00CF2758" w:rsidP="00282B45">
            <w:pPr>
              <w:pStyle w:val="Tabletext"/>
              <w:spacing w:line="250" w:lineRule="exact"/>
              <w:rPr>
                <w:sz w:val="22"/>
              </w:rPr>
            </w:pPr>
            <w:r w:rsidRPr="00CF2758">
              <w:rPr>
                <w:sz w:val="22"/>
              </w:rPr>
              <w:t>Increase of the national Public Investment Budget</w:t>
            </w:r>
          </w:p>
        </w:tc>
        <w:tc>
          <w:tcPr>
            <w:tcW w:w="960" w:type="dxa"/>
            <w:tcBorders>
              <w:top w:val="single" w:sz="8" w:space="0" w:color="FFFFFF"/>
              <w:left w:val="nil"/>
              <w:bottom w:val="single" w:sz="8" w:space="0" w:color="FFFFFF"/>
              <w:right w:val="nil"/>
            </w:tcBorders>
            <w:shd w:val="clear" w:color="000000" w:fill="D9D9D9"/>
            <w:vAlign w:val="center"/>
            <w:hideMark/>
          </w:tcPr>
          <w:p w14:paraId="252E15FA" w14:textId="77777777" w:rsidR="00CF2758" w:rsidRPr="00CF2758" w:rsidRDefault="00CF2758" w:rsidP="00282B45">
            <w:pPr>
              <w:pStyle w:val="Tabletext"/>
              <w:spacing w:line="250" w:lineRule="exact"/>
              <w:jc w:val="center"/>
              <w:rPr>
                <w:sz w:val="22"/>
              </w:rPr>
            </w:pPr>
            <w:r w:rsidRPr="00CF2758">
              <w:rPr>
                <w:sz w:val="22"/>
              </w:rPr>
              <w:t>-500</w:t>
            </w:r>
          </w:p>
        </w:tc>
        <w:tc>
          <w:tcPr>
            <w:tcW w:w="960" w:type="dxa"/>
            <w:tcBorders>
              <w:top w:val="single" w:sz="8" w:space="0" w:color="FFFFFF"/>
              <w:left w:val="nil"/>
              <w:bottom w:val="single" w:sz="8" w:space="0" w:color="FFFFFF"/>
              <w:right w:val="single" w:sz="8" w:space="0" w:color="948A54" w:themeColor="background2" w:themeShade="80"/>
            </w:tcBorders>
            <w:shd w:val="clear" w:color="000000" w:fill="D9D9D9"/>
            <w:vAlign w:val="center"/>
            <w:hideMark/>
          </w:tcPr>
          <w:p w14:paraId="740DD569" w14:textId="77777777" w:rsidR="00CF2758" w:rsidRPr="00CF2758" w:rsidRDefault="00CF2758" w:rsidP="00282B45">
            <w:pPr>
              <w:pStyle w:val="Tabletext"/>
              <w:spacing w:line="250" w:lineRule="exact"/>
              <w:jc w:val="center"/>
              <w:rPr>
                <w:sz w:val="22"/>
              </w:rPr>
            </w:pPr>
            <w:r w:rsidRPr="00CF2758">
              <w:rPr>
                <w:sz w:val="22"/>
              </w:rPr>
              <w:t>-500</w:t>
            </w:r>
          </w:p>
        </w:tc>
      </w:tr>
      <w:tr w:rsidR="00CF2758" w:rsidRPr="00CF2758" w14:paraId="1A4E92F0" w14:textId="77777777" w:rsidTr="00282B45">
        <w:trPr>
          <w:trHeight w:val="284"/>
          <w:jc w:val="center"/>
        </w:trPr>
        <w:tc>
          <w:tcPr>
            <w:tcW w:w="6936" w:type="dxa"/>
            <w:tcBorders>
              <w:top w:val="single" w:sz="8" w:space="0" w:color="FFFFFF"/>
              <w:left w:val="single" w:sz="8" w:space="0" w:color="948A54" w:themeColor="background2" w:themeShade="80"/>
              <w:bottom w:val="single" w:sz="8" w:space="0" w:color="FFFFFF"/>
              <w:right w:val="nil"/>
            </w:tcBorders>
            <w:shd w:val="clear" w:color="000000" w:fill="F2F2F2"/>
            <w:vAlign w:val="center"/>
            <w:hideMark/>
          </w:tcPr>
          <w:p w14:paraId="74961EDB" w14:textId="77777777" w:rsidR="00CF2758" w:rsidRPr="00CF2758" w:rsidRDefault="00CF2758" w:rsidP="00282B45">
            <w:pPr>
              <w:pStyle w:val="Tabletext"/>
              <w:spacing w:line="250" w:lineRule="exact"/>
              <w:rPr>
                <w:sz w:val="22"/>
              </w:rPr>
            </w:pPr>
            <w:r w:rsidRPr="00CF2758">
              <w:rPr>
                <w:sz w:val="22"/>
              </w:rPr>
              <w:t>Extension beyond 2025 of the annual increase of the pharmaceutical expenditure ceiling by €100 million</w:t>
            </w:r>
          </w:p>
        </w:tc>
        <w:tc>
          <w:tcPr>
            <w:tcW w:w="960" w:type="dxa"/>
            <w:tcBorders>
              <w:top w:val="single" w:sz="8" w:space="0" w:color="FFFFFF"/>
              <w:left w:val="nil"/>
              <w:bottom w:val="single" w:sz="8" w:space="0" w:color="FFFFFF"/>
              <w:right w:val="nil"/>
            </w:tcBorders>
            <w:shd w:val="clear" w:color="000000" w:fill="F2F2F2"/>
            <w:vAlign w:val="center"/>
            <w:hideMark/>
          </w:tcPr>
          <w:p w14:paraId="3E2ABF54" w14:textId="77777777" w:rsidR="00CF2758" w:rsidRPr="00CF2758" w:rsidRDefault="00CF2758" w:rsidP="00282B45">
            <w:pPr>
              <w:pStyle w:val="Tabletext"/>
              <w:spacing w:line="250" w:lineRule="exact"/>
              <w:jc w:val="center"/>
              <w:rPr>
                <w:sz w:val="22"/>
              </w:rPr>
            </w:pPr>
            <w:r w:rsidRPr="00CF2758">
              <w:rPr>
                <w:sz w:val="22"/>
              </w:rPr>
              <w:t>0</w:t>
            </w:r>
          </w:p>
        </w:tc>
        <w:tc>
          <w:tcPr>
            <w:tcW w:w="960" w:type="dxa"/>
            <w:tcBorders>
              <w:top w:val="single" w:sz="8" w:space="0" w:color="FFFFFF"/>
              <w:left w:val="nil"/>
              <w:bottom w:val="single" w:sz="8" w:space="0" w:color="FFFFFF"/>
              <w:right w:val="single" w:sz="8" w:space="0" w:color="948A54" w:themeColor="background2" w:themeShade="80"/>
            </w:tcBorders>
            <w:shd w:val="clear" w:color="000000" w:fill="F2F2F2"/>
            <w:vAlign w:val="center"/>
            <w:hideMark/>
          </w:tcPr>
          <w:p w14:paraId="08FAD874" w14:textId="77777777" w:rsidR="00CF2758" w:rsidRPr="00CF2758" w:rsidRDefault="00CF2758" w:rsidP="00282B45">
            <w:pPr>
              <w:pStyle w:val="Tabletext"/>
              <w:spacing w:line="250" w:lineRule="exact"/>
              <w:jc w:val="center"/>
              <w:rPr>
                <w:sz w:val="22"/>
              </w:rPr>
            </w:pPr>
            <w:r w:rsidRPr="00CF2758">
              <w:rPr>
                <w:sz w:val="22"/>
              </w:rPr>
              <w:t>-100</w:t>
            </w:r>
          </w:p>
        </w:tc>
      </w:tr>
      <w:tr w:rsidR="00CF2758" w:rsidRPr="00CF2758" w14:paraId="5ECC39E3" w14:textId="77777777" w:rsidTr="00282B45">
        <w:trPr>
          <w:trHeight w:val="284"/>
          <w:jc w:val="center"/>
        </w:trPr>
        <w:tc>
          <w:tcPr>
            <w:tcW w:w="6936" w:type="dxa"/>
            <w:tcBorders>
              <w:top w:val="single" w:sz="8" w:space="0" w:color="FFFFFF"/>
              <w:left w:val="single" w:sz="8" w:space="0" w:color="948A54" w:themeColor="background2" w:themeShade="80"/>
              <w:bottom w:val="single" w:sz="8" w:space="0" w:color="FFFFFF"/>
              <w:right w:val="nil"/>
            </w:tcBorders>
            <w:shd w:val="clear" w:color="000000" w:fill="D9D9D9"/>
            <w:vAlign w:val="center"/>
            <w:hideMark/>
          </w:tcPr>
          <w:p w14:paraId="5367CEE3" w14:textId="77777777" w:rsidR="00CF2758" w:rsidRPr="00CF2758" w:rsidRDefault="00CF2758" w:rsidP="00282B45">
            <w:pPr>
              <w:pStyle w:val="Tabletext"/>
              <w:spacing w:line="250" w:lineRule="exact"/>
              <w:rPr>
                <w:sz w:val="22"/>
              </w:rPr>
            </w:pPr>
            <w:r w:rsidRPr="00CF2758">
              <w:rPr>
                <w:sz w:val="22"/>
              </w:rPr>
              <w:t xml:space="preserve">Increase of the healthcare expenditure ceiling for diagnostic centers and private clinics </w:t>
            </w:r>
          </w:p>
        </w:tc>
        <w:tc>
          <w:tcPr>
            <w:tcW w:w="960" w:type="dxa"/>
            <w:tcBorders>
              <w:top w:val="single" w:sz="8" w:space="0" w:color="FFFFFF"/>
              <w:left w:val="nil"/>
              <w:bottom w:val="single" w:sz="8" w:space="0" w:color="FFFFFF"/>
              <w:right w:val="nil"/>
            </w:tcBorders>
            <w:shd w:val="clear" w:color="000000" w:fill="D9D9D9"/>
            <w:vAlign w:val="center"/>
            <w:hideMark/>
          </w:tcPr>
          <w:p w14:paraId="5078C22A" w14:textId="77777777" w:rsidR="00CF2758" w:rsidRPr="00CF2758" w:rsidRDefault="00CF2758" w:rsidP="00282B45">
            <w:pPr>
              <w:pStyle w:val="Tabletext"/>
              <w:spacing w:line="250" w:lineRule="exact"/>
              <w:jc w:val="center"/>
              <w:rPr>
                <w:sz w:val="22"/>
              </w:rPr>
            </w:pPr>
            <w:r w:rsidRPr="00CF2758">
              <w:rPr>
                <w:sz w:val="22"/>
              </w:rPr>
              <w:t>-35</w:t>
            </w:r>
          </w:p>
        </w:tc>
        <w:tc>
          <w:tcPr>
            <w:tcW w:w="960" w:type="dxa"/>
            <w:tcBorders>
              <w:top w:val="single" w:sz="8" w:space="0" w:color="FFFFFF"/>
              <w:left w:val="nil"/>
              <w:bottom w:val="single" w:sz="8" w:space="0" w:color="FFFFFF"/>
              <w:right w:val="single" w:sz="8" w:space="0" w:color="948A54" w:themeColor="background2" w:themeShade="80"/>
            </w:tcBorders>
            <w:shd w:val="clear" w:color="000000" w:fill="D9D9D9"/>
            <w:vAlign w:val="center"/>
            <w:hideMark/>
          </w:tcPr>
          <w:p w14:paraId="43BDAE15" w14:textId="77777777" w:rsidR="00CF2758" w:rsidRPr="00CF2758" w:rsidRDefault="00CF2758" w:rsidP="00282B45">
            <w:pPr>
              <w:pStyle w:val="Tabletext"/>
              <w:spacing w:line="250" w:lineRule="exact"/>
              <w:jc w:val="center"/>
              <w:rPr>
                <w:sz w:val="22"/>
              </w:rPr>
            </w:pPr>
            <w:r w:rsidRPr="00CF2758">
              <w:rPr>
                <w:sz w:val="22"/>
              </w:rPr>
              <w:t>-35</w:t>
            </w:r>
          </w:p>
        </w:tc>
      </w:tr>
      <w:tr w:rsidR="00CF2758" w:rsidRPr="00CF2758" w14:paraId="60A0E070" w14:textId="77777777" w:rsidTr="00282B45">
        <w:trPr>
          <w:trHeight w:val="284"/>
          <w:jc w:val="center"/>
        </w:trPr>
        <w:tc>
          <w:tcPr>
            <w:tcW w:w="6936" w:type="dxa"/>
            <w:tcBorders>
              <w:top w:val="single" w:sz="8" w:space="0" w:color="FFFFFF"/>
              <w:left w:val="single" w:sz="8" w:space="0" w:color="948A54" w:themeColor="background2" w:themeShade="80"/>
              <w:bottom w:val="single" w:sz="8" w:space="0" w:color="FFFFFF"/>
              <w:right w:val="nil"/>
            </w:tcBorders>
            <w:shd w:val="clear" w:color="000000" w:fill="F2F2F2"/>
            <w:vAlign w:val="center"/>
            <w:hideMark/>
          </w:tcPr>
          <w:p w14:paraId="5BD5A6A2" w14:textId="77777777" w:rsidR="00CF2758" w:rsidRPr="00CF2758" w:rsidRDefault="00CF2758" w:rsidP="00282B45">
            <w:pPr>
              <w:pStyle w:val="Tabletext"/>
              <w:spacing w:line="250" w:lineRule="exact"/>
              <w:rPr>
                <w:sz w:val="22"/>
              </w:rPr>
            </w:pPr>
            <w:r w:rsidRPr="00CF2758">
              <w:rPr>
                <w:sz w:val="22"/>
              </w:rPr>
              <w:t xml:space="preserve">Distribution of high-cost medicines through private pharmacies </w:t>
            </w:r>
          </w:p>
        </w:tc>
        <w:tc>
          <w:tcPr>
            <w:tcW w:w="960" w:type="dxa"/>
            <w:tcBorders>
              <w:top w:val="single" w:sz="8" w:space="0" w:color="FFFFFF"/>
              <w:left w:val="nil"/>
              <w:bottom w:val="single" w:sz="8" w:space="0" w:color="FFFFFF"/>
              <w:right w:val="nil"/>
            </w:tcBorders>
            <w:shd w:val="clear" w:color="000000" w:fill="F2F2F2"/>
            <w:vAlign w:val="center"/>
            <w:hideMark/>
          </w:tcPr>
          <w:p w14:paraId="2E6687A5" w14:textId="77777777" w:rsidR="00CF2758" w:rsidRPr="00CF2758" w:rsidRDefault="00CF2758" w:rsidP="00282B45">
            <w:pPr>
              <w:pStyle w:val="Tabletext"/>
              <w:spacing w:line="250" w:lineRule="exact"/>
              <w:jc w:val="center"/>
              <w:rPr>
                <w:sz w:val="22"/>
              </w:rPr>
            </w:pPr>
            <w:r w:rsidRPr="00CF2758">
              <w:rPr>
                <w:sz w:val="22"/>
              </w:rPr>
              <w:t>-12</w:t>
            </w:r>
          </w:p>
        </w:tc>
        <w:tc>
          <w:tcPr>
            <w:tcW w:w="960" w:type="dxa"/>
            <w:tcBorders>
              <w:top w:val="single" w:sz="8" w:space="0" w:color="FFFFFF"/>
              <w:left w:val="nil"/>
              <w:bottom w:val="single" w:sz="8" w:space="0" w:color="FFFFFF"/>
              <w:right w:val="single" w:sz="8" w:space="0" w:color="948A54" w:themeColor="background2" w:themeShade="80"/>
            </w:tcBorders>
            <w:shd w:val="clear" w:color="000000" w:fill="F2F2F2"/>
            <w:vAlign w:val="center"/>
            <w:hideMark/>
          </w:tcPr>
          <w:p w14:paraId="2E6E82E9" w14:textId="77777777" w:rsidR="00CF2758" w:rsidRPr="00CF2758" w:rsidRDefault="00CF2758" w:rsidP="00282B45">
            <w:pPr>
              <w:pStyle w:val="Tabletext"/>
              <w:spacing w:line="250" w:lineRule="exact"/>
              <w:jc w:val="center"/>
              <w:rPr>
                <w:sz w:val="22"/>
              </w:rPr>
            </w:pPr>
            <w:r w:rsidRPr="00CF2758">
              <w:rPr>
                <w:sz w:val="22"/>
              </w:rPr>
              <w:t>-12</w:t>
            </w:r>
          </w:p>
        </w:tc>
      </w:tr>
      <w:tr w:rsidR="00CF2758" w:rsidRPr="00CF2758" w14:paraId="15B69AF8" w14:textId="77777777" w:rsidTr="00282B45">
        <w:trPr>
          <w:trHeight w:val="284"/>
          <w:jc w:val="center"/>
        </w:trPr>
        <w:tc>
          <w:tcPr>
            <w:tcW w:w="6936" w:type="dxa"/>
            <w:tcBorders>
              <w:top w:val="single" w:sz="8" w:space="0" w:color="FFFFFF"/>
              <w:left w:val="single" w:sz="8" w:space="0" w:color="948A54" w:themeColor="background2" w:themeShade="80"/>
              <w:bottom w:val="single" w:sz="8" w:space="0" w:color="FFFFFF"/>
              <w:right w:val="nil"/>
            </w:tcBorders>
            <w:shd w:val="clear" w:color="000000" w:fill="D9D9D9"/>
            <w:vAlign w:val="center"/>
            <w:hideMark/>
          </w:tcPr>
          <w:p w14:paraId="16CF0095" w14:textId="77777777" w:rsidR="00CF2758" w:rsidRPr="00CF2758" w:rsidRDefault="00CF2758" w:rsidP="00282B45">
            <w:pPr>
              <w:pStyle w:val="Tabletext"/>
              <w:spacing w:line="250" w:lineRule="exact"/>
              <w:rPr>
                <w:sz w:val="22"/>
              </w:rPr>
            </w:pPr>
            <w:r w:rsidRPr="00CF2758">
              <w:rPr>
                <w:sz w:val="22"/>
              </w:rPr>
              <w:t xml:space="preserve">Hazardous allowance of €100 per month for uniformed personnel </w:t>
            </w:r>
          </w:p>
        </w:tc>
        <w:tc>
          <w:tcPr>
            <w:tcW w:w="960" w:type="dxa"/>
            <w:tcBorders>
              <w:top w:val="single" w:sz="8" w:space="0" w:color="FFFFFF"/>
              <w:left w:val="nil"/>
              <w:bottom w:val="single" w:sz="8" w:space="0" w:color="FFFFFF"/>
              <w:right w:val="nil"/>
            </w:tcBorders>
            <w:shd w:val="clear" w:color="000000" w:fill="D9D9D9"/>
            <w:vAlign w:val="center"/>
            <w:hideMark/>
          </w:tcPr>
          <w:p w14:paraId="1E560A14" w14:textId="77777777" w:rsidR="00CF2758" w:rsidRPr="00CF2758" w:rsidRDefault="00CF2758" w:rsidP="00282B45">
            <w:pPr>
              <w:pStyle w:val="Tabletext"/>
              <w:spacing w:line="250" w:lineRule="exact"/>
              <w:jc w:val="center"/>
              <w:rPr>
                <w:sz w:val="22"/>
              </w:rPr>
            </w:pPr>
            <w:r w:rsidRPr="00CF2758">
              <w:rPr>
                <w:sz w:val="22"/>
              </w:rPr>
              <w:t>-111</w:t>
            </w:r>
          </w:p>
        </w:tc>
        <w:tc>
          <w:tcPr>
            <w:tcW w:w="960" w:type="dxa"/>
            <w:tcBorders>
              <w:top w:val="single" w:sz="8" w:space="0" w:color="FFFFFF"/>
              <w:left w:val="nil"/>
              <w:bottom w:val="single" w:sz="8" w:space="0" w:color="FFFFFF"/>
              <w:right w:val="single" w:sz="8" w:space="0" w:color="948A54" w:themeColor="background2" w:themeShade="80"/>
            </w:tcBorders>
            <w:shd w:val="clear" w:color="000000" w:fill="D9D9D9"/>
            <w:vAlign w:val="center"/>
            <w:hideMark/>
          </w:tcPr>
          <w:p w14:paraId="65CD72B6" w14:textId="77777777" w:rsidR="00CF2758" w:rsidRPr="00CF2758" w:rsidRDefault="00CF2758" w:rsidP="00282B45">
            <w:pPr>
              <w:pStyle w:val="Tabletext"/>
              <w:spacing w:line="250" w:lineRule="exact"/>
              <w:jc w:val="center"/>
              <w:rPr>
                <w:sz w:val="22"/>
              </w:rPr>
            </w:pPr>
            <w:r w:rsidRPr="00CF2758">
              <w:rPr>
                <w:sz w:val="22"/>
              </w:rPr>
              <w:t>-222</w:t>
            </w:r>
          </w:p>
        </w:tc>
      </w:tr>
      <w:tr w:rsidR="00CF2758" w:rsidRPr="00CF2758" w14:paraId="5D9B7B7A" w14:textId="77777777" w:rsidTr="00282B45">
        <w:trPr>
          <w:trHeight w:val="284"/>
          <w:jc w:val="center"/>
        </w:trPr>
        <w:tc>
          <w:tcPr>
            <w:tcW w:w="6936" w:type="dxa"/>
            <w:tcBorders>
              <w:top w:val="single" w:sz="8" w:space="0" w:color="FFFFFF"/>
              <w:left w:val="single" w:sz="8" w:space="0" w:color="948A54" w:themeColor="background2" w:themeShade="80"/>
              <w:bottom w:val="single" w:sz="8" w:space="0" w:color="FFFFFF"/>
              <w:right w:val="nil"/>
            </w:tcBorders>
            <w:shd w:val="clear" w:color="000000" w:fill="F2F2F2"/>
            <w:vAlign w:val="center"/>
            <w:hideMark/>
          </w:tcPr>
          <w:p w14:paraId="1963D052" w14:textId="77777777" w:rsidR="00CF2758" w:rsidRPr="00CF2758" w:rsidRDefault="00CF2758" w:rsidP="00282B45">
            <w:pPr>
              <w:pStyle w:val="Tabletext"/>
              <w:spacing w:line="250" w:lineRule="exact"/>
              <w:rPr>
                <w:sz w:val="22"/>
              </w:rPr>
            </w:pPr>
            <w:r w:rsidRPr="00CF2758">
              <w:rPr>
                <w:sz w:val="22"/>
              </w:rPr>
              <w:t xml:space="preserve">Extension of the exemption from pharmaceutical expenditure to low-income pensioners </w:t>
            </w:r>
          </w:p>
        </w:tc>
        <w:tc>
          <w:tcPr>
            <w:tcW w:w="960" w:type="dxa"/>
            <w:tcBorders>
              <w:top w:val="single" w:sz="8" w:space="0" w:color="FFFFFF"/>
              <w:left w:val="nil"/>
              <w:bottom w:val="single" w:sz="8" w:space="0" w:color="FFFFFF"/>
              <w:right w:val="nil"/>
            </w:tcBorders>
            <w:shd w:val="clear" w:color="000000" w:fill="F2F2F2"/>
            <w:vAlign w:val="center"/>
            <w:hideMark/>
          </w:tcPr>
          <w:p w14:paraId="253BA46B" w14:textId="77777777" w:rsidR="00CF2758" w:rsidRPr="00CF2758" w:rsidRDefault="00CF2758" w:rsidP="00282B45">
            <w:pPr>
              <w:pStyle w:val="Tabletext"/>
              <w:spacing w:line="250" w:lineRule="exact"/>
              <w:jc w:val="center"/>
              <w:rPr>
                <w:sz w:val="22"/>
              </w:rPr>
            </w:pPr>
            <w:r w:rsidRPr="00CF2758">
              <w:rPr>
                <w:sz w:val="22"/>
              </w:rPr>
              <w:t>-23</w:t>
            </w:r>
          </w:p>
        </w:tc>
        <w:tc>
          <w:tcPr>
            <w:tcW w:w="960" w:type="dxa"/>
            <w:tcBorders>
              <w:top w:val="single" w:sz="8" w:space="0" w:color="FFFFFF"/>
              <w:left w:val="nil"/>
              <w:bottom w:val="single" w:sz="8" w:space="0" w:color="FFFFFF"/>
              <w:right w:val="single" w:sz="8" w:space="0" w:color="948A54" w:themeColor="background2" w:themeShade="80"/>
            </w:tcBorders>
            <w:shd w:val="clear" w:color="000000" w:fill="F2F2F2"/>
            <w:vAlign w:val="center"/>
            <w:hideMark/>
          </w:tcPr>
          <w:p w14:paraId="7C1F7369" w14:textId="77777777" w:rsidR="00CF2758" w:rsidRPr="00CF2758" w:rsidRDefault="00CF2758" w:rsidP="00282B45">
            <w:pPr>
              <w:pStyle w:val="Tabletext"/>
              <w:spacing w:line="250" w:lineRule="exact"/>
              <w:jc w:val="center"/>
              <w:rPr>
                <w:sz w:val="22"/>
              </w:rPr>
            </w:pPr>
            <w:r w:rsidRPr="00CF2758">
              <w:rPr>
                <w:sz w:val="22"/>
              </w:rPr>
              <w:t>-23</w:t>
            </w:r>
          </w:p>
        </w:tc>
      </w:tr>
      <w:tr w:rsidR="00CF2758" w:rsidRPr="00CF2758" w14:paraId="5C63A404" w14:textId="77777777" w:rsidTr="00282B45">
        <w:trPr>
          <w:trHeight w:val="284"/>
          <w:jc w:val="center"/>
        </w:trPr>
        <w:tc>
          <w:tcPr>
            <w:tcW w:w="6936" w:type="dxa"/>
            <w:tcBorders>
              <w:top w:val="single" w:sz="8" w:space="0" w:color="FFFFFF"/>
              <w:left w:val="single" w:sz="8" w:space="0" w:color="948A54" w:themeColor="background2" w:themeShade="80"/>
              <w:bottom w:val="single" w:sz="8" w:space="0" w:color="FFFFFF"/>
              <w:right w:val="nil"/>
            </w:tcBorders>
            <w:shd w:val="clear" w:color="000000" w:fill="D9D9D9"/>
            <w:vAlign w:val="center"/>
            <w:hideMark/>
          </w:tcPr>
          <w:p w14:paraId="30DCECBC" w14:textId="77777777" w:rsidR="00CF2758" w:rsidRPr="00CF2758" w:rsidRDefault="00CF2758" w:rsidP="00282B45">
            <w:pPr>
              <w:pStyle w:val="Tabletext"/>
              <w:spacing w:line="250" w:lineRule="exact"/>
              <w:rPr>
                <w:sz w:val="22"/>
              </w:rPr>
            </w:pPr>
            <w:r w:rsidRPr="00CF2758">
              <w:rPr>
                <w:sz w:val="22"/>
              </w:rPr>
              <w:t>Non-offsetting of the "personal difference" for public sector employees</w:t>
            </w:r>
          </w:p>
        </w:tc>
        <w:tc>
          <w:tcPr>
            <w:tcW w:w="960" w:type="dxa"/>
            <w:tcBorders>
              <w:top w:val="single" w:sz="8" w:space="0" w:color="FFFFFF"/>
              <w:left w:val="nil"/>
              <w:bottom w:val="single" w:sz="8" w:space="0" w:color="FFFFFF"/>
              <w:right w:val="nil"/>
            </w:tcBorders>
            <w:shd w:val="clear" w:color="000000" w:fill="D9D9D9"/>
            <w:vAlign w:val="center"/>
            <w:hideMark/>
          </w:tcPr>
          <w:p w14:paraId="2672B3FA" w14:textId="77777777" w:rsidR="00CF2758" w:rsidRPr="00CF2758" w:rsidRDefault="00CF2758" w:rsidP="00282B45">
            <w:pPr>
              <w:pStyle w:val="Tabletext"/>
              <w:spacing w:line="250" w:lineRule="exact"/>
              <w:jc w:val="center"/>
              <w:rPr>
                <w:sz w:val="22"/>
              </w:rPr>
            </w:pPr>
            <w:r w:rsidRPr="00CF2758">
              <w:rPr>
                <w:sz w:val="22"/>
              </w:rPr>
              <w:t>-12</w:t>
            </w:r>
          </w:p>
        </w:tc>
        <w:tc>
          <w:tcPr>
            <w:tcW w:w="960" w:type="dxa"/>
            <w:tcBorders>
              <w:top w:val="single" w:sz="8" w:space="0" w:color="FFFFFF"/>
              <w:left w:val="nil"/>
              <w:bottom w:val="single" w:sz="8" w:space="0" w:color="FFFFFF"/>
              <w:right w:val="single" w:sz="8" w:space="0" w:color="948A54" w:themeColor="background2" w:themeShade="80"/>
            </w:tcBorders>
            <w:shd w:val="clear" w:color="000000" w:fill="D9D9D9"/>
            <w:vAlign w:val="center"/>
            <w:hideMark/>
          </w:tcPr>
          <w:p w14:paraId="196F42D5" w14:textId="77777777" w:rsidR="00CF2758" w:rsidRPr="00CF2758" w:rsidRDefault="00CF2758" w:rsidP="00282B45">
            <w:pPr>
              <w:pStyle w:val="Tabletext"/>
              <w:spacing w:line="250" w:lineRule="exact"/>
              <w:jc w:val="center"/>
              <w:rPr>
                <w:sz w:val="22"/>
              </w:rPr>
            </w:pPr>
            <w:r w:rsidRPr="00CF2758">
              <w:rPr>
                <w:sz w:val="22"/>
              </w:rPr>
              <w:t>-17</w:t>
            </w:r>
          </w:p>
        </w:tc>
      </w:tr>
      <w:tr w:rsidR="00CF2758" w:rsidRPr="00CF2758" w14:paraId="0CA75037" w14:textId="77777777" w:rsidTr="00282B45">
        <w:trPr>
          <w:trHeight w:val="284"/>
          <w:jc w:val="center"/>
        </w:trPr>
        <w:tc>
          <w:tcPr>
            <w:tcW w:w="6936" w:type="dxa"/>
            <w:tcBorders>
              <w:top w:val="single" w:sz="8" w:space="0" w:color="FFFFFF"/>
              <w:left w:val="single" w:sz="8" w:space="0" w:color="948A54" w:themeColor="background2" w:themeShade="80"/>
              <w:bottom w:val="single" w:sz="8" w:space="0" w:color="FFFFFF"/>
              <w:right w:val="nil"/>
            </w:tcBorders>
            <w:shd w:val="clear" w:color="000000" w:fill="F2F2F2"/>
            <w:vAlign w:val="center"/>
            <w:hideMark/>
          </w:tcPr>
          <w:p w14:paraId="759827F5" w14:textId="77777777" w:rsidR="00CF2758" w:rsidRPr="00CF2758" w:rsidRDefault="00CF2758" w:rsidP="00282B45">
            <w:pPr>
              <w:pStyle w:val="Tabletext"/>
              <w:spacing w:line="250" w:lineRule="exact"/>
              <w:rPr>
                <w:sz w:val="22"/>
              </w:rPr>
            </w:pPr>
            <w:r w:rsidRPr="00CF2758">
              <w:rPr>
                <w:sz w:val="22"/>
              </w:rPr>
              <w:t xml:space="preserve">Abolition of age restrictions for the granting of the deafness - severe hearing loss allowance </w:t>
            </w:r>
          </w:p>
        </w:tc>
        <w:tc>
          <w:tcPr>
            <w:tcW w:w="960" w:type="dxa"/>
            <w:tcBorders>
              <w:top w:val="single" w:sz="8" w:space="0" w:color="FFFFFF"/>
              <w:left w:val="nil"/>
              <w:bottom w:val="single" w:sz="8" w:space="0" w:color="FFFFFF"/>
              <w:right w:val="nil"/>
            </w:tcBorders>
            <w:shd w:val="clear" w:color="000000" w:fill="F2F2F2"/>
            <w:vAlign w:val="center"/>
            <w:hideMark/>
          </w:tcPr>
          <w:p w14:paraId="6941E188" w14:textId="77777777" w:rsidR="00CF2758" w:rsidRPr="00CF2758" w:rsidRDefault="00CF2758" w:rsidP="00282B45">
            <w:pPr>
              <w:pStyle w:val="Tabletext"/>
              <w:spacing w:line="250" w:lineRule="exact"/>
              <w:jc w:val="center"/>
              <w:rPr>
                <w:sz w:val="22"/>
              </w:rPr>
            </w:pPr>
            <w:r w:rsidRPr="00CF2758">
              <w:rPr>
                <w:sz w:val="22"/>
              </w:rPr>
              <w:t>-4</w:t>
            </w:r>
          </w:p>
        </w:tc>
        <w:tc>
          <w:tcPr>
            <w:tcW w:w="960" w:type="dxa"/>
            <w:tcBorders>
              <w:top w:val="single" w:sz="8" w:space="0" w:color="FFFFFF"/>
              <w:left w:val="nil"/>
              <w:bottom w:val="single" w:sz="8" w:space="0" w:color="FFFFFF"/>
              <w:right w:val="single" w:sz="8" w:space="0" w:color="948A54" w:themeColor="background2" w:themeShade="80"/>
            </w:tcBorders>
            <w:shd w:val="clear" w:color="000000" w:fill="F2F2F2"/>
            <w:vAlign w:val="center"/>
            <w:hideMark/>
          </w:tcPr>
          <w:p w14:paraId="1F75FE3E" w14:textId="77777777" w:rsidR="00CF2758" w:rsidRPr="00CF2758" w:rsidRDefault="00CF2758" w:rsidP="00282B45">
            <w:pPr>
              <w:pStyle w:val="Tabletext"/>
              <w:spacing w:line="250" w:lineRule="exact"/>
              <w:jc w:val="center"/>
              <w:rPr>
                <w:sz w:val="22"/>
              </w:rPr>
            </w:pPr>
            <w:r w:rsidRPr="00CF2758">
              <w:rPr>
                <w:sz w:val="22"/>
              </w:rPr>
              <w:t>-4</w:t>
            </w:r>
          </w:p>
        </w:tc>
      </w:tr>
      <w:tr w:rsidR="00CF2758" w:rsidRPr="00CF2758" w14:paraId="79A7F3D7" w14:textId="77777777" w:rsidTr="00282B45">
        <w:trPr>
          <w:trHeight w:val="284"/>
          <w:jc w:val="center"/>
        </w:trPr>
        <w:tc>
          <w:tcPr>
            <w:tcW w:w="6936" w:type="dxa"/>
            <w:tcBorders>
              <w:top w:val="single" w:sz="8" w:space="0" w:color="FFFFFF"/>
              <w:left w:val="single" w:sz="8" w:space="0" w:color="948A54" w:themeColor="background2" w:themeShade="80"/>
              <w:bottom w:val="single" w:sz="8" w:space="0" w:color="FFFFFF"/>
              <w:right w:val="nil"/>
            </w:tcBorders>
            <w:shd w:val="clear" w:color="000000" w:fill="D9D9D9"/>
            <w:vAlign w:val="center"/>
            <w:hideMark/>
          </w:tcPr>
          <w:p w14:paraId="09BD1098" w14:textId="77777777" w:rsidR="00CF2758" w:rsidRPr="00CF2758" w:rsidRDefault="00CF2758" w:rsidP="00282B45">
            <w:pPr>
              <w:pStyle w:val="Tabletext"/>
              <w:spacing w:line="250" w:lineRule="exact"/>
              <w:rPr>
                <w:sz w:val="22"/>
              </w:rPr>
            </w:pPr>
            <w:r w:rsidRPr="00CF2758">
              <w:rPr>
                <w:sz w:val="22"/>
              </w:rPr>
              <w:t xml:space="preserve">Extension of the income tax reduction for building upgrade expenses for the years 2025 and 2026 </w:t>
            </w:r>
          </w:p>
        </w:tc>
        <w:tc>
          <w:tcPr>
            <w:tcW w:w="960" w:type="dxa"/>
            <w:tcBorders>
              <w:top w:val="single" w:sz="8" w:space="0" w:color="FFFFFF"/>
              <w:left w:val="nil"/>
              <w:bottom w:val="single" w:sz="8" w:space="0" w:color="FFFFFF"/>
              <w:right w:val="nil"/>
            </w:tcBorders>
            <w:shd w:val="clear" w:color="000000" w:fill="D9D9D9"/>
            <w:vAlign w:val="center"/>
            <w:hideMark/>
          </w:tcPr>
          <w:p w14:paraId="35325D0E" w14:textId="77777777" w:rsidR="00CF2758" w:rsidRPr="00CF2758" w:rsidRDefault="00CF2758" w:rsidP="00282B45">
            <w:pPr>
              <w:pStyle w:val="Tabletext"/>
              <w:spacing w:line="250" w:lineRule="exact"/>
              <w:jc w:val="center"/>
              <w:rPr>
                <w:sz w:val="22"/>
              </w:rPr>
            </w:pPr>
            <w:r w:rsidRPr="00CF2758">
              <w:rPr>
                <w:sz w:val="22"/>
              </w:rPr>
              <w:t>-5</w:t>
            </w:r>
          </w:p>
        </w:tc>
        <w:tc>
          <w:tcPr>
            <w:tcW w:w="960" w:type="dxa"/>
            <w:tcBorders>
              <w:top w:val="single" w:sz="8" w:space="0" w:color="FFFFFF"/>
              <w:left w:val="nil"/>
              <w:bottom w:val="single" w:sz="8" w:space="0" w:color="FFFFFF"/>
              <w:right w:val="single" w:sz="8" w:space="0" w:color="948A54" w:themeColor="background2" w:themeShade="80"/>
            </w:tcBorders>
            <w:shd w:val="clear" w:color="000000" w:fill="D9D9D9"/>
            <w:vAlign w:val="center"/>
            <w:hideMark/>
          </w:tcPr>
          <w:p w14:paraId="6828A0A6" w14:textId="77777777" w:rsidR="00CF2758" w:rsidRPr="00CF2758" w:rsidRDefault="00CF2758" w:rsidP="00282B45">
            <w:pPr>
              <w:pStyle w:val="Tabletext"/>
              <w:spacing w:line="250" w:lineRule="exact"/>
              <w:jc w:val="center"/>
              <w:rPr>
                <w:sz w:val="22"/>
              </w:rPr>
            </w:pPr>
            <w:r w:rsidRPr="00CF2758">
              <w:rPr>
                <w:sz w:val="22"/>
              </w:rPr>
              <w:t>-5</w:t>
            </w:r>
          </w:p>
        </w:tc>
      </w:tr>
      <w:tr w:rsidR="00CF2758" w:rsidRPr="00CF2758" w14:paraId="1A09435D" w14:textId="77777777" w:rsidTr="00282B45">
        <w:trPr>
          <w:trHeight w:val="284"/>
          <w:jc w:val="center"/>
        </w:trPr>
        <w:tc>
          <w:tcPr>
            <w:tcW w:w="6936" w:type="dxa"/>
            <w:tcBorders>
              <w:top w:val="single" w:sz="8" w:space="0" w:color="FFFFFF"/>
              <w:left w:val="single" w:sz="8" w:space="0" w:color="948A54" w:themeColor="background2" w:themeShade="80"/>
              <w:bottom w:val="single" w:sz="8" w:space="0" w:color="FFFFFF"/>
              <w:right w:val="nil"/>
            </w:tcBorders>
            <w:shd w:val="clear" w:color="000000" w:fill="F2F2F2"/>
            <w:vAlign w:val="center"/>
            <w:hideMark/>
          </w:tcPr>
          <w:p w14:paraId="3B4282C1" w14:textId="77777777" w:rsidR="00CF2758" w:rsidRPr="00CF2758" w:rsidRDefault="00CF2758" w:rsidP="00282B45">
            <w:pPr>
              <w:pStyle w:val="Tabletext"/>
              <w:spacing w:line="250" w:lineRule="exact"/>
              <w:rPr>
                <w:sz w:val="22"/>
              </w:rPr>
            </w:pPr>
            <w:r w:rsidRPr="00CF2758">
              <w:rPr>
                <w:sz w:val="22"/>
              </w:rPr>
              <w:t xml:space="preserve">Horizontal increase of the public sector wages so as to maintain the basic salary equal to the minimum wage </w:t>
            </w:r>
          </w:p>
        </w:tc>
        <w:tc>
          <w:tcPr>
            <w:tcW w:w="960" w:type="dxa"/>
            <w:tcBorders>
              <w:top w:val="single" w:sz="8" w:space="0" w:color="FFFFFF"/>
              <w:left w:val="nil"/>
              <w:bottom w:val="single" w:sz="8" w:space="0" w:color="FFFFFF"/>
              <w:right w:val="nil"/>
            </w:tcBorders>
            <w:shd w:val="clear" w:color="000000" w:fill="F2F2F2"/>
            <w:vAlign w:val="center"/>
            <w:hideMark/>
          </w:tcPr>
          <w:p w14:paraId="019F0580" w14:textId="77777777" w:rsidR="00CF2758" w:rsidRPr="00CF2758" w:rsidRDefault="00CF2758" w:rsidP="00282B45">
            <w:pPr>
              <w:pStyle w:val="Tabletext"/>
              <w:spacing w:line="250" w:lineRule="exact"/>
              <w:jc w:val="center"/>
              <w:rPr>
                <w:sz w:val="22"/>
              </w:rPr>
            </w:pPr>
            <w:r w:rsidRPr="00CF2758">
              <w:rPr>
                <w:sz w:val="22"/>
              </w:rPr>
              <w:t>-215</w:t>
            </w:r>
          </w:p>
        </w:tc>
        <w:tc>
          <w:tcPr>
            <w:tcW w:w="960" w:type="dxa"/>
            <w:tcBorders>
              <w:top w:val="single" w:sz="8" w:space="0" w:color="FFFFFF"/>
              <w:left w:val="nil"/>
              <w:bottom w:val="single" w:sz="8" w:space="0" w:color="FFFFFF"/>
              <w:right w:val="single" w:sz="8" w:space="0" w:color="948A54" w:themeColor="background2" w:themeShade="80"/>
            </w:tcBorders>
            <w:shd w:val="clear" w:color="000000" w:fill="F2F2F2"/>
            <w:vAlign w:val="center"/>
            <w:hideMark/>
          </w:tcPr>
          <w:p w14:paraId="4CA2BBBE" w14:textId="77777777" w:rsidR="00CF2758" w:rsidRPr="00CF2758" w:rsidRDefault="00CF2758" w:rsidP="00282B45">
            <w:pPr>
              <w:pStyle w:val="Tabletext"/>
              <w:spacing w:line="250" w:lineRule="exact"/>
              <w:jc w:val="center"/>
              <w:rPr>
                <w:sz w:val="22"/>
              </w:rPr>
            </w:pPr>
            <w:r w:rsidRPr="00CF2758">
              <w:rPr>
                <w:sz w:val="22"/>
              </w:rPr>
              <w:t>-572</w:t>
            </w:r>
          </w:p>
        </w:tc>
      </w:tr>
      <w:tr w:rsidR="00CF2758" w:rsidRPr="00CF2758" w14:paraId="7AB58144" w14:textId="77777777" w:rsidTr="00282B45">
        <w:trPr>
          <w:trHeight w:val="284"/>
          <w:jc w:val="center"/>
        </w:trPr>
        <w:tc>
          <w:tcPr>
            <w:tcW w:w="6936" w:type="dxa"/>
            <w:tcBorders>
              <w:top w:val="single" w:sz="8" w:space="0" w:color="FFFFFF"/>
              <w:left w:val="single" w:sz="8" w:space="0" w:color="948A54" w:themeColor="background2" w:themeShade="80"/>
              <w:bottom w:val="single" w:sz="8" w:space="0" w:color="FFFFFF"/>
              <w:right w:val="nil"/>
            </w:tcBorders>
            <w:shd w:val="clear" w:color="000000" w:fill="D9D9D9"/>
            <w:vAlign w:val="center"/>
            <w:hideMark/>
          </w:tcPr>
          <w:p w14:paraId="706A15D5" w14:textId="77777777" w:rsidR="00CF2758" w:rsidRPr="00CF2758" w:rsidRDefault="00CF2758" w:rsidP="00282B45">
            <w:pPr>
              <w:pStyle w:val="Tabletext"/>
              <w:spacing w:line="250" w:lineRule="exact"/>
              <w:rPr>
                <w:sz w:val="22"/>
              </w:rPr>
            </w:pPr>
            <w:r w:rsidRPr="00CF2758">
              <w:rPr>
                <w:sz w:val="22"/>
              </w:rPr>
              <w:t xml:space="preserve">Increase of pensions based on GDP growth and inflation </w:t>
            </w:r>
          </w:p>
        </w:tc>
        <w:tc>
          <w:tcPr>
            <w:tcW w:w="960" w:type="dxa"/>
            <w:tcBorders>
              <w:top w:val="single" w:sz="8" w:space="0" w:color="FFFFFF"/>
              <w:left w:val="nil"/>
              <w:bottom w:val="single" w:sz="8" w:space="0" w:color="FFFFFF"/>
              <w:right w:val="nil"/>
            </w:tcBorders>
            <w:shd w:val="clear" w:color="000000" w:fill="D9D9D9"/>
            <w:vAlign w:val="center"/>
            <w:hideMark/>
          </w:tcPr>
          <w:p w14:paraId="30D47E6C" w14:textId="77777777" w:rsidR="00CF2758" w:rsidRPr="00CF2758" w:rsidRDefault="00CF2758" w:rsidP="00282B45">
            <w:pPr>
              <w:pStyle w:val="Tabletext"/>
              <w:spacing w:line="250" w:lineRule="exact"/>
              <w:jc w:val="center"/>
              <w:rPr>
                <w:sz w:val="22"/>
              </w:rPr>
            </w:pPr>
            <w:r w:rsidRPr="00CF2758">
              <w:rPr>
                <w:sz w:val="22"/>
              </w:rPr>
              <w:t>-448</w:t>
            </w:r>
          </w:p>
        </w:tc>
        <w:tc>
          <w:tcPr>
            <w:tcW w:w="960" w:type="dxa"/>
            <w:tcBorders>
              <w:top w:val="single" w:sz="8" w:space="0" w:color="FFFFFF"/>
              <w:left w:val="nil"/>
              <w:bottom w:val="single" w:sz="8" w:space="0" w:color="FFFFFF"/>
              <w:right w:val="single" w:sz="8" w:space="0" w:color="948A54" w:themeColor="background2" w:themeShade="80"/>
            </w:tcBorders>
            <w:shd w:val="clear" w:color="000000" w:fill="D9D9D9"/>
            <w:vAlign w:val="center"/>
            <w:hideMark/>
          </w:tcPr>
          <w:p w14:paraId="6302BA64" w14:textId="0E102381" w:rsidR="00CF2758" w:rsidRPr="00CF2758" w:rsidRDefault="00CF2758" w:rsidP="00282B45">
            <w:pPr>
              <w:pStyle w:val="Tabletext"/>
              <w:spacing w:line="250" w:lineRule="exact"/>
              <w:jc w:val="center"/>
              <w:rPr>
                <w:sz w:val="22"/>
              </w:rPr>
            </w:pPr>
            <w:r w:rsidRPr="00CF2758">
              <w:rPr>
                <w:sz w:val="22"/>
              </w:rPr>
              <w:t>-</w:t>
            </w:r>
            <w:r w:rsidR="00DA1854">
              <w:rPr>
                <w:sz w:val="22"/>
              </w:rPr>
              <w:t>1</w:t>
            </w:r>
            <w:r w:rsidR="00534CA8">
              <w:rPr>
                <w:sz w:val="22"/>
              </w:rPr>
              <w:t>,</w:t>
            </w:r>
            <w:r w:rsidR="00DA1854">
              <w:rPr>
                <w:sz w:val="22"/>
              </w:rPr>
              <w:t>013</w:t>
            </w:r>
          </w:p>
        </w:tc>
      </w:tr>
      <w:tr w:rsidR="00CF2758" w:rsidRPr="00CF2758" w14:paraId="08F7E550" w14:textId="77777777" w:rsidTr="00282B45">
        <w:trPr>
          <w:trHeight w:val="284"/>
          <w:jc w:val="center"/>
        </w:trPr>
        <w:tc>
          <w:tcPr>
            <w:tcW w:w="6936" w:type="dxa"/>
            <w:tcBorders>
              <w:top w:val="single" w:sz="8" w:space="0" w:color="FFFFFF"/>
              <w:left w:val="single" w:sz="8" w:space="0" w:color="948A54" w:themeColor="background2" w:themeShade="80"/>
              <w:bottom w:val="single" w:sz="8" w:space="0" w:color="FFFFFF"/>
              <w:right w:val="nil"/>
            </w:tcBorders>
            <w:shd w:val="clear" w:color="000000" w:fill="F2F2F2"/>
            <w:vAlign w:val="center"/>
            <w:hideMark/>
          </w:tcPr>
          <w:p w14:paraId="202CFFF9" w14:textId="77777777" w:rsidR="00CF2758" w:rsidRPr="00CF2758" w:rsidRDefault="00CF2758" w:rsidP="00282B45">
            <w:pPr>
              <w:pStyle w:val="Tabletext"/>
              <w:spacing w:line="250" w:lineRule="exact"/>
              <w:rPr>
                <w:sz w:val="22"/>
              </w:rPr>
            </w:pPr>
            <w:r w:rsidRPr="00CF2758">
              <w:rPr>
                <w:sz w:val="22"/>
              </w:rPr>
              <w:t xml:space="preserve">Reduction of social security contributions by one pp from January 2025 </w:t>
            </w:r>
          </w:p>
        </w:tc>
        <w:tc>
          <w:tcPr>
            <w:tcW w:w="960" w:type="dxa"/>
            <w:tcBorders>
              <w:top w:val="single" w:sz="8" w:space="0" w:color="FFFFFF"/>
              <w:left w:val="nil"/>
              <w:bottom w:val="single" w:sz="8" w:space="0" w:color="FFFFFF"/>
              <w:right w:val="nil"/>
            </w:tcBorders>
            <w:shd w:val="clear" w:color="000000" w:fill="F2F2F2"/>
            <w:vAlign w:val="center"/>
            <w:hideMark/>
          </w:tcPr>
          <w:p w14:paraId="7964A714" w14:textId="77777777" w:rsidR="00CF2758" w:rsidRPr="00CF2758" w:rsidRDefault="00CF2758" w:rsidP="00282B45">
            <w:pPr>
              <w:pStyle w:val="Tabletext"/>
              <w:spacing w:line="250" w:lineRule="exact"/>
              <w:jc w:val="center"/>
              <w:rPr>
                <w:sz w:val="22"/>
              </w:rPr>
            </w:pPr>
            <w:r w:rsidRPr="00CF2758">
              <w:rPr>
                <w:sz w:val="22"/>
              </w:rPr>
              <w:t>-461</w:t>
            </w:r>
          </w:p>
        </w:tc>
        <w:tc>
          <w:tcPr>
            <w:tcW w:w="960" w:type="dxa"/>
            <w:tcBorders>
              <w:top w:val="single" w:sz="8" w:space="0" w:color="FFFFFF"/>
              <w:left w:val="nil"/>
              <w:bottom w:val="single" w:sz="8" w:space="0" w:color="FFFFFF"/>
              <w:right w:val="single" w:sz="8" w:space="0" w:color="948A54" w:themeColor="background2" w:themeShade="80"/>
            </w:tcBorders>
            <w:shd w:val="clear" w:color="000000" w:fill="F2F2F2"/>
            <w:vAlign w:val="center"/>
            <w:hideMark/>
          </w:tcPr>
          <w:p w14:paraId="256AB03D" w14:textId="77777777" w:rsidR="00CF2758" w:rsidRPr="00CF2758" w:rsidRDefault="00CF2758" w:rsidP="00282B45">
            <w:pPr>
              <w:pStyle w:val="Tabletext"/>
              <w:spacing w:line="250" w:lineRule="exact"/>
              <w:jc w:val="center"/>
              <w:rPr>
                <w:sz w:val="22"/>
              </w:rPr>
            </w:pPr>
            <w:r w:rsidRPr="00CF2758">
              <w:rPr>
                <w:sz w:val="22"/>
              </w:rPr>
              <w:t>-461</w:t>
            </w:r>
          </w:p>
        </w:tc>
      </w:tr>
      <w:tr w:rsidR="00CF2758" w:rsidRPr="00CF2758" w14:paraId="729E05E4" w14:textId="77777777" w:rsidTr="00282B45">
        <w:trPr>
          <w:trHeight w:val="284"/>
          <w:jc w:val="center"/>
        </w:trPr>
        <w:tc>
          <w:tcPr>
            <w:tcW w:w="6936" w:type="dxa"/>
            <w:tcBorders>
              <w:top w:val="single" w:sz="8" w:space="0" w:color="FFFFFF"/>
              <w:left w:val="single" w:sz="8" w:space="0" w:color="948A54" w:themeColor="background2" w:themeShade="80"/>
              <w:bottom w:val="single" w:sz="8" w:space="0" w:color="FFFFFF"/>
              <w:right w:val="nil"/>
            </w:tcBorders>
            <w:shd w:val="clear" w:color="000000" w:fill="D9D9D9"/>
            <w:vAlign w:val="center"/>
            <w:hideMark/>
          </w:tcPr>
          <w:p w14:paraId="2924D6AD" w14:textId="77777777" w:rsidR="00CF2758" w:rsidRPr="00CF2758" w:rsidRDefault="00CF2758" w:rsidP="00282B45">
            <w:pPr>
              <w:pStyle w:val="Tabletext"/>
              <w:spacing w:line="250" w:lineRule="exact"/>
              <w:rPr>
                <w:sz w:val="22"/>
              </w:rPr>
            </w:pPr>
            <w:r w:rsidRPr="00CF2758">
              <w:rPr>
                <w:sz w:val="22"/>
              </w:rPr>
              <w:t xml:space="preserve">Abolition of the overhead tax for self-employed from 2025, following the 50% reduction in 2024 </w:t>
            </w:r>
          </w:p>
        </w:tc>
        <w:tc>
          <w:tcPr>
            <w:tcW w:w="960" w:type="dxa"/>
            <w:tcBorders>
              <w:top w:val="single" w:sz="8" w:space="0" w:color="FFFFFF"/>
              <w:left w:val="nil"/>
              <w:bottom w:val="single" w:sz="8" w:space="0" w:color="FFFFFF"/>
              <w:right w:val="nil"/>
            </w:tcBorders>
            <w:shd w:val="clear" w:color="000000" w:fill="D9D9D9"/>
            <w:vAlign w:val="center"/>
            <w:hideMark/>
          </w:tcPr>
          <w:p w14:paraId="054C6F90" w14:textId="77777777" w:rsidR="00CF2758" w:rsidRPr="00CF2758" w:rsidRDefault="00CF2758" w:rsidP="00282B45">
            <w:pPr>
              <w:pStyle w:val="Tabletext"/>
              <w:spacing w:line="250" w:lineRule="exact"/>
              <w:jc w:val="center"/>
              <w:rPr>
                <w:sz w:val="22"/>
              </w:rPr>
            </w:pPr>
            <w:r w:rsidRPr="00CF2758">
              <w:rPr>
                <w:sz w:val="22"/>
              </w:rPr>
              <w:t>-125</w:t>
            </w:r>
          </w:p>
        </w:tc>
        <w:tc>
          <w:tcPr>
            <w:tcW w:w="960" w:type="dxa"/>
            <w:tcBorders>
              <w:top w:val="single" w:sz="8" w:space="0" w:color="FFFFFF"/>
              <w:left w:val="nil"/>
              <w:bottom w:val="single" w:sz="8" w:space="0" w:color="FFFFFF"/>
              <w:right w:val="single" w:sz="8" w:space="0" w:color="948A54" w:themeColor="background2" w:themeShade="80"/>
            </w:tcBorders>
            <w:shd w:val="clear" w:color="000000" w:fill="D9D9D9"/>
            <w:vAlign w:val="center"/>
            <w:hideMark/>
          </w:tcPr>
          <w:p w14:paraId="60608A14" w14:textId="77777777" w:rsidR="00CF2758" w:rsidRPr="00CF2758" w:rsidRDefault="00CF2758" w:rsidP="00282B45">
            <w:pPr>
              <w:pStyle w:val="Tabletext"/>
              <w:spacing w:line="250" w:lineRule="exact"/>
              <w:jc w:val="center"/>
              <w:rPr>
                <w:sz w:val="22"/>
              </w:rPr>
            </w:pPr>
            <w:r w:rsidRPr="00CF2758">
              <w:rPr>
                <w:sz w:val="22"/>
              </w:rPr>
              <w:t>-144</w:t>
            </w:r>
          </w:p>
        </w:tc>
      </w:tr>
      <w:tr w:rsidR="00CF2758" w:rsidRPr="00CF2758" w14:paraId="533C25A8" w14:textId="77777777" w:rsidTr="00282B45">
        <w:trPr>
          <w:trHeight w:val="284"/>
          <w:jc w:val="center"/>
        </w:trPr>
        <w:tc>
          <w:tcPr>
            <w:tcW w:w="6936" w:type="dxa"/>
            <w:tcBorders>
              <w:top w:val="single" w:sz="8" w:space="0" w:color="FFFFFF"/>
              <w:left w:val="single" w:sz="8" w:space="0" w:color="948A54" w:themeColor="background2" w:themeShade="80"/>
              <w:bottom w:val="single" w:sz="8" w:space="0" w:color="FFFFFF"/>
              <w:right w:val="nil"/>
            </w:tcBorders>
            <w:shd w:val="clear" w:color="000000" w:fill="F2F2F2"/>
            <w:vAlign w:val="center"/>
            <w:hideMark/>
          </w:tcPr>
          <w:p w14:paraId="3354F9DC" w14:textId="77777777" w:rsidR="00CF2758" w:rsidRPr="00CF2758" w:rsidRDefault="00CF2758" w:rsidP="00282B45">
            <w:pPr>
              <w:pStyle w:val="Tabletext"/>
              <w:spacing w:line="250" w:lineRule="exact"/>
              <w:rPr>
                <w:sz w:val="22"/>
              </w:rPr>
            </w:pPr>
            <w:r w:rsidRPr="00CF2758">
              <w:rPr>
                <w:sz w:val="22"/>
              </w:rPr>
              <w:t>20% reduction of property tax (ENFIA) for residences insured against natural disasters</w:t>
            </w:r>
          </w:p>
        </w:tc>
        <w:tc>
          <w:tcPr>
            <w:tcW w:w="960" w:type="dxa"/>
            <w:tcBorders>
              <w:top w:val="single" w:sz="8" w:space="0" w:color="FFFFFF"/>
              <w:left w:val="nil"/>
              <w:bottom w:val="single" w:sz="8" w:space="0" w:color="FFFFFF"/>
              <w:right w:val="nil"/>
            </w:tcBorders>
            <w:shd w:val="clear" w:color="000000" w:fill="F2F2F2"/>
            <w:vAlign w:val="center"/>
            <w:hideMark/>
          </w:tcPr>
          <w:p w14:paraId="5E02347A" w14:textId="77777777" w:rsidR="00CF2758" w:rsidRPr="00CF2758" w:rsidRDefault="00CF2758" w:rsidP="00282B45">
            <w:pPr>
              <w:pStyle w:val="Tabletext"/>
              <w:spacing w:line="250" w:lineRule="exact"/>
              <w:jc w:val="center"/>
              <w:rPr>
                <w:sz w:val="22"/>
              </w:rPr>
            </w:pPr>
            <w:r w:rsidRPr="00CF2758">
              <w:rPr>
                <w:sz w:val="22"/>
              </w:rPr>
              <w:t>-21</w:t>
            </w:r>
          </w:p>
        </w:tc>
        <w:tc>
          <w:tcPr>
            <w:tcW w:w="960" w:type="dxa"/>
            <w:tcBorders>
              <w:top w:val="single" w:sz="8" w:space="0" w:color="FFFFFF"/>
              <w:left w:val="nil"/>
              <w:bottom w:val="single" w:sz="8" w:space="0" w:color="FFFFFF"/>
              <w:right w:val="single" w:sz="8" w:space="0" w:color="948A54" w:themeColor="background2" w:themeShade="80"/>
            </w:tcBorders>
            <w:shd w:val="clear" w:color="000000" w:fill="F2F2F2"/>
            <w:vAlign w:val="center"/>
            <w:hideMark/>
          </w:tcPr>
          <w:p w14:paraId="15A41812" w14:textId="77777777" w:rsidR="00CF2758" w:rsidRPr="00CF2758" w:rsidRDefault="00CF2758" w:rsidP="00282B45">
            <w:pPr>
              <w:pStyle w:val="Tabletext"/>
              <w:spacing w:line="250" w:lineRule="exact"/>
              <w:jc w:val="center"/>
              <w:rPr>
                <w:sz w:val="22"/>
              </w:rPr>
            </w:pPr>
            <w:r w:rsidRPr="00CF2758">
              <w:rPr>
                <w:sz w:val="22"/>
              </w:rPr>
              <w:t>-26</w:t>
            </w:r>
          </w:p>
        </w:tc>
      </w:tr>
      <w:tr w:rsidR="00CF2758" w:rsidRPr="00CF2758" w14:paraId="0B123BC1" w14:textId="77777777" w:rsidTr="00282B45">
        <w:trPr>
          <w:trHeight w:val="284"/>
          <w:jc w:val="center"/>
        </w:trPr>
        <w:tc>
          <w:tcPr>
            <w:tcW w:w="6936" w:type="dxa"/>
            <w:tcBorders>
              <w:top w:val="single" w:sz="8" w:space="0" w:color="FFFFFF"/>
              <w:left w:val="single" w:sz="8" w:space="0" w:color="948A54" w:themeColor="background2" w:themeShade="80"/>
              <w:bottom w:val="single" w:sz="8" w:space="0" w:color="FFFFFF"/>
              <w:right w:val="nil"/>
            </w:tcBorders>
            <w:shd w:val="clear" w:color="000000" w:fill="D9D9D9"/>
            <w:vAlign w:val="center"/>
            <w:hideMark/>
          </w:tcPr>
          <w:p w14:paraId="457D83EF" w14:textId="77777777" w:rsidR="00CF2758" w:rsidRPr="00CF2758" w:rsidRDefault="00CF2758" w:rsidP="00282B45">
            <w:pPr>
              <w:pStyle w:val="Tabletext"/>
              <w:spacing w:line="250" w:lineRule="exact"/>
              <w:rPr>
                <w:sz w:val="22"/>
              </w:rPr>
            </w:pPr>
            <w:r w:rsidRPr="00CF2758">
              <w:rPr>
                <w:sz w:val="22"/>
              </w:rPr>
              <w:t xml:space="preserve">Permanent return of the special levy on diesel to farmers with a new system </w:t>
            </w:r>
          </w:p>
        </w:tc>
        <w:tc>
          <w:tcPr>
            <w:tcW w:w="960" w:type="dxa"/>
            <w:tcBorders>
              <w:top w:val="single" w:sz="8" w:space="0" w:color="FFFFFF"/>
              <w:left w:val="nil"/>
              <w:bottom w:val="single" w:sz="8" w:space="0" w:color="FFFFFF"/>
              <w:right w:val="nil"/>
            </w:tcBorders>
            <w:shd w:val="clear" w:color="000000" w:fill="D9D9D9"/>
            <w:vAlign w:val="center"/>
            <w:hideMark/>
          </w:tcPr>
          <w:p w14:paraId="7B3B42DC" w14:textId="77777777" w:rsidR="00CF2758" w:rsidRPr="00CF2758" w:rsidRDefault="00CF2758" w:rsidP="00282B45">
            <w:pPr>
              <w:pStyle w:val="Tabletext"/>
              <w:spacing w:line="250" w:lineRule="exact"/>
              <w:jc w:val="center"/>
              <w:rPr>
                <w:sz w:val="22"/>
              </w:rPr>
            </w:pPr>
            <w:r w:rsidRPr="00CF2758">
              <w:rPr>
                <w:sz w:val="22"/>
              </w:rPr>
              <w:t>-86</w:t>
            </w:r>
          </w:p>
        </w:tc>
        <w:tc>
          <w:tcPr>
            <w:tcW w:w="960" w:type="dxa"/>
            <w:tcBorders>
              <w:top w:val="single" w:sz="8" w:space="0" w:color="FFFFFF"/>
              <w:left w:val="nil"/>
              <w:bottom w:val="single" w:sz="8" w:space="0" w:color="FFFFFF"/>
              <w:right w:val="single" w:sz="8" w:space="0" w:color="948A54" w:themeColor="background2" w:themeShade="80"/>
            </w:tcBorders>
            <w:shd w:val="clear" w:color="000000" w:fill="D9D9D9"/>
            <w:vAlign w:val="center"/>
            <w:hideMark/>
          </w:tcPr>
          <w:p w14:paraId="2B80E65D" w14:textId="77777777" w:rsidR="00CF2758" w:rsidRPr="00CF2758" w:rsidRDefault="00CF2758" w:rsidP="00282B45">
            <w:pPr>
              <w:pStyle w:val="Tabletext"/>
              <w:spacing w:line="250" w:lineRule="exact"/>
              <w:jc w:val="center"/>
              <w:rPr>
                <w:sz w:val="22"/>
              </w:rPr>
            </w:pPr>
            <w:r w:rsidRPr="00CF2758">
              <w:rPr>
                <w:sz w:val="22"/>
              </w:rPr>
              <w:t>-100</w:t>
            </w:r>
          </w:p>
        </w:tc>
      </w:tr>
      <w:tr w:rsidR="00CF2758" w:rsidRPr="00CF2758" w14:paraId="2DD6430F" w14:textId="77777777" w:rsidTr="00282B45">
        <w:trPr>
          <w:trHeight w:val="284"/>
          <w:jc w:val="center"/>
        </w:trPr>
        <w:tc>
          <w:tcPr>
            <w:tcW w:w="6936" w:type="dxa"/>
            <w:tcBorders>
              <w:top w:val="single" w:sz="8" w:space="0" w:color="FFFFFF"/>
              <w:left w:val="single" w:sz="8" w:space="0" w:color="948A54" w:themeColor="background2" w:themeShade="80"/>
              <w:bottom w:val="single" w:sz="8" w:space="0" w:color="FFFFFF"/>
              <w:right w:val="nil"/>
            </w:tcBorders>
            <w:shd w:val="clear" w:color="000000" w:fill="F2F2F2"/>
            <w:vAlign w:val="center"/>
            <w:hideMark/>
          </w:tcPr>
          <w:p w14:paraId="558B16E8" w14:textId="77777777" w:rsidR="00CF2758" w:rsidRPr="00CF2758" w:rsidRDefault="00CF2758" w:rsidP="00282B45">
            <w:pPr>
              <w:pStyle w:val="Tabletext"/>
              <w:spacing w:line="250" w:lineRule="exact"/>
              <w:rPr>
                <w:sz w:val="22"/>
              </w:rPr>
            </w:pPr>
            <w:r w:rsidRPr="00CF2758">
              <w:rPr>
                <w:sz w:val="22"/>
              </w:rPr>
              <w:t>Decrease in taxation of overtime compensation for hospital doctors</w:t>
            </w:r>
          </w:p>
        </w:tc>
        <w:tc>
          <w:tcPr>
            <w:tcW w:w="960" w:type="dxa"/>
            <w:tcBorders>
              <w:top w:val="single" w:sz="8" w:space="0" w:color="FFFFFF"/>
              <w:left w:val="nil"/>
              <w:bottom w:val="single" w:sz="8" w:space="0" w:color="FFFFFF"/>
              <w:right w:val="nil"/>
            </w:tcBorders>
            <w:shd w:val="clear" w:color="000000" w:fill="F2F2F2"/>
            <w:vAlign w:val="center"/>
            <w:hideMark/>
          </w:tcPr>
          <w:p w14:paraId="53FA9A2C" w14:textId="77777777" w:rsidR="00CF2758" w:rsidRPr="00CF2758" w:rsidRDefault="00CF2758" w:rsidP="00282B45">
            <w:pPr>
              <w:pStyle w:val="Tabletext"/>
              <w:spacing w:line="250" w:lineRule="exact"/>
              <w:jc w:val="center"/>
              <w:rPr>
                <w:sz w:val="22"/>
              </w:rPr>
            </w:pPr>
            <w:r w:rsidRPr="00CF2758">
              <w:rPr>
                <w:sz w:val="22"/>
              </w:rPr>
              <w:t>-40</w:t>
            </w:r>
          </w:p>
        </w:tc>
        <w:tc>
          <w:tcPr>
            <w:tcW w:w="960" w:type="dxa"/>
            <w:tcBorders>
              <w:top w:val="single" w:sz="8" w:space="0" w:color="FFFFFF"/>
              <w:left w:val="nil"/>
              <w:bottom w:val="single" w:sz="8" w:space="0" w:color="FFFFFF"/>
              <w:right w:val="single" w:sz="8" w:space="0" w:color="948A54" w:themeColor="background2" w:themeShade="80"/>
            </w:tcBorders>
            <w:shd w:val="clear" w:color="000000" w:fill="F2F2F2"/>
            <w:vAlign w:val="center"/>
            <w:hideMark/>
          </w:tcPr>
          <w:p w14:paraId="4FF9664C" w14:textId="77777777" w:rsidR="00CF2758" w:rsidRPr="00CF2758" w:rsidRDefault="00CF2758" w:rsidP="00282B45">
            <w:pPr>
              <w:pStyle w:val="Tabletext"/>
              <w:spacing w:line="250" w:lineRule="exact"/>
              <w:jc w:val="center"/>
              <w:rPr>
                <w:sz w:val="22"/>
              </w:rPr>
            </w:pPr>
            <w:r w:rsidRPr="00CF2758">
              <w:rPr>
                <w:sz w:val="22"/>
              </w:rPr>
              <w:t>-40</w:t>
            </w:r>
          </w:p>
        </w:tc>
      </w:tr>
      <w:tr w:rsidR="00CF2758" w:rsidRPr="00CF2758" w14:paraId="4E24F342" w14:textId="77777777" w:rsidTr="00282B45">
        <w:trPr>
          <w:trHeight w:val="284"/>
          <w:jc w:val="center"/>
        </w:trPr>
        <w:tc>
          <w:tcPr>
            <w:tcW w:w="6936" w:type="dxa"/>
            <w:tcBorders>
              <w:top w:val="single" w:sz="8" w:space="0" w:color="FFFFFF"/>
              <w:left w:val="single" w:sz="8" w:space="0" w:color="948A54" w:themeColor="background2" w:themeShade="80"/>
              <w:bottom w:val="single" w:sz="8" w:space="0" w:color="FFFFFF"/>
              <w:right w:val="nil"/>
            </w:tcBorders>
            <w:shd w:val="clear" w:color="000000" w:fill="D9D9D9"/>
            <w:vAlign w:val="center"/>
            <w:hideMark/>
          </w:tcPr>
          <w:p w14:paraId="0FD75AF0" w14:textId="77777777" w:rsidR="00CF2758" w:rsidRPr="00CF2758" w:rsidRDefault="00CF2758" w:rsidP="00282B45">
            <w:pPr>
              <w:pStyle w:val="Tabletext"/>
              <w:spacing w:line="250" w:lineRule="exact"/>
              <w:rPr>
                <w:sz w:val="22"/>
              </w:rPr>
            </w:pPr>
            <w:r w:rsidRPr="00CF2758">
              <w:rPr>
                <w:sz w:val="22"/>
              </w:rPr>
              <w:t>Reduction of the digital fee for several transactions</w:t>
            </w:r>
          </w:p>
        </w:tc>
        <w:tc>
          <w:tcPr>
            <w:tcW w:w="960" w:type="dxa"/>
            <w:tcBorders>
              <w:top w:val="single" w:sz="8" w:space="0" w:color="FFFFFF"/>
              <w:left w:val="nil"/>
              <w:bottom w:val="single" w:sz="8" w:space="0" w:color="FFFFFF"/>
              <w:right w:val="nil"/>
            </w:tcBorders>
            <w:shd w:val="clear" w:color="000000" w:fill="D9D9D9"/>
            <w:vAlign w:val="center"/>
            <w:hideMark/>
          </w:tcPr>
          <w:p w14:paraId="53C85D69" w14:textId="77777777" w:rsidR="00CF2758" w:rsidRPr="00CF2758" w:rsidRDefault="00CF2758" w:rsidP="00282B45">
            <w:pPr>
              <w:pStyle w:val="Tabletext"/>
              <w:spacing w:line="250" w:lineRule="exact"/>
              <w:jc w:val="center"/>
              <w:rPr>
                <w:sz w:val="22"/>
              </w:rPr>
            </w:pPr>
            <w:r w:rsidRPr="00CF2758">
              <w:rPr>
                <w:sz w:val="22"/>
              </w:rPr>
              <w:t>-32</w:t>
            </w:r>
          </w:p>
        </w:tc>
        <w:tc>
          <w:tcPr>
            <w:tcW w:w="960" w:type="dxa"/>
            <w:tcBorders>
              <w:top w:val="single" w:sz="8" w:space="0" w:color="FFFFFF"/>
              <w:left w:val="nil"/>
              <w:bottom w:val="single" w:sz="8" w:space="0" w:color="FFFFFF"/>
              <w:right w:val="single" w:sz="8" w:space="0" w:color="948A54" w:themeColor="background2" w:themeShade="80"/>
            </w:tcBorders>
            <w:shd w:val="clear" w:color="000000" w:fill="D9D9D9"/>
            <w:vAlign w:val="center"/>
            <w:hideMark/>
          </w:tcPr>
          <w:p w14:paraId="48B47623" w14:textId="77777777" w:rsidR="00CF2758" w:rsidRPr="00CF2758" w:rsidRDefault="00CF2758" w:rsidP="00282B45">
            <w:pPr>
              <w:pStyle w:val="Tabletext"/>
              <w:spacing w:line="250" w:lineRule="exact"/>
              <w:jc w:val="center"/>
              <w:rPr>
                <w:sz w:val="22"/>
              </w:rPr>
            </w:pPr>
            <w:r w:rsidRPr="00CF2758">
              <w:rPr>
                <w:sz w:val="22"/>
              </w:rPr>
              <w:t>-32</w:t>
            </w:r>
          </w:p>
        </w:tc>
      </w:tr>
      <w:tr w:rsidR="00CF2758" w:rsidRPr="00CF2758" w14:paraId="10D29644" w14:textId="77777777" w:rsidTr="00282B45">
        <w:trPr>
          <w:trHeight w:val="284"/>
          <w:jc w:val="center"/>
        </w:trPr>
        <w:tc>
          <w:tcPr>
            <w:tcW w:w="6936" w:type="dxa"/>
            <w:tcBorders>
              <w:top w:val="single" w:sz="8" w:space="0" w:color="FFFFFF"/>
              <w:left w:val="single" w:sz="8" w:space="0" w:color="948A54" w:themeColor="background2" w:themeShade="80"/>
              <w:bottom w:val="single" w:sz="8" w:space="0" w:color="FFFFFF"/>
              <w:right w:val="nil"/>
            </w:tcBorders>
            <w:shd w:val="clear" w:color="000000" w:fill="F2F2F2"/>
            <w:vAlign w:val="center"/>
            <w:hideMark/>
          </w:tcPr>
          <w:p w14:paraId="7A94FCF2" w14:textId="77777777" w:rsidR="00CF2758" w:rsidRPr="00CF2758" w:rsidRDefault="00CF2758" w:rsidP="00282B45">
            <w:pPr>
              <w:pStyle w:val="Tabletext"/>
              <w:spacing w:line="250" w:lineRule="exact"/>
              <w:rPr>
                <w:sz w:val="22"/>
              </w:rPr>
            </w:pPr>
            <w:r w:rsidRPr="00CF2758">
              <w:rPr>
                <w:sz w:val="22"/>
              </w:rPr>
              <w:t xml:space="preserve">Incentives for innovation, mergers and acquisitions </w:t>
            </w:r>
          </w:p>
        </w:tc>
        <w:tc>
          <w:tcPr>
            <w:tcW w:w="960" w:type="dxa"/>
            <w:tcBorders>
              <w:top w:val="single" w:sz="8" w:space="0" w:color="FFFFFF"/>
              <w:left w:val="nil"/>
              <w:bottom w:val="single" w:sz="8" w:space="0" w:color="FFFFFF"/>
              <w:right w:val="nil"/>
            </w:tcBorders>
            <w:shd w:val="clear" w:color="000000" w:fill="F2F2F2"/>
            <w:vAlign w:val="center"/>
            <w:hideMark/>
          </w:tcPr>
          <w:p w14:paraId="40B8C52D" w14:textId="77777777" w:rsidR="00CF2758" w:rsidRPr="00CF2758" w:rsidRDefault="00CF2758" w:rsidP="00282B45">
            <w:pPr>
              <w:pStyle w:val="Tabletext"/>
              <w:spacing w:line="250" w:lineRule="exact"/>
              <w:jc w:val="center"/>
              <w:rPr>
                <w:sz w:val="22"/>
              </w:rPr>
            </w:pPr>
            <w:r w:rsidRPr="00CF2758">
              <w:rPr>
                <w:sz w:val="22"/>
              </w:rPr>
              <w:t>-41</w:t>
            </w:r>
          </w:p>
        </w:tc>
        <w:tc>
          <w:tcPr>
            <w:tcW w:w="960" w:type="dxa"/>
            <w:tcBorders>
              <w:top w:val="single" w:sz="8" w:space="0" w:color="FFFFFF"/>
              <w:left w:val="nil"/>
              <w:bottom w:val="single" w:sz="8" w:space="0" w:color="FFFFFF"/>
              <w:right w:val="single" w:sz="8" w:space="0" w:color="948A54" w:themeColor="background2" w:themeShade="80"/>
            </w:tcBorders>
            <w:shd w:val="clear" w:color="000000" w:fill="F2F2F2"/>
            <w:vAlign w:val="center"/>
            <w:hideMark/>
          </w:tcPr>
          <w:p w14:paraId="0B713388" w14:textId="77777777" w:rsidR="00CF2758" w:rsidRPr="00CF2758" w:rsidRDefault="00CF2758" w:rsidP="00282B45">
            <w:pPr>
              <w:pStyle w:val="Tabletext"/>
              <w:spacing w:line="250" w:lineRule="exact"/>
              <w:jc w:val="center"/>
              <w:rPr>
                <w:sz w:val="22"/>
              </w:rPr>
            </w:pPr>
            <w:r w:rsidRPr="00CF2758">
              <w:rPr>
                <w:sz w:val="22"/>
              </w:rPr>
              <w:t>-41</w:t>
            </w:r>
          </w:p>
        </w:tc>
      </w:tr>
      <w:tr w:rsidR="00CF2758" w:rsidRPr="00CF2758" w14:paraId="45242759" w14:textId="77777777" w:rsidTr="00282B45">
        <w:trPr>
          <w:trHeight w:val="284"/>
          <w:jc w:val="center"/>
        </w:trPr>
        <w:tc>
          <w:tcPr>
            <w:tcW w:w="6936" w:type="dxa"/>
            <w:tcBorders>
              <w:top w:val="single" w:sz="8" w:space="0" w:color="FFFFFF"/>
              <w:left w:val="single" w:sz="8" w:space="0" w:color="948A54" w:themeColor="background2" w:themeShade="80"/>
              <w:bottom w:val="single" w:sz="8" w:space="0" w:color="FFFFFF"/>
              <w:right w:val="nil"/>
            </w:tcBorders>
            <w:shd w:val="clear" w:color="000000" w:fill="D9D9D9"/>
            <w:vAlign w:val="center"/>
            <w:hideMark/>
          </w:tcPr>
          <w:p w14:paraId="79DB6878" w14:textId="77777777" w:rsidR="00CF2758" w:rsidRPr="00CF2758" w:rsidRDefault="00CF2758" w:rsidP="00282B45">
            <w:pPr>
              <w:pStyle w:val="Tabletext"/>
              <w:spacing w:line="250" w:lineRule="exact"/>
              <w:rPr>
                <w:sz w:val="22"/>
              </w:rPr>
            </w:pPr>
            <w:r w:rsidRPr="00CF2758">
              <w:rPr>
                <w:sz w:val="22"/>
              </w:rPr>
              <w:t xml:space="preserve">Abolition of telecommunication fee (5%) for fiber optic connections (≥100 </w:t>
            </w:r>
            <w:proofErr w:type="spellStart"/>
            <w:r w:rsidRPr="00CF2758">
              <w:rPr>
                <w:sz w:val="22"/>
              </w:rPr>
              <w:t>mbps</w:t>
            </w:r>
            <w:proofErr w:type="spellEnd"/>
            <w:r w:rsidRPr="00CF2758">
              <w:rPr>
                <w:sz w:val="22"/>
              </w:rPr>
              <w:t>)</w:t>
            </w:r>
          </w:p>
        </w:tc>
        <w:tc>
          <w:tcPr>
            <w:tcW w:w="960" w:type="dxa"/>
            <w:tcBorders>
              <w:top w:val="single" w:sz="8" w:space="0" w:color="FFFFFF"/>
              <w:left w:val="nil"/>
              <w:bottom w:val="single" w:sz="8" w:space="0" w:color="FFFFFF"/>
              <w:right w:val="nil"/>
            </w:tcBorders>
            <w:shd w:val="clear" w:color="000000" w:fill="D9D9D9"/>
            <w:vAlign w:val="center"/>
            <w:hideMark/>
          </w:tcPr>
          <w:p w14:paraId="7143C584" w14:textId="77777777" w:rsidR="00CF2758" w:rsidRPr="00CF2758" w:rsidRDefault="00CF2758" w:rsidP="00282B45">
            <w:pPr>
              <w:pStyle w:val="Tabletext"/>
              <w:spacing w:line="250" w:lineRule="exact"/>
              <w:jc w:val="center"/>
              <w:rPr>
                <w:sz w:val="22"/>
              </w:rPr>
            </w:pPr>
            <w:r w:rsidRPr="00CF2758">
              <w:rPr>
                <w:sz w:val="22"/>
              </w:rPr>
              <w:t>-24</w:t>
            </w:r>
          </w:p>
        </w:tc>
        <w:tc>
          <w:tcPr>
            <w:tcW w:w="960" w:type="dxa"/>
            <w:tcBorders>
              <w:top w:val="single" w:sz="8" w:space="0" w:color="FFFFFF"/>
              <w:left w:val="nil"/>
              <w:bottom w:val="single" w:sz="8" w:space="0" w:color="FFFFFF"/>
              <w:right w:val="single" w:sz="8" w:space="0" w:color="948A54" w:themeColor="background2" w:themeShade="80"/>
            </w:tcBorders>
            <w:shd w:val="clear" w:color="000000" w:fill="D9D9D9"/>
            <w:vAlign w:val="center"/>
            <w:hideMark/>
          </w:tcPr>
          <w:p w14:paraId="4FFD57F5" w14:textId="77777777" w:rsidR="00CF2758" w:rsidRPr="00CF2758" w:rsidRDefault="00CF2758" w:rsidP="00282B45">
            <w:pPr>
              <w:pStyle w:val="Tabletext"/>
              <w:spacing w:line="250" w:lineRule="exact"/>
              <w:jc w:val="center"/>
              <w:rPr>
                <w:sz w:val="22"/>
              </w:rPr>
            </w:pPr>
            <w:r w:rsidRPr="00CF2758">
              <w:rPr>
                <w:sz w:val="22"/>
              </w:rPr>
              <w:t>-24</w:t>
            </w:r>
          </w:p>
        </w:tc>
      </w:tr>
      <w:tr w:rsidR="00CF2758" w:rsidRPr="00CF2758" w14:paraId="39CD87E7" w14:textId="77777777" w:rsidTr="00282B45">
        <w:trPr>
          <w:trHeight w:val="284"/>
          <w:jc w:val="center"/>
        </w:trPr>
        <w:tc>
          <w:tcPr>
            <w:tcW w:w="6936" w:type="dxa"/>
            <w:tcBorders>
              <w:top w:val="single" w:sz="8" w:space="0" w:color="FFFFFF"/>
              <w:left w:val="single" w:sz="8" w:space="0" w:color="948A54" w:themeColor="background2" w:themeShade="80"/>
              <w:bottom w:val="single" w:sz="8" w:space="0" w:color="FFFFFF"/>
              <w:right w:val="nil"/>
            </w:tcBorders>
            <w:shd w:val="clear" w:color="000000" w:fill="F2F2F2"/>
            <w:vAlign w:val="center"/>
            <w:hideMark/>
          </w:tcPr>
          <w:p w14:paraId="170656E7" w14:textId="77777777" w:rsidR="00CF2758" w:rsidRPr="00CF2758" w:rsidRDefault="00CF2758" w:rsidP="00282B45">
            <w:pPr>
              <w:pStyle w:val="Tabletext"/>
              <w:spacing w:line="250" w:lineRule="exact"/>
              <w:rPr>
                <w:sz w:val="22"/>
              </w:rPr>
            </w:pPr>
            <w:r w:rsidRPr="00CF2758">
              <w:rPr>
                <w:sz w:val="22"/>
              </w:rPr>
              <w:t>Aboli</w:t>
            </w:r>
            <w:r w:rsidR="00DA1854">
              <w:rPr>
                <w:sz w:val="22"/>
              </w:rPr>
              <w:t>tion</w:t>
            </w:r>
            <w:r w:rsidRPr="00CF2758">
              <w:rPr>
                <w:sz w:val="22"/>
              </w:rPr>
              <w:t xml:space="preserve"> of the insurance levy (15%) for private healthcare contracts for children up to the age of 18 </w:t>
            </w:r>
          </w:p>
        </w:tc>
        <w:tc>
          <w:tcPr>
            <w:tcW w:w="960" w:type="dxa"/>
            <w:tcBorders>
              <w:top w:val="single" w:sz="8" w:space="0" w:color="FFFFFF"/>
              <w:left w:val="nil"/>
              <w:bottom w:val="single" w:sz="8" w:space="0" w:color="FFFFFF"/>
              <w:right w:val="nil"/>
            </w:tcBorders>
            <w:shd w:val="clear" w:color="000000" w:fill="F2F2F2"/>
            <w:vAlign w:val="center"/>
            <w:hideMark/>
          </w:tcPr>
          <w:p w14:paraId="6940A007" w14:textId="77777777" w:rsidR="00CF2758" w:rsidRPr="00CF2758" w:rsidRDefault="00CF2758" w:rsidP="00282B45">
            <w:pPr>
              <w:pStyle w:val="Tabletext"/>
              <w:spacing w:line="250" w:lineRule="exact"/>
              <w:jc w:val="center"/>
              <w:rPr>
                <w:sz w:val="22"/>
              </w:rPr>
            </w:pPr>
            <w:r w:rsidRPr="00CF2758">
              <w:rPr>
                <w:sz w:val="22"/>
              </w:rPr>
              <w:t>-17</w:t>
            </w:r>
          </w:p>
        </w:tc>
        <w:tc>
          <w:tcPr>
            <w:tcW w:w="960" w:type="dxa"/>
            <w:tcBorders>
              <w:top w:val="single" w:sz="8" w:space="0" w:color="FFFFFF"/>
              <w:left w:val="nil"/>
              <w:bottom w:val="single" w:sz="8" w:space="0" w:color="FFFFFF"/>
              <w:right w:val="single" w:sz="8" w:space="0" w:color="948A54" w:themeColor="background2" w:themeShade="80"/>
            </w:tcBorders>
            <w:shd w:val="clear" w:color="000000" w:fill="F2F2F2"/>
            <w:vAlign w:val="center"/>
            <w:hideMark/>
          </w:tcPr>
          <w:p w14:paraId="6F480AA6" w14:textId="77777777" w:rsidR="00CF2758" w:rsidRPr="00CF2758" w:rsidRDefault="00CF2758" w:rsidP="00282B45">
            <w:pPr>
              <w:pStyle w:val="Tabletext"/>
              <w:spacing w:line="250" w:lineRule="exact"/>
              <w:jc w:val="center"/>
              <w:rPr>
                <w:sz w:val="22"/>
              </w:rPr>
            </w:pPr>
            <w:r w:rsidRPr="00CF2758">
              <w:rPr>
                <w:sz w:val="22"/>
              </w:rPr>
              <w:t>-17</w:t>
            </w:r>
          </w:p>
        </w:tc>
      </w:tr>
      <w:tr w:rsidR="00CF2758" w:rsidRPr="00CF2758" w14:paraId="22670B9A" w14:textId="77777777" w:rsidTr="00282B45">
        <w:trPr>
          <w:trHeight w:val="284"/>
          <w:jc w:val="center"/>
        </w:trPr>
        <w:tc>
          <w:tcPr>
            <w:tcW w:w="6936" w:type="dxa"/>
            <w:tcBorders>
              <w:top w:val="single" w:sz="8" w:space="0" w:color="FFFFFF"/>
              <w:left w:val="single" w:sz="8" w:space="0" w:color="948A54" w:themeColor="background2" w:themeShade="80"/>
              <w:bottom w:val="single" w:sz="8" w:space="0" w:color="FFFFFF"/>
              <w:right w:val="nil"/>
            </w:tcBorders>
            <w:shd w:val="clear" w:color="000000" w:fill="D9D9D9"/>
            <w:vAlign w:val="center"/>
            <w:hideMark/>
          </w:tcPr>
          <w:p w14:paraId="1CE37DAA" w14:textId="77777777" w:rsidR="00CF2758" w:rsidRPr="00CF2758" w:rsidRDefault="00CF2758" w:rsidP="00282B45">
            <w:pPr>
              <w:pStyle w:val="Tabletext"/>
              <w:spacing w:line="250" w:lineRule="exact"/>
              <w:rPr>
                <w:sz w:val="22"/>
              </w:rPr>
            </w:pPr>
            <w:r w:rsidRPr="00CF2758">
              <w:rPr>
                <w:sz w:val="22"/>
              </w:rPr>
              <w:t>Tax exemption for voluntary benefits from employers to support new parents</w:t>
            </w:r>
          </w:p>
        </w:tc>
        <w:tc>
          <w:tcPr>
            <w:tcW w:w="960" w:type="dxa"/>
            <w:tcBorders>
              <w:top w:val="single" w:sz="8" w:space="0" w:color="FFFFFF"/>
              <w:left w:val="nil"/>
              <w:bottom w:val="single" w:sz="8" w:space="0" w:color="FFFFFF"/>
              <w:right w:val="nil"/>
            </w:tcBorders>
            <w:shd w:val="clear" w:color="000000" w:fill="D9D9D9"/>
            <w:vAlign w:val="center"/>
            <w:hideMark/>
          </w:tcPr>
          <w:p w14:paraId="5E58A6F1" w14:textId="77777777" w:rsidR="00CF2758" w:rsidRPr="00CF2758" w:rsidRDefault="00CF2758" w:rsidP="00282B45">
            <w:pPr>
              <w:pStyle w:val="Tabletext"/>
              <w:spacing w:line="250" w:lineRule="exact"/>
              <w:jc w:val="center"/>
              <w:rPr>
                <w:sz w:val="22"/>
              </w:rPr>
            </w:pPr>
            <w:r w:rsidRPr="00CF2758">
              <w:rPr>
                <w:sz w:val="22"/>
              </w:rPr>
              <w:t>-6</w:t>
            </w:r>
          </w:p>
        </w:tc>
        <w:tc>
          <w:tcPr>
            <w:tcW w:w="960" w:type="dxa"/>
            <w:tcBorders>
              <w:top w:val="single" w:sz="8" w:space="0" w:color="FFFFFF"/>
              <w:left w:val="nil"/>
              <w:bottom w:val="single" w:sz="8" w:space="0" w:color="FFFFFF"/>
              <w:right w:val="single" w:sz="8" w:space="0" w:color="948A54" w:themeColor="background2" w:themeShade="80"/>
            </w:tcBorders>
            <w:shd w:val="clear" w:color="000000" w:fill="D9D9D9"/>
            <w:vAlign w:val="center"/>
            <w:hideMark/>
          </w:tcPr>
          <w:p w14:paraId="0A0950A2" w14:textId="77777777" w:rsidR="00CF2758" w:rsidRPr="00CF2758" w:rsidRDefault="00CF2758" w:rsidP="00282B45">
            <w:pPr>
              <w:pStyle w:val="Tabletext"/>
              <w:spacing w:line="250" w:lineRule="exact"/>
              <w:jc w:val="center"/>
              <w:rPr>
                <w:sz w:val="22"/>
              </w:rPr>
            </w:pPr>
            <w:r w:rsidRPr="00CF2758">
              <w:rPr>
                <w:sz w:val="22"/>
              </w:rPr>
              <w:t>-6</w:t>
            </w:r>
          </w:p>
        </w:tc>
      </w:tr>
      <w:tr w:rsidR="00CF2758" w:rsidRPr="00CF2758" w14:paraId="70C9D68C" w14:textId="77777777" w:rsidTr="00282B45">
        <w:trPr>
          <w:trHeight w:val="284"/>
          <w:jc w:val="center"/>
        </w:trPr>
        <w:tc>
          <w:tcPr>
            <w:tcW w:w="6936" w:type="dxa"/>
            <w:tcBorders>
              <w:top w:val="single" w:sz="8" w:space="0" w:color="FFFFFF"/>
              <w:left w:val="single" w:sz="8" w:space="0" w:color="948A54" w:themeColor="background2" w:themeShade="80"/>
              <w:bottom w:val="single" w:sz="8" w:space="0" w:color="FFFFFF"/>
              <w:right w:val="nil"/>
            </w:tcBorders>
            <w:shd w:val="clear" w:color="000000" w:fill="F2F2F2"/>
            <w:vAlign w:val="center"/>
            <w:hideMark/>
          </w:tcPr>
          <w:p w14:paraId="6634E7FD" w14:textId="77777777" w:rsidR="00CF2758" w:rsidRPr="00CF2758" w:rsidRDefault="00CF2758" w:rsidP="00282B45">
            <w:pPr>
              <w:pStyle w:val="Tabletext"/>
              <w:spacing w:line="250" w:lineRule="exact"/>
              <w:rPr>
                <w:sz w:val="22"/>
              </w:rPr>
            </w:pPr>
            <w:r w:rsidRPr="00CF2758">
              <w:rPr>
                <w:sz w:val="22"/>
              </w:rPr>
              <w:t xml:space="preserve">Income tax exemption for vacant or short-term rental properties that will be rented on a long-term lease (extension for the year 2026) </w:t>
            </w:r>
          </w:p>
        </w:tc>
        <w:tc>
          <w:tcPr>
            <w:tcW w:w="960" w:type="dxa"/>
            <w:tcBorders>
              <w:top w:val="single" w:sz="8" w:space="0" w:color="FFFFFF"/>
              <w:left w:val="nil"/>
              <w:bottom w:val="single" w:sz="8" w:space="0" w:color="FFFFFF"/>
              <w:right w:val="nil"/>
            </w:tcBorders>
            <w:shd w:val="clear" w:color="000000" w:fill="F2F2F2"/>
            <w:vAlign w:val="center"/>
            <w:hideMark/>
          </w:tcPr>
          <w:p w14:paraId="16B4B4F9" w14:textId="77777777" w:rsidR="00CF2758" w:rsidRPr="00CF2758" w:rsidRDefault="00CF2758" w:rsidP="00282B45">
            <w:pPr>
              <w:pStyle w:val="Tabletext"/>
              <w:spacing w:line="250" w:lineRule="exact"/>
              <w:jc w:val="center"/>
              <w:rPr>
                <w:sz w:val="22"/>
              </w:rPr>
            </w:pPr>
            <w:r w:rsidRPr="00CF2758">
              <w:rPr>
                <w:sz w:val="22"/>
              </w:rPr>
              <w:t>0</w:t>
            </w:r>
          </w:p>
        </w:tc>
        <w:tc>
          <w:tcPr>
            <w:tcW w:w="960" w:type="dxa"/>
            <w:tcBorders>
              <w:top w:val="single" w:sz="8" w:space="0" w:color="FFFFFF"/>
              <w:left w:val="nil"/>
              <w:bottom w:val="single" w:sz="8" w:space="0" w:color="FFFFFF"/>
              <w:right w:val="single" w:sz="8" w:space="0" w:color="948A54" w:themeColor="background2" w:themeShade="80"/>
            </w:tcBorders>
            <w:shd w:val="clear" w:color="000000" w:fill="F2F2F2"/>
            <w:vAlign w:val="center"/>
            <w:hideMark/>
          </w:tcPr>
          <w:p w14:paraId="2D8F62B0" w14:textId="77777777" w:rsidR="00CF2758" w:rsidRPr="00CF2758" w:rsidRDefault="00CF2758" w:rsidP="00282B45">
            <w:pPr>
              <w:pStyle w:val="Tabletext"/>
              <w:spacing w:line="250" w:lineRule="exact"/>
              <w:jc w:val="center"/>
              <w:rPr>
                <w:sz w:val="22"/>
              </w:rPr>
            </w:pPr>
            <w:r w:rsidRPr="00CF2758">
              <w:rPr>
                <w:sz w:val="22"/>
              </w:rPr>
              <w:t>-10</w:t>
            </w:r>
          </w:p>
        </w:tc>
      </w:tr>
      <w:tr w:rsidR="00CF2758" w:rsidRPr="00CF2758" w14:paraId="5134CFB5" w14:textId="77777777" w:rsidTr="00282B45">
        <w:trPr>
          <w:trHeight w:val="284"/>
          <w:jc w:val="center"/>
        </w:trPr>
        <w:tc>
          <w:tcPr>
            <w:tcW w:w="6936" w:type="dxa"/>
            <w:tcBorders>
              <w:top w:val="single" w:sz="8" w:space="0" w:color="FFFFFF"/>
              <w:left w:val="single" w:sz="8" w:space="0" w:color="948A54" w:themeColor="background2" w:themeShade="80"/>
              <w:bottom w:val="single" w:sz="8" w:space="0" w:color="FFFFFF"/>
              <w:right w:val="nil"/>
            </w:tcBorders>
            <w:shd w:val="clear" w:color="000000" w:fill="D9D9D9"/>
            <w:vAlign w:val="center"/>
            <w:hideMark/>
          </w:tcPr>
          <w:p w14:paraId="0A38A62F" w14:textId="77777777" w:rsidR="00CF2758" w:rsidRPr="00CF2758" w:rsidRDefault="00CF2758" w:rsidP="00282B45">
            <w:pPr>
              <w:pStyle w:val="Tabletext"/>
              <w:spacing w:line="250" w:lineRule="exact"/>
              <w:rPr>
                <w:sz w:val="22"/>
              </w:rPr>
            </w:pPr>
            <w:r w:rsidRPr="00CF2758">
              <w:rPr>
                <w:sz w:val="22"/>
              </w:rPr>
              <w:t>Extension for 2026 of VAT exemption on new buildings</w:t>
            </w:r>
          </w:p>
        </w:tc>
        <w:tc>
          <w:tcPr>
            <w:tcW w:w="960" w:type="dxa"/>
            <w:tcBorders>
              <w:top w:val="single" w:sz="8" w:space="0" w:color="FFFFFF"/>
              <w:left w:val="nil"/>
              <w:bottom w:val="single" w:sz="8" w:space="0" w:color="FFFFFF"/>
              <w:right w:val="nil"/>
            </w:tcBorders>
            <w:shd w:val="clear" w:color="000000" w:fill="D9D9D9"/>
            <w:vAlign w:val="center"/>
            <w:hideMark/>
          </w:tcPr>
          <w:p w14:paraId="3A4C0D26" w14:textId="77777777" w:rsidR="00CF2758" w:rsidRPr="00CF2758" w:rsidRDefault="00CF2758" w:rsidP="00282B45">
            <w:pPr>
              <w:pStyle w:val="Tabletext"/>
              <w:spacing w:line="250" w:lineRule="exact"/>
              <w:jc w:val="center"/>
              <w:rPr>
                <w:sz w:val="22"/>
              </w:rPr>
            </w:pPr>
            <w:r w:rsidRPr="00CF2758">
              <w:rPr>
                <w:sz w:val="22"/>
              </w:rPr>
              <w:t>-18</w:t>
            </w:r>
          </w:p>
        </w:tc>
        <w:tc>
          <w:tcPr>
            <w:tcW w:w="960" w:type="dxa"/>
            <w:tcBorders>
              <w:top w:val="single" w:sz="8" w:space="0" w:color="FFFFFF"/>
              <w:left w:val="nil"/>
              <w:bottom w:val="single" w:sz="8" w:space="0" w:color="FFFFFF"/>
              <w:right w:val="single" w:sz="8" w:space="0" w:color="948A54" w:themeColor="background2" w:themeShade="80"/>
            </w:tcBorders>
            <w:shd w:val="clear" w:color="000000" w:fill="D9D9D9"/>
            <w:vAlign w:val="center"/>
            <w:hideMark/>
          </w:tcPr>
          <w:p w14:paraId="12A14DDD" w14:textId="77777777" w:rsidR="00CF2758" w:rsidRPr="00CF2758" w:rsidRDefault="00CF2758" w:rsidP="00282B45">
            <w:pPr>
              <w:pStyle w:val="Tabletext"/>
              <w:spacing w:line="250" w:lineRule="exact"/>
              <w:jc w:val="center"/>
              <w:rPr>
                <w:sz w:val="22"/>
              </w:rPr>
            </w:pPr>
            <w:r w:rsidRPr="00CF2758">
              <w:rPr>
                <w:sz w:val="22"/>
              </w:rPr>
              <w:t>-18</w:t>
            </w:r>
          </w:p>
        </w:tc>
      </w:tr>
      <w:tr w:rsidR="00CF2758" w:rsidRPr="00CF2758" w14:paraId="615CB31F" w14:textId="77777777" w:rsidTr="00282B45">
        <w:trPr>
          <w:trHeight w:val="284"/>
          <w:jc w:val="center"/>
        </w:trPr>
        <w:tc>
          <w:tcPr>
            <w:tcW w:w="6936" w:type="dxa"/>
            <w:tcBorders>
              <w:top w:val="single" w:sz="8" w:space="0" w:color="FFFFFF"/>
              <w:left w:val="single" w:sz="8" w:space="0" w:color="948A54" w:themeColor="background2" w:themeShade="80"/>
              <w:bottom w:val="single" w:sz="8" w:space="0" w:color="FFFFFF"/>
              <w:right w:val="nil"/>
            </w:tcBorders>
            <w:shd w:val="clear" w:color="000000" w:fill="F2F2F2"/>
            <w:vAlign w:val="center"/>
            <w:hideMark/>
          </w:tcPr>
          <w:p w14:paraId="721123F9" w14:textId="77777777" w:rsidR="00CF2758" w:rsidRPr="00CF2758" w:rsidRDefault="00CF2758" w:rsidP="00282B45">
            <w:pPr>
              <w:pStyle w:val="Tabletext"/>
              <w:spacing w:line="250" w:lineRule="exact"/>
              <w:rPr>
                <w:sz w:val="22"/>
              </w:rPr>
            </w:pPr>
            <w:r w:rsidRPr="00CF2758">
              <w:rPr>
                <w:sz w:val="22"/>
              </w:rPr>
              <w:t xml:space="preserve">Incentive to attract doctors to remote and problematic regions </w:t>
            </w:r>
          </w:p>
        </w:tc>
        <w:tc>
          <w:tcPr>
            <w:tcW w:w="960" w:type="dxa"/>
            <w:tcBorders>
              <w:top w:val="single" w:sz="8" w:space="0" w:color="FFFFFF"/>
              <w:left w:val="nil"/>
              <w:bottom w:val="single" w:sz="8" w:space="0" w:color="FFFFFF"/>
              <w:right w:val="nil"/>
            </w:tcBorders>
            <w:shd w:val="clear" w:color="000000" w:fill="F2F2F2"/>
            <w:vAlign w:val="center"/>
            <w:hideMark/>
          </w:tcPr>
          <w:p w14:paraId="169E03C4" w14:textId="77777777" w:rsidR="00CF2758" w:rsidRPr="00CF2758" w:rsidRDefault="00CF2758" w:rsidP="00282B45">
            <w:pPr>
              <w:pStyle w:val="Tabletext"/>
              <w:spacing w:line="250" w:lineRule="exact"/>
              <w:jc w:val="center"/>
              <w:rPr>
                <w:sz w:val="22"/>
              </w:rPr>
            </w:pPr>
            <w:r w:rsidRPr="00CF2758">
              <w:rPr>
                <w:sz w:val="22"/>
              </w:rPr>
              <w:t>-16</w:t>
            </w:r>
          </w:p>
        </w:tc>
        <w:tc>
          <w:tcPr>
            <w:tcW w:w="960" w:type="dxa"/>
            <w:tcBorders>
              <w:top w:val="single" w:sz="8" w:space="0" w:color="FFFFFF"/>
              <w:left w:val="nil"/>
              <w:bottom w:val="single" w:sz="8" w:space="0" w:color="FFFFFF"/>
              <w:right w:val="single" w:sz="8" w:space="0" w:color="948A54" w:themeColor="background2" w:themeShade="80"/>
            </w:tcBorders>
            <w:shd w:val="clear" w:color="000000" w:fill="F2F2F2"/>
            <w:vAlign w:val="center"/>
            <w:hideMark/>
          </w:tcPr>
          <w:p w14:paraId="470336DE" w14:textId="77777777" w:rsidR="00CF2758" w:rsidRPr="00CF2758" w:rsidRDefault="00CF2758" w:rsidP="00282B45">
            <w:pPr>
              <w:pStyle w:val="Tabletext"/>
              <w:spacing w:line="250" w:lineRule="exact"/>
              <w:jc w:val="center"/>
              <w:rPr>
                <w:sz w:val="22"/>
              </w:rPr>
            </w:pPr>
            <w:r w:rsidRPr="00CF2758">
              <w:rPr>
                <w:sz w:val="22"/>
              </w:rPr>
              <w:t>-16</w:t>
            </w:r>
          </w:p>
        </w:tc>
      </w:tr>
      <w:tr w:rsidR="00CF2758" w:rsidRPr="00CF2758" w14:paraId="367752B3" w14:textId="77777777" w:rsidTr="00282B45">
        <w:trPr>
          <w:trHeight w:val="284"/>
          <w:jc w:val="center"/>
        </w:trPr>
        <w:tc>
          <w:tcPr>
            <w:tcW w:w="6936" w:type="dxa"/>
            <w:tcBorders>
              <w:top w:val="single" w:sz="8" w:space="0" w:color="FFFFFF"/>
              <w:left w:val="single" w:sz="8" w:space="0" w:color="948A54" w:themeColor="background2" w:themeShade="80"/>
              <w:bottom w:val="single" w:sz="8" w:space="0" w:color="FFFFFF"/>
              <w:right w:val="nil"/>
            </w:tcBorders>
            <w:shd w:val="clear" w:color="000000" w:fill="D9D9D9"/>
            <w:vAlign w:val="center"/>
            <w:hideMark/>
          </w:tcPr>
          <w:p w14:paraId="3C508940" w14:textId="77777777" w:rsidR="00CF2758" w:rsidRPr="00CF2758" w:rsidRDefault="00CF2758" w:rsidP="00282B45">
            <w:pPr>
              <w:pStyle w:val="Tabletext"/>
              <w:spacing w:line="250" w:lineRule="exact"/>
              <w:rPr>
                <w:sz w:val="22"/>
              </w:rPr>
            </w:pPr>
            <w:r w:rsidRPr="00CF2758">
              <w:rPr>
                <w:sz w:val="22"/>
              </w:rPr>
              <w:t xml:space="preserve">Increase of the nightshifts’ compensation by 20% for uniformed personnel starting from January 2025 </w:t>
            </w:r>
          </w:p>
        </w:tc>
        <w:tc>
          <w:tcPr>
            <w:tcW w:w="960" w:type="dxa"/>
            <w:tcBorders>
              <w:top w:val="single" w:sz="8" w:space="0" w:color="FFFFFF"/>
              <w:left w:val="nil"/>
              <w:bottom w:val="single" w:sz="8" w:space="0" w:color="FFFFFF"/>
              <w:right w:val="nil"/>
            </w:tcBorders>
            <w:shd w:val="clear" w:color="000000" w:fill="D9D9D9"/>
            <w:vAlign w:val="center"/>
            <w:hideMark/>
          </w:tcPr>
          <w:p w14:paraId="78AE1FAF" w14:textId="77777777" w:rsidR="00CF2758" w:rsidRPr="00CF2758" w:rsidRDefault="00CF2758" w:rsidP="00282B45">
            <w:pPr>
              <w:pStyle w:val="Tabletext"/>
              <w:spacing w:line="250" w:lineRule="exact"/>
              <w:jc w:val="center"/>
              <w:rPr>
                <w:sz w:val="22"/>
              </w:rPr>
            </w:pPr>
            <w:r w:rsidRPr="00CF2758">
              <w:rPr>
                <w:sz w:val="22"/>
              </w:rPr>
              <w:t>-25</w:t>
            </w:r>
          </w:p>
        </w:tc>
        <w:tc>
          <w:tcPr>
            <w:tcW w:w="960" w:type="dxa"/>
            <w:tcBorders>
              <w:top w:val="single" w:sz="8" w:space="0" w:color="FFFFFF"/>
              <w:left w:val="nil"/>
              <w:bottom w:val="single" w:sz="8" w:space="0" w:color="FFFFFF"/>
              <w:right w:val="single" w:sz="8" w:space="0" w:color="948A54" w:themeColor="background2" w:themeShade="80"/>
            </w:tcBorders>
            <w:shd w:val="clear" w:color="000000" w:fill="D9D9D9"/>
            <w:vAlign w:val="center"/>
            <w:hideMark/>
          </w:tcPr>
          <w:p w14:paraId="4B0268B2" w14:textId="77777777" w:rsidR="00CF2758" w:rsidRPr="00CF2758" w:rsidRDefault="00CF2758" w:rsidP="00282B45">
            <w:pPr>
              <w:pStyle w:val="Tabletext"/>
              <w:spacing w:line="250" w:lineRule="exact"/>
              <w:jc w:val="center"/>
              <w:rPr>
                <w:sz w:val="22"/>
              </w:rPr>
            </w:pPr>
            <w:r w:rsidRPr="00CF2758">
              <w:rPr>
                <w:sz w:val="22"/>
              </w:rPr>
              <w:t>-25</w:t>
            </w:r>
          </w:p>
        </w:tc>
      </w:tr>
      <w:tr w:rsidR="00CF2758" w:rsidRPr="00CF2758" w14:paraId="342069AE" w14:textId="77777777" w:rsidTr="00282B45">
        <w:trPr>
          <w:trHeight w:val="284"/>
          <w:jc w:val="center"/>
        </w:trPr>
        <w:tc>
          <w:tcPr>
            <w:tcW w:w="6936" w:type="dxa"/>
            <w:tcBorders>
              <w:top w:val="single" w:sz="8" w:space="0" w:color="FFFFFF"/>
              <w:left w:val="single" w:sz="8" w:space="0" w:color="948A54" w:themeColor="background2" w:themeShade="80"/>
              <w:bottom w:val="single" w:sz="8" w:space="0" w:color="FFFFFF"/>
              <w:right w:val="nil"/>
            </w:tcBorders>
            <w:shd w:val="clear" w:color="000000" w:fill="F2F2F2"/>
            <w:vAlign w:val="center"/>
            <w:hideMark/>
          </w:tcPr>
          <w:p w14:paraId="1AAC754C" w14:textId="77777777" w:rsidR="00CF2758" w:rsidRPr="00CF2758" w:rsidRDefault="00CF2758" w:rsidP="00282B45">
            <w:pPr>
              <w:pStyle w:val="Tabletext"/>
              <w:spacing w:line="250" w:lineRule="exact"/>
              <w:rPr>
                <w:sz w:val="22"/>
              </w:rPr>
            </w:pPr>
            <w:r w:rsidRPr="00CF2758">
              <w:rPr>
                <w:sz w:val="22"/>
              </w:rPr>
              <w:t>Increase of the student housing benefit for regional universities</w:t>
            </w:r>
          </w:p>
        </w:tc>
        <w:tc>
          <w:tcPr>
            <w:tcW w:w="960" w:type="dxa"/>
            <w:tcBorders>
              <w:top w:val="single" w:sz="8" w:space="0" w:color="FFFFFF"/>
              <w:left w:val="nil"/>
              <w:bottom w:val="single" w:sz="8" w:space="0" w:color="FFFFFF"/>
              <w:right w:val="nil"/>
            </w:tcBorders>
            <w:shd w:val="clear" w:color="000000" w:fill="F2F2F2"/>
            <w:vAlign w:val="center"/>
            <w:hideMark/>
          </w:tcPr>
          <w:p w14:paraId="651C9709" w14:textId="77777777" w:rsidR="00CF2758" w:rsidRPr="00CF2758" w:rsidRDefault="00CF2758" w:rsidP="00282B45">
            <w:pPr>
              <w:pStyle w:val="Tabletext"/>
              <w:spacing w:line="250" w:lineRule="exact"/>
              <w:jc w:val="center"/>
              <w:rPr>
                <w:sz w:val="22"/>
              </w:rPr>
            </w:pPr>
            <w:r w:rsidRPr="00CF2758">
              <w:rPr>
                <w:sz w:val="22"/>
              </w:rPr>
              <w:t>-15</w:t>
            </w:r>
          </w:p>
        </w:tc>
        <w:tc>
          <w:tcPr>
            <w:tcW w:w="960" w:type="dxa"/>
            <w:tcBorders>
              <w:top w:val="single" w:sz="8" w:space="0" w:color="FFFFFF"/>
              <w:left w:val="nil"/>
              <w:bottom w:val="single" w:sz="8" w:space="0" w:color="FFFFFF"/>
              <w:right w:val="single" w:sz="8" w:space="0" w:color="948A54" w:themeColor="background2" w:themeShade="80"/>
            </w:tcBorders>
            <w:shd w:val="clear" w:color="000000" w:fill="F2F2F2"/>
            <w:vAlign w:val="center"/>
            <w:hideMark/>
          </w:tcPr>
          <w:p w14:paraId="14DB177A" w14:textId="77777777" w:rsidR="00CF2758" w:rsidRPr="00CF2758" w:rsidRDefault="00CF2758" w:rsidP="00282B45">
            <w:pPr>
              <w:pStyle w:val="Tabletext"/>
              <w:spacing w:line="250" w:lineRule="exact"/>
              <w:jc w:val="center"/>
              <w:rPr>
                <w:sz w:val="22"/>
              </w:rPr>
            </w:pPr>
            <w:r w:rsidRPr="00CF2758">
              <w:rPr>
                <w:sz w:val="22"/>
              </w:rPr>
              <w:t>-15</w:t>
            </w:r>
          </w:p>
        </w:tc>
      </w:tr>
      <w:tr w:rsidR="00CF2758" w:rsidRPr="00CF2758" w14:paraId="177B403C" w14:textId="77777777" w:rsidTr="00282B45">
        <w:trPr>
          <w:trHeight w:val="284"/>
          <w:jc w:val="center"/>
        </w:trPr>
        <w:tc>
          <w:tcPr>
            <w:tcW w:w="6936" w:type="dxa"/>
            <w:tcBorders>
              <w:top w:val="single" w:sz="8" w:space="0" w:color="FFFFFF"/>
              <w:left w:val="single" w:sz="8" w:space="0" w:color="948A54" w:themeColor="background2" w:themeShade="80"/>
              <w:bottom w:val="single" w:sz="8" w:space="0" w:color="FFFFFF"/>
              <w:right w:val="nil"/>
            </w:tcBorders>
            <w:shd w:val="clear" w:color="000000" w:fill="D9D9D9"/>
            <w:vAlign w:val="center"/>
            <w:hideMark/>
          </w:tcPr>
          <w:p w14:paraId="5A830131" w14:textId="77777777" w:rsidR="00CF2758" w:rsidRPr="00CF2758" w:rsidRDefault="00CF2758" w:rsidP="00282B45">
            <w:pPr>
              <w:pStyle w:val="Tabletext"/>
              <w:spacing w:line="250" w:lineRule="exact"/>
              <w:rPr>
                <w:sz w:val="22"/>
              </w:rPr>
            </w:pPr>
            <w:r w:rsidRPr="00CF2758">
              <w:rPr>
                <w:sz w:val="22"/>
              </w:rPr>
              <w:t>Increase in the remuneration of military academy students</w:t>
            </w:r>
          </w:p>
        </w:tc>
        <w:tc>
          <w:tcPr>
            <w:tcW w:w="960" w:type="dxa"/>
            <w:tcBorders>
              <w:top w:val="single" w:sz="8" w:space="0" w:color="FFFFFF"/>
              <w:left w:val="nil"/>
              <w:bottom w:val="single" w:sz="8" w:space="0" w:color="FFFFFF"/>
              <w:right w:val="nil"/>
            </w:tcBorders>
            <w:shd w:val="clear" w:color="000000" w:fill="D9D9D9"/>
            <w:vAlign w:val="center"/>
            <w:hideMark/>
          </w:tcPr>
          <w:p w14:paraId="6ED18B7E" w14:textId="77777777" w:rsidR="00CF2758" w:rsidRPr="00CF2758" w:rsidRDefault="00CF2758" w:rsidP="00282B45">
            <w:pPr>
              <w:pStyle w:val="Tabletext"/>
              <w:spacing w:line="250" w:lineRule="exact"/>
              <w:jc w:val="center"/>
              <w:rPr>
                <w:sz w:val="22"/>
              </w:rPr>
            </w:pPr>
            <w:r w:rsidRPr="00CF2758">
              <w:rPr>
                <w:sz w:val="22"/>
              </w:rPr>
              <w:t>-14</w:t>
            </w:r>
          </w:p>
        </w:tc>
        <w:tc>
          <w:tcPr>
            <w:tcW w:w="960" w:type="dxa"/>
            <w:tcBorders>
              <w:top w:val="single" w:sz="8" w:space="0" w:color="FFFFFF"/>
              <w:left w:val="nil"/>
              <w:bottom w:val="single" w:sz="8" w:space="0" w:color="FFFFFF"/>
              <w:right w:val="single" w:sz="8" w:space="0" w:color="948A54" w:themeColor="background2" w:themeShade="80"/>
            </w:tcBorders>
            <w:shd w:val="clear" w:color="000000" w:fill="D9D9D9"/>
            <w:vAlign w:val="center"/>
            <w:hideMark/>
          </w:tcPr>
          <w:p w14:paraId="77E140AE" w14:textId="77777777" w:rsidR="00CF2758" w:rsidRPr="00CF2758" w:rsidRDefault="00CF2758" w:rsidP="00282B45">
            <w:pPr>
              <w:pStyle w:val="Tabletext"/>
              <w:spacing w:line="250" w:lineRule="exact"/>
              <w:jc w:val="center"/>
              <w:rPr>
                <w:sz w:val="22"/>
              </w:rPr>
            </w:pPr>
            <w:r w:rsidRPr="00CF2758">
              <w:rPr>
                <w:sz w:val="22"/>
              </w:rPr>
              <w:t>-14</w:t>
            </w:r>
          </w:p>
        </w:tc>
      </w:tr>
      <w:tr w:rsidR="00CF2758" w:rsidRPr="00CF2758" w14:paraId="5F4DBFB7" w14:textId="77777777" w:rsidTr="00282B45">
        <w:trPr>
          <w:trHeight w:val="284"/>
          <w:jc w:val="center"/>
        </w:trPr>
        <w:tc>
          <w:tcPr>
            <w:tcW w:w="6936" w:type="dxa"/>
            <w:tcBorders>
              <w:top w:val="single" w:sz="8" w:space="0" w:color="FFFFFF"/>
              <w:left w:val="single" w:sz="8" w:space="0" w:color="948A54" w:themeColor="background2" w:themeShade="80"/>
              <w:bottom w:val="single" w:sz="8" w:space="0" w:color="FFFFFF"/>
              <w:right w:val="nil"/>
            </w:tcBorders>
            <w:shd w:val="clear" w:color="000000" w:fill="F2F2F2"/>
            <w:vAlign w:val="center"/>
            <w:hideMark/>
          </w:tcPr>
          <w:p w14:paraId="6E5BFC5C" w14:textId="77777777" w:rsidR="00CF2758" w:rsidRPr="00CF2758" w:rsidRDefault="00CF2758" w:rsidP="00282B45">
            <w:pPr>
              <w:pStyle w:val="Tabletext"/>
              <w:spacing w:line="250" w:lineRule="exact"/>
              <w:rPr>
                <w:sz w:val="22"/>
              </w:rPr>
            </w:pPr>
            <w:r w:rsidRPr="00CF2758">
              <w:rPr>
                <w:sz w:val="22"/>
              </w:rPr>
              <w:t xml:space="preserve">Reform of the performance-based bonus system in the public sector </w:t>
            </w:r>
          </w:p>
        </w:tc>
        <w:tc>
          <w:tcPr>
            <w:tcW w:w="960" w:type="dxa"/>
            <w:tcBorders>
              <w:top w:val="single" w:sz="8" w:space="0" w:color="FFFFFF"/>
              <w:left w:val="nil"/>
              <w:bottom w:val="single" w:sz="8" w:space="0" w:color="FFFFFF"/>
              <w:right w:val="nil"/>
            </w:tcBorders>
            <w:shd w:val="clear" w:color="000000" w:fill="F2F2F2"/>
            <w:vAlign w:val="center"/>
            <w:hideMark/>
          </w:tcPr>
          <w:p w14:paraId="59ED48F6" w14:textId="77777777" w:rsidR="00CF2758" w:rsidRPr="00CF2758" w:rsidRDefault="00CF2758" w:rsidP="00282B45">
            <w:pPr>
              <w:pStyle w:val="Tabletext"/>
              <w:spacing w:line="250" w:lineRule="exact"/>
              <w:jc w:val="center"/>
              <w:rPr>
                <w:sz w:val="22"/>
              </w:rPr>
            </w:pPr>
            <w:r w:rsidRPr="00CF2758">
              <w:rPr>
                <w:sz w:val="22"/>
              </w:rPr>
              <w:t>-20</w:t>
            </w:r>
          </w:p>
        </w:tc>
        <w:tc>
          <w:tcPr>
            <w:tcW w:w="960" w:type="dxa"/>
            <w:tcBorders>
              <w:top w:val="single" w:sz="8" w:space="0" w:color="FFFFFF"/>
              <w:left w:val="nil"/>
              <w:bottom w:val="single" w:sz="8" w:space="0" w:color="FFFFFF"/>
              <w:right w:val="single" w:sz="8" w:space="0" w:color="948A54" w:themeColor="background2" w:themeShade="80"/>
            </w:tcBorders>
            <w:shd w:val="clear" w:color="000000" w:fill="F2F2F2"/>
            <w:vAlign w:val="center"/>
            <w:hideMark/>
          </w:tcPr>
          <w:p w14:paraId="7F14E2CD" w14:textId="77777777" w:rsidR="00CF2758" w:rsidRPr="00CF2758" w:rsidRDefault="00CF2758" w:rsidP="00282B45">
            <w:pPr>
              <w:pStyle w:val="Tabletext"/>
              <w:spacing w:line="250" w:lineRule="exact"/>
              <w:jc w:val="center"/>
              <w:rPr>
                <w:sz w:val="22"/>
              </w:rPr>
            </w:pPr>
            <w:r w:rsidRPr="00CF2758">
              <w:rPr>
                <w:sz w:val="22"/>
              </w:rPr>
              <w:t>-40</w:t>
            </w:r>
          </w:p>
        </w:tc>
      </w:tr>
      <w:tr w:rsidR="00CF2758" w:rsidRPr="00CF2758" w14:paraId="1C64B0FD" w14:textId="77777777" w:rsidTr="00282B45">
        <w:trPr>
          <w:trHeight w:val="284"/>
          <w:jc w:val="center"/>
        </w:trPr>
        <w:tc>
          <w:tcPr>
            <w:tcW w:w="6936" w:type="dxa"/>
            <w:tcBorders>
              <w:top w:val="single" w:sz="8" w:space="0" w:color="FFFFFF"/>
              <w:left w:val="single" w:sz="8" w:space="0" w:color="948A54" w:themeColor="background2" w:themeShade="80"/>
              <w:bottom w:val="single" w:sz="8" w:space="0" w:color="FFFFFF"/>
              <w:right w:val="nil"/>
            </w:tcBorders>
            <w:shd w:val="clear" w:color="000000" w:fill="D9D9D9"/>
            <w:vAlign w:val="center"/>
            <w:hideMark/>
          </w:tcPr>
          <w:p w14:paraId="44C0C964" w14:textId="77777777" w:rsidR="00CF2758" w:rsidRPr="00CF2758" w:rsidRDefault="00CF2758" w:rsidP="00282B45">
            <w:pPr>
              <w:pStyle w:val="Tabletext"/>
              <w:spacing w:line="250" w:lineRule="exact"/>
              <w:rPr>
                <w:sz w:val="22"/>
              </w:rPr>
            </w:pPr>
            <w:r w:rsidRPr="00CF2758">
              <w:rPr>
                <w:sz w:val="22"/>
              </w:rPr>
              <w:t xml:space="preserve">Reform of the hazardous and unhealthy work allowance for local governments employees </w:t>
            </w:r>
          </w:p>
        </w:tc>
        <w:tc>
          <w:tcPr>
            <w:tcW w:w="960" w:type="dxa"/>
            <w:tcBorders>
              <w:top w:val="single" w:sz="8" w:space="0" w:color="FFFFFF"/>
              <w:left w:val="nil"/>
              <w:bottom w:val="single" w:sz="8" w:space="0" w:color="FFFFFF"/>
              <w:right w:val="nil"/>
            </w:tcBorders>
            <w:shd w:val="clear" w:color="000000" w:fill="D9D9D9"/>
            <w:vAlign w:val="center"/>
            <w:hideMark/>
          </w:tcPr>
          <w:p w14:paraId="32FAC91C" w14:textId="77777777" w:rsidR="00CF2758" w:rsidRPr="00CF2758" w:rsidRDefault="00CF2758" w:rsidP="00282B45">
            <w:pPr>
              <w:pStyle w:val="Tabletext"/>
              <w:spacing w:line="250" w:lineRule="exact"/>
              <w:jc w:val="center"/>
              <w:rPr>
                <w:sz w:val="22"/>
              </w:rPr>
            </w:pPr>
            <w:r w:rsidRPr="00CF2758">
              <w:rPr>
                <w:sz w:val="22"/>
              </w:rPr>
              <w:t>-37</w:t>
            </w:r>
          </w:p>
        </w:tc>
        <w:tc>
          <w:tcPr>
            <w:tcW w:w="960" w:type="dxa"/>
            <w:tcBorders>
              <w:top w:val="single" w:sz="8" w:space="0" w:color="FFFFFF"/>
              <w:left w:val="nil"/>
              <w:bottom w:val="single" w:sz="8" w:space="0" w:color="FFFFFF"/>
              <w:right w:val="single" w:sz="8" w:space="0" w:color="948A54" w:themeColor="background2" w:themeShade="80"/>
            </w:tcBorders>
            <w:shd w:val="clear" w:color="000000" w:fill="D9D9D9"/>
            <w:vAlign w:val="center"/>
            <w:hideMark/>
          </w:tcPr>
          <w:p w14:paraId="5A021176" w14:textId="77777777" w:rsidR="00CF2758" w:rsidRPr="00CF2758" w:rsidRDefault="00CF2758" w:rsidP="00282B45">
            <w:pPr>
              <w:pStyle w:val="Tabletext"/>
              <w:spacing w:line="250" w:lineRule="exact"/>
              <w:jc w:val="center"/>
              <w:rPr>
                <w:sz w:val="22"/>
              </w:rPr>
            </w:pPr>
            <w:r w:rsidRPr="00CF2758">
              <w:rPr>
                <w:sz w:val="22"/>
              </w:rPr>
              <w:t>-37</w:t>
            </w:r>
          </w:p>
        </w:tc>
      </w:tr>
      <w:tr w:rsidR="00CF2758" w:rsidRPr="00CF2758" w14:paraId="3B337A4C" w14:textId="77777777" w:rsidTr="00282B45">
        <w:trPr>
          <w:trHeight w:val="284"/>
          <w:jc w:val="center"/>
        </w:trPr>
        <w:tc>
          <w:tcPr>
            <w:tcW w:w="6936" w:type="dxa"/>
            <w:tcBorders>
              <w:top w:val="single" w:sz="8" w:space="0" w:color="FFFFFF"/>
              <w:left w:val="single" w:sz="8" w:space="0" w:color="948A54" w:themeColor="background2" w:themeShade="80"/>
              <w:bottom w:val="single" w:sz="8" w:space="0" w:color="948A54" w:themeColor="background2" w:themeShade="80"/>
              <w:right w:val="nil"/>
            </w:tcBorders>
            <w:shd w:val="clear" w:color="auto" w:fill="C4BC96" w:themeFill="background2" w:themeFillShade="BF"/>
            <w:vAlign w:val="center"/>
            <w:hideMark/>
          </w:tcPr>
          <w:p w14:paraId="5DE69A92" w14:textId="77777777" w:rsidR="00CF2758" w:rsidRPr="00AF5D05" w:rsidRDefault="00CF2758" w:rsidP="00282B45">
            <w:pPr>
              <w:pStyle w:val="Tabletext"/>
              <w:spacing w:line="250" w:lineRule="exact"/>
              <w:rPr>
                <w:b/>
              </w:rPr>
            </w:pPr>
            <w:r w:rsidRPr="00AF5D05">
              <w:rPr>
                <w:b/>
              </w:rPr>
              <w:t>B. Total</w:t>
            </w:r>
          </w:p>
        </w:tc>
        <w:tc>
          <w:tcPr>
            <w:tcW w:w="960" w:type="dxa"/>
            <w:tcBorders>
              <w:top w:val="single" w:sz="8" w:space="0" w:color="FFFFFF"/>
              <w:left w:val="nil"/>
              <w:bottom w:val="single" w:sz="8" w:space="0" w:color="948A54" w:themeColor="background2" w:themeShade="80"/>
              <w:right w:val="nil"/>
            </w:tcBorders>
            <w:shd w:val="clear" w:color="auto" w:fill="C4BC96" w:themeFill="background2" w:themeFillShade="BF"/>
            <w:vAlign w:val="center"/>
            <w:hideMark/>
          </w:tcPr>
          <w:p w14:paraId="72C4C9DF" w14:textId="77777777" w:rsidR="00CF2758" w:rsidRPr="00AF5D05" w:rsidRDefault="00CF2758" w:rsidP="00282B45">
            <w:pPr>
              <w:pStyle w:val="Tabletext"/>
              <w:spacing w:line="250" w:lineRule="exact"/>
              <w:jc w:val="center"/>
              <w:rPr>
                <w:b/>
              </w:rPr>
            </w:pPr>
            <w:r w:rsidRPr="00AF5D05">
              <w:rPr>
                <w:b/>
              </w:rPr>
              <w:t>-2,960</w:t>
            </w:r>
          </w:p>
        </w:tc>
        <w:tc>
          <w:tcPr>
            <w:tcW w:w="960" w:type="dxa"/>
            <w:tcBorders>
              <w:top w:val="single" w:sz="8" w:space="0" w:color="FFFFFF"/>
              <w:left w:val="nil"/>
              <w:bottom w:val="single" w:sz="8" w:space="0" w:color="948A54" w:themeColor="background2" w:themeShade="80"/>
              <w:right w:val="single" w:sz="8" w:space="0" w:color="948A54" w:themeColor="background2" w:themeShade="80"/>
            </w:tcBorders>
            <w:shd w:val="clear" w:color="auto" w:fill="C4BC96" w:themeFill="background2" w:themeFillShade="BF"/>
            <w:vAlign w:val="center"/>
            <w:hideMark/>
          </w:tcPr>
          <w:p w14:paraId="0281735D" w14:textId="77777777" w:rsidR="00CF2758" w:rsidRPr="00AF5D05" w:rsidRDefault="00CF2758" w:rsidP="00282B45">
            <w:pPr>
              <w:pStyle w:val="Tabletext"/>
              <w:spacing w:line="250" w:lineRule="exact"/>
              <w:jc w:val="center"/>
              <w:rPr>
                <w:b/>
              </w:rPr>
            </w:pPr>
            <w:r w:rsidRPr="00AF5D05">
              <w:rPr>
                <w:b/>
              </w:rPr>
              <w:t>-5,9</w:t>
            </w:r>
            <w:r w:rsidR="00DA1854">
              <w:rPr>
                <w:b/>
              </w:rPr>
              <w:t>16</w:t>
            </w:r>
          </w:p>
        </w:tc>
      </w:tr>
      <w:tr w:rsidR="00CF2758" w:rsidRPr="00CF2758" w14:paraId="1FD409CC" w14:textId="77777777" w:rsidTr="00282B45">
        <w:trPr>
          <w:trHeight w:val="60"/>
          <w:jc w:val="center"/>
        </w:trPr>
        <w:tc>
          <w:tcPr>
            <w:tcW w:w="6936" w:type="dxa"/>
            <w:tcBorders>
              <w:top w:val="single" w:sz="8" w:space="0" w:color="948A54" w:themeColor="background2" w:themeShade="80"/>
              <w:left w:val="nil"/>
              <w:bottom w:val="nil"/>
              <w:right w:val="nil"/>
            </w:tcBorders>
            <w:noWrap/>
            <w:vAlign w:val="center"/>
            <w:hideMark/>
          </w:tcPr>
          <w:p w14:paraId="40E78257" w14:textId="77777777" w:rsidR="00CF2758" w:rsidRPr="00AF5D05" w:rsidRDefault="00CF2758" w:rsidP="00282B45">
            <w:pPr>
              <w:pStyle w:val="Tabletext"/>
              <w:spacing w:line="250" w:lineRule="exact"/>
              <w:rPr>
                <w:b/>
              </w:rPr>
            </w:pPr>
          </w:p>
        </w:tc>
        <w:tc>
          <w:tcPr>
            <w:tcW w:w="960" w:type="dxa"/>
            <w:tcBorders>
              <w:top w:val="single" w:sz="8" w:space="0" w:color="948A54" w:themeColor="background2" w:themeShade="80"/>
              <w:left w:val="nil"/>
              <w:bottom w:val="nil"/>
              <w:right w:val="nil"/>
            </w:tcBorders>
            <w:noWrap/>
            <w:vAlign w:val="center"/>
            <w:hideMark/>
          </w:tcPr>
          <w:p w14:paraId="0C800E16" w14:textId="77777777" w:rsidR="00CF2758" w:rsidRPr="00AF5D05" w:rsidRDefault="00CF2758" w:rsidP="00282B45">
            <w:pPr>
              <w:pStyle w:val="Tabletext"/>
              <w:spacing w:line="250" w:lineRule="exact"/>
              <w:jc w:val="center"/>
              <w:rPr>
                <w:rFonts w:ascii="Times New Roman" w:hAnsi="Times New Roman" w:cs="Times New Roman"/>
                <w:b/>
                <w:sz w:val="20"/>
                <w:szCs w:val="20"/>
              </w:rPr>
            </w:pPr>
          </w:p>
        </w:tc>
        <w:tc>
          <w:tcPr>
            <w:tcW w:w="960" w:type="dxa"/>
            <w:tcBorders>
              <w:top w:val="single" w:sz="8" w:space="0" w:color="948A54" w:themeColor="background2" w:themeShade="80"/>
              <w:left w:val="nil"/>
              <w:bottom w:val="nil"/>
              <w:right w:val="nil"/>
            </w:tcBorders>
            <w:noWrap/>
            <w:vAlign w:val="center"/>
            <w:hideMark/>
          </w:tcPr>
          <w:p w14:paraId="27A92A99" w14:textId="77777777" w:rsidR="00CF2758" w:rsidRPr="00AF5D05" w:rsidRDefault="00CF2758" w:rsidP="00282B45">
            <w:pPr>
              <w:pStyle w:val="Tabletext"/>
              <w:spacing w:line="250" w:lineRule="exact"/>
              <w:jc w:val="center"/>
              <w:rPr>
                <w:rFonts w:ascii="Times New Roman" w:hAnsi="Times New Roman" w:cs="Times New Roman"/>
                <w:b/>
                <w:sz w:val="20"/>
                <w:szCs w:val="20"/>
              </w:rPr>
            </w:pPr>
          </w:p>
        </w:tc>
      </w:tr>
      <w:tr w:rsidR="00CF2758" w:rsidRPr="00CF2758" w14:paraId="10DEA8B8" w14:textId="77777777" w:rsidTr="00DE2FF9">
        <w:trPr>
          <w:trHeight w:val="284"/>
          <w:jc w:val="center"/>
        </w:trPr>
        <w:tc>
          <w:tcPr>
            <w:tcW w:w="6936" w:type="dxa"/>
            <w:tcBorders>
              <w:top w:val="nil"/>
              <w:left w:val="nil"/>
              <w:bottom w:val="single" w:sz="12" w:space="0" w:color="4F81BD"/>
              <w:right w:val="nil"/>
            </w:tcBorders>
            <w:shd w:val="clear" w:color="auto" w:fill="DAEEF3" w:themeFill="accent5" w:themeFillTint="33"/>
            <w:vAlign w:val="center"/>
            <w:hideMark/>
          </w:tcPr>
          <w:p w14:paraId="2488A543" w14:textId="77777777" w:rsidR="00CF2758" w:rsidRPr="00AF5D05" w:rsidRDefault="00CF2758" w:rsidP="00282B45">
            <w:pPr>
              <w:pStyle w:val="Tabletext"/>
              <w:spacing w:line="250" w:lineRule="exact"/>
              <w:rPr>
                <w:b/>
              </w:rPr>
            </w:pPr>
            <w:r w:rsidRPr="00AF5D05">
              <w:rPr>
                <w:b/>
              </w:rPr>
              <w:t>Grand Total (A+B)</w:t>
            </w:r>
          </w:p>
        </w:tc>
        <w:tc>
          <w:tcPr>
            <w:tcW w:w="960" w:type="dxa"/>
            <w:tcBorders>
              <w:top w:val="nil"/>
              <w:left w:val="nil"/>
              <w:bottom w:val="single" w:sz="12" w:space="0" w:color="4F81BD"/>
              <w:right w:val="nil"/>
            </w:tcBorders>
            <w:shd w:val="clear" w:color="auto" w:fill="DAEEF3" w:themeFill="accent5" w:themeFillTint="33"/>
            <w:vAlign w:val="center"/>
            <w:hideMark/>
          </w:tcPr>
          <w:p w14:paraId="2938C020" w14:textId="77777777" w:rsidR="00CF2758" w:rsidRPr="00AF5D05" w:rsidRDefault="00CF2758" w:rsidP="00282B45">
            <w:pPr>
              <w:pStyle w:val="Tabletext"/>
              <w:spacing w:line="250" w:lineRule="exact"/>
              <w:jc w:val="center"/>
              <w:rPr>
                <w:b/>
              </w:rPr>
            </w:pPr>
            <w:r w:rsidRPr="00AF5D05">
              <w:rPr>
                <w:b/>
              </w:rPr>
              <w:t>-2,960</w:t>
            </w:r>
          </w:p>
        </w:tc>
        <w:tc>
          <w:tcPr>
            <w:tcW w:w="960" w:type="dxa"/>
            <w:tcBorders>
              <w:top w:val="nil"/>
              <w:left w:val="nil"/>
              <w:bottom w:val="single" w:sz="12" w:space="0" w:color="4F81BD"/>
              <w:right w:val="nil"/>
            </w:tcBorders>
            <w:shd w:val="clear" w:color="auto" w:fill="DAEEF3" w:themeFill="accent5" w:themeFillTint="33"/>
            <w:vAlign w:val="center"/>
            <w:hideMark/>
          </w:tcPr>
          <w:p w14:paraId="012F5BBA" w14:textId="77777777" w:rsidR="00CF2758" w:rsidRPr="00AF5D05" w:rsidRDefault="00CF2758" w:rsidP="00282B45">
            <w:pPr>
              <w:pStyle w:val="Tabletext"/>
              <w:spacing w:line="250" w:lineRule="exact"/>
              <w:jc w:val="center"/>
              <w:rPr>
                <w:b/>
              </w:rPr>
            </w:pPr>
            <w:r w:rsidRPr="00AF5D05">
              <w:rPr>
                <w:b/>
              </w:rPr>
              <w:t>-6,6</w:t>
            </w:r>
            <w:r w:rsidR="00DA1854">
              <w:rPr>
                <w:b/>
              </w:rPr>
              <w:t>98</w:t>
            </w:r>
          </w:p>
        </w:tc>
      </w:tr>
    </w:tbl>
    <w:p w14:paraId="48FB4C86" w14:textId="77777777" w:rsidR="00282B45" w:rsidRDefault="00282B45" w:rsidP="00AF5D05">
      <w:pPr>
        <w:pStyle w:val="mesotitlos"/>
      </w:pPr>
    </w:p>
    <w:p w14:paraId="6BB38010" w14:textId="77777777" w:rsidR="00AF5D05" w:rsidRPr="00E03AFB" w:rsidRDefault="00AF5D05" w:rsidP="00897B1E">
      <w:pPr>
        <w:pStyle w:val="mesotitlos"/>
        <w:spacing w:before="120" w:after="60" w:line="270" w:lineRule="exact"/>
      </w:pPr>
      <w:r w:rsidRPr="00E03AFB">
        <w:lastRenderedPageBreak/>
        <w:t xml:space="preserve">Tax reform </w:t>
      </w:r>
    </w:p>
    <w:p w14:paraId="6044E3FD" w14:textId="77777777" w:rsidR="00AF5D05" w:rsidRDefault="00AF5D05" w:rsidP="00AF5D05">
      <w:pPr>
        <w:rPr>
          <w:lang w:val="en-US"/>
        </w:rPr>
      </w:pPr>
      <w:r>
        <w:rPr>
          <w:lang w:val="en-US"/>
        </w:rPr>
        <w:t>Specifically, the reform of the income tax scale include</w:t>
      </w:r>
      <w:r w:rsidR="002C104D">
        <w:rPr>
          <w:lang w:val="en-US"/>
        </w:rPr>
        <w:t>d</w:t>
      </w:r>
      <w:r>
        <w:rPr>
          <w:lang w:val="en-US"/>
        </w:rPr>
        <w:t xml:space="preserve"> the following:</w:t>
      </w:r>
    </w:p>
    <w:p w14:paraId="4DEB5C9E" w14:textId="77777777" w:rsidR="00AF5D05" w:rsidRPr="00E03AFB" w:rsidRDefault="00AF5D05" w:rsidP="00AF5D05">
      <w:pPr>
        <w:pStyle w:val="ListParagraph"/>
        <w:numPr>
          <w:ilvl w:val="0"/>
          <w:numId w:val="35"/>
        </w:numPr>
        <w:rPr>
          <w:lang w:val="en-US"/>
        </w:rPr>
      </w:pPr>
      <w:r w:rsidRPr="00E03AFB">
        <w:rPr>
          <w:lang w:val="en-US"/>
        </w:rPr>
        <w:t xml:space="preserve">The reduction of tax rates by 2% for income between €10,000 and €40,000; </w:t>
      </w:r>
    </w:p>
    <w:p w14:paraId="594CEEF7" w14:textId="77777777" w:rsidR="00AF5D05" w:rsidRPr="00E03AFB" w:rsidRDefault="00AF5D05" w:rsidP="00AF5D05">
      <w:pPr>
        <w:pStyle w:val="ListParagraph"/>
        <w:numPr>
          <w:ilvl w:val="0"/>
          <w:numId w:val="35"/>
        </w:numPr>
        <w:rPr>
          <w:lang w:val="en-US"/>
        </w:rPr>
      </w:pPr>
      <w:r w:rsidRPr="00E03AFB">
        <w:rPr>
          <w:lang w:val="en-US"/>
        </w:rPr>
        <w:t>the introduction of a new tax bracket with 39% rate (from 44%) for income between €40,000 and €60,000;</w:t>
      </w:r>
    </w:p>
    <w:p w14:paraId="77786433" w14:textId="77777777" w:rsidR="00AF5D05" w:rsidRPr="00E03AFB" w:rsidRDefault="00AF5D05" w:rsidP="00AF5D05">
      <w:pPr>
        <w:pStyle w:val="ListParagraph"/>
        <w:numPr>
          <w:ilvl w:val="0"/>
          <w:numId w:val="35"/>
        </w:numPr>
        <w:rPr>
          <w:lang w:val="en-US"/>
        </w:rPr>
      </w:pPr>
      <w:r w:rsidRPr="00E03AFB">
        <w:rPr>
          <w:lang w:val="en-US"/>
        </w:rPr>
        <w:t xml:space="preserve">the 20% tax rate for income from €10,000 to €20,000, applicable to tax payers without children, is further reduced depending on the number of children, to 18% for individuals with one child, 16% with two children and 9% with three children; </w:t>
      </w:r>
    </w:p>
    <w:p w14:paraId="60A8FD00" w14:textId="77777777" w:rsidR="00AF5D05" w:rsidRPr="00E03AFB" w:rsidRDefault="00AF5D05" w:rsidP="00AF5D05">
      <w:pPr>
        <w:pStyle w:val="ListParagraph"/>
        <w:numPr>
          <w:ilvl w:val="0"/>
          <w:numId w:val="35"/>
        </w:numPr>
        <w:rPr>
          <w:lang w:val="en-US"/>
        </w:rPr>
      </w:pPr>
      <w:r w:rsidRPr="00E03AFB">
        <w:rPr>
          <w:lang w:val="en-US"/>
        </w:rPr>
        <w:t>for taxpayers with four o</w:t>
      </w:r>
      <w:r w:rsidR="002C104D">
        <w:rPr>
          <w:lang w:val="en-US"/>
        </w:rPr>
        <w:t>r</w:t>
      </w:r>
      <w:r w:rsidRPr="00E03AFB">
        <w:rPr>
          <w:lang w:val="en-US"/>
        </w:rPr>
        <w:t xml:space="preserve"> more children, the tax on income up to €20,000 is reduced to zero;</w:t>
      </w:r>
    </w:p>
    <w:p w14:paraId="4DFEC83C" w14:textId="77777777" w:rsidR="00AF5D05" w:rsidRPr="00E03AFB" w:rsidRDefault="00AF5D05" w:rsidP="00AF5D05">
      <w:pPr>
        <w:pStyle w:val="ListParagraph"/>
        <w:numPr>
          <w:ilvl w:val="0"/>
          <w:numId w:val="35"/>
        </w:numPr>
        <w:rPr>
          <w:lang w:val="en-US"/>
        </w:rPr>
      </w:pPr>
      <w:r w:rsidRPr="00E03AFB">
        <w:rPr>
          <w:lang w:val="en-US"/>
        </w:rPr>
        <w:t>the new rate for income from €20,000 to €30,000 (26%), is further reduced by 2 pp for each child;</w:t>
      </w:r>
    </w:p>
    <w:p w14:paraId="42547A77" w14:textId="77777777" w:rsidR="00AF5D05" w:rsidRPr="00E03AFB" w:rsidRDefault="00AF5D05" w:rsidP="00AF5D05">
      <w:pPr>
        <w:pStyle w:val="ListParagraph"/>
        <w:numPr>
          <w:ilvl w:val="0"/>
          <w:numId w:val="35"/>
        </w:numPr>
        <w:rPr>
          <w:lang w:val="en-US"/>
        </w:rPr>
      </w:pPr>
      <w:r w:rsidRPr="00E03AFB">
        <w:rPr>
          <w:lang w:val="en-US"/>
        </w:rPr>
        <w:t>zero taxation for income up to €20,000 for young people up to 25 years old;</w:t>
      </w:r>
    </w:p>
    <w:p w14:paraId="3DEB0AD0" w14:textId="77777777" w:rsidR="00AF5D05" w:rsidRPr="00E03AFB" w:rsidRDefault="00AF5D05" w:rsidP="00AF5D05">
      <w:pPr>
        <w:pStyle w:val="ListParagraph"/>
        <w:numPr>
          <w:ilvl w:val="0"/>
          <w:numId w:val="35"/>
        </w:numPr>
        <w:rPr>
          <w:lang w:val="en-US"/>
        </w:rPr>
      </w:pPr>
      <w:r w:rsidRPr="00E03AFB">
        <w:rPr>
          <w:lang w:val="en-US"/>
        </w:rPr>
        <w:t>reduced tax rate 9% for income from €10,000 to €20,000 for young people aged from 26 to 30 years old.</w:t>
      </w:r>
    </w:p>
    <w:p w14:paraId="7D0A9065" w14:textId="43BEEE0A" w:rsidR="00AF5D05" w:rsidRDefault="00AF5D05" w:rsidP="00AF5D05">
      <w:pPr>
        <w:rPr>
          <w:lang w:val="en-US"/>
        </w:rPr>
      </w:pPr>
      <w:r>
        <w:rPr>
          <w:lang w:val="en-US"/>
        </w:rPr>
        <w:t>The fiscal cost of the personal income tax reform is estimated at €1.2 billion for 2026 and €1.6 billion for 2027 and approximately 4 million taxpayers benefit from the reform.</w:t>
      </w:r>
    </w:p>
    <w:p w14:paraId="195273CC" w14:textId="77777777" w:rsidR="00AF5D05" w:rsidRDefault="00AF5D05" w:rsidP="00897B1E">
      <w:pPr>
        <w:pStyle w:val="mesotitlos"/>
        <w:spacing w:before="120" w:after="60" w:line="270" w:lineRule="exact"/>
      </w:pPr>
      <w:r>
        <w:t>Interventions to strengthen pensioners’ disposable income</w:t>
      </w:r>
    </w:p>
    <w:p w14:paraId="0B310B64" w14:textId="77777777" w:rsidR="00AF5D05" w:rsidRDefault="00AF5D05" w:rsidP="00AF5D05">
      <w:pPr>
        <w:rPr>
          <w:lang w:val="en-US"/>
        </w:rPr>
      </w:pPr>
      <w:r>
        <w:rPr>
          <w:lang w:val="en-US"/>
        </w:rPr>
        <w:t>The interventions implemented during 2025, include</w:t>
      </w:r>
      <w:r w:rsidR="002C104D">
        <w:rPr>
          <w:lang w:val="en-US"/>
        </w:rPr>
        <w:t>d</w:t>
      </w:r>
      <w:r>
        <w:rPr>
          <w:lang w:val="en-US"/>
        </w:rPr>
        <w:t>:</w:t>
      </w:r>
    </w:p>
    <w:p w14:paraId="738EAA3B" w14:textId="77777777" w:rsidR="00AF5D05" w:rsidRPr="00E03AFB" w:rsidRDefault="00AF5D05" w:rsidP="00AF5D05">
      <w:pPr>
        <w:pStyle w:val="ListParagraph"/>
        <w:numPr>
          <w:ilvl w:val="0"/>
          <w:numId w:val="36"/>
        </w:numPr>
        <w:rPr>
          <w:lang w:val="en-US"/>
        </w:rPr>
      </w:pPr>
      <w:r w:rsidRPr="00E03AFB">
        <w:rPr>
          <w:lang w:val="en-US"/>
        </w:rPr>
        <w:t>pension increases by 2.4%, based on the existing indexation rule, with a cost of €4</w:t>
      </w:r>
      <w:r>
        <w:rPr>
          <w:lang w:val="en-US"/>
        </w:rPr>
        <w:t>48</w:t>
      </w:r>
      <w:r w:rsidRPr="00E03AFB">
        <w:rPr>
          <w:lang w:val="en-US"/>
        </w:rPr>
        <w:t xml:space="preserve"> million;</w:t>
      </w:r>
    </w:p>
    <w:p w14:paraId="43258E66" w14:textId="77777777" w:rsidR="00AF5D05" w:rsidRPr="00E03AFB" w:rsidRDefault="00AF5D05" w:rsidP="00AF5D05">
      <w:pPr>
        <w:pStyle w:val="ListParagraph"/>
        <w:numPr>
          <w:ilvl w:val="0"/>
          <w:numId w:val="36"/>
        </w:numPr>
        <w:rPr>
          <w:lang w:val="en-US"/>
        </w:rPr>
      </w:pPr>
      <w:r w:rsidRPr="00E03AFB">
        <w:rPr>
          <w:lang w:val="en-US"/>
        </w:rPr>
        <w:t>the extension of the exemption from pharmaceutical expenses for low-income pensioners;</w:t>
      </w:r>
    </w:p>
    <w:p w14:paraId="12D4A75D" w14:textId="77777777" w:rsidR="00AF5D05" w:rsidRPr="00E03AFB" w:rsidRDefault="00AF5D05" w:rsidP="00AF5D05">
      <w:pPr>
        <w:pStyle w:val="ListParagraph"/>
        <w:numPr>
          <w:ilvl w:val="0"/>
          <w:numId w:val="36"/>
        </w:numPr>
        <w:rPr>
          <w:lang w:val="en-US"/>
        </w:rPr>
      </w:pPr>
      <w:r w:rsidRPr="00E03AFB">
        <w:rPr>
          <w:lang w:val="en-US"/>
        </w:rPr>
        <w:t xml:space="preserve">the permanent social benefit of €250 that was disbursed in November </w:t>
      </w:r>
      <w:r w:rsidR="00043D85">
        <w:rPr>
          <w:lang w:val="en-US"/>
        </w:rPr>
        <w:t>—</w:t>
      </w:r>
      <w:r w:rsidRPr="00E03AFB">
        <w:rPr>
          <w:lang w:val="en-US"/>
        </w:rPr>
        <w:t>based on social criteria</w:t>
      </w:r>
      <w:r w:rsidR="00043D85">
        <w:rPr>
          <w:lang w:val="en-US"/>
        </w:rPr>
        <w:t>—</w:t>
      </w:r>
      <w:r w:rsidRPr="00E03AFB">
        <w:rPr>
          <w:lang w:val="en-US"/>
        </w:rPr>
        <w:t xml:space="preserve"> to pensioners over 65 years old with low-income, to uninsured elderlies and to beneficiaries of disability allowances, with an annual cost of €362 million.  </w:t>
      </w:r>
    </w:p>
    <w:p w14:paraId="03255921" w14:textId="77777777" w:rsidR="00AF5D05" w:rsidRDefault="00AF5D05" w:rsidP="00AF5D05">
      <w:pPr>
        <w:rPr>
          <w:lang w:val="en-US"/>
        </w:rPr>
      </w:pPr>
      <w:r>
        <w:rPr>
          <w:lang w:val="en-US"/>
        </w:rPr>
        <w:t>The new measures for pensioners which are implemented from 2026, in addition to the benefits from the tax reform and the new social benefit that will be increased to €300, include:</w:t>
      </w:r>
    </w:p>
    <w:p w14:paraId="4AD8FF42" w14:textId="77777777" w:rsidR="00AF5D05" w:rsidRPr="00E03AFB" w:rsidRDefault="00AF5D05" w:rsidP="00AF5D05">
      <w:pPr>
        <w:pStyle w:val="ListParagraph"/>
        <w:numPr>
          <w:ilvl w:val="0"/>
          <w:numId w:val="37"/>
        </w:numPr>
        <w:rPr>
          <w:lang w:val="en-US"/>
        </w:rPr>
      </w:pPr>
      <w:r w:rsidRPr="00E03AFB">
        <w:rPr>
          <w:lang w:val="en-US"/>
        </w:rPr>
        <w:t>further pension increases by 2.4%, based on the indexation rule of GDP and inflation;</w:t>
      </w:r>
    </w:p>
    <w:p w14:paraId="01C570A2" w14:textId="77777777" w:rsidR="00AF5D05" w:rsidRPr="00E03AFB" w:rsidRDefault="00AF5D05" w:rsidP="00AF5D05">
      <w:pPr>
        <w:pStyle w:val="ListParagraph"/>
        <w:numPr>
          <w:ilvl w:val="0"/>
          <w:numId w:val="37"/>
        </w:numPr>
        <w:rPr>
          <w:lang w:val="en-US"/>
        </w:rPr>
      </w:pPr>
      <w:r w:rsidRPr="00E03AFB">
        <w:rPr>
          <w:rStyle w:val="rynqvb"/>
          <w:lang w:val="en-US"/>
        </w:rPr>
        <w:t>the gradual elimination of the pensioners’ personal difference offset.</w:t>
      </w:r>
      <w:r w:rsidRPr="00E03AFB">
        <w:rPr>
          <w:lang w:val="en-US"/>
        </w:rPr>
        <w:t xml:space="preserve"> Approximately 671,000 pensioners are estimated to benefit from this measure.</w:t>
      </w:r>
    </w:p>
    <w:p w14:paraId="0E7E9F51" w14:textId="77777777" w:rsidR="00AF5D05" w:rsidRDefault="00AF5D05" w:rsidP="00AF5D05">
      <w:pPr>
        <w:rPr>
          <w:lang w:val="en-US"/>
        </w:rPr>
      </w:pPr>
      <w:r>
        <w:rPr>
          <w:lang w:val="en-US"/>
        </w:rPr>
        <w:t>The total cost of the two above interventions is estimated at €0.6 billion for 2026.</w:t>
      </w:r>
    </w:p>
    <w:p w14:paraId="2AB29D34" w14:textId="77777777" w:rsidR="00AF5D05" w:rsidRDefault="00AF5D05" w:rsidP="00897B1E">
      <w:pPr>
        <w:pStyle w:val="mesotitlos"/>
        <w:spacing w:before="120" w:after="60" w:line="270" w:lineRule="exact"/>
      </w:pPr>
      <w:r>
        <w:t>Interventions to strengthen public sector employees’ disposable income</w:t>
      </w:r>
    </w:p>
    <w:p w14:paraId="214595E8" w14:textId="77777777" w:rsidR="00AF5D05" w:rsidRDefault="00AF5D05" w:rsidP="00AF5D05">
      <w:pPr>
        <w:rPr>
          <w:rFonts w:eastAsia="Times New Roman"/>
          <w:lang w:val="en-US"/>
        </w:rPr>
      </w:pPr>
      <w:r>
        <w:rPr>
          <w:lang w:val="en-US"/>
        </w:rPr>
        <w:t>During 2025, the following measures were implemented:</w:t>
      </w:r>
    </w:p>
    <w:p w14:paraId="059499BC" w14:textId="77777777" w:rsidR="00AF5D05" w:rsidRDefault="00AF5D05" w:rsidP="00AF5D05">
      <w:pPr>
        <w:pStyle w:val="ListParagraph"/>
        <w:numPr>
          <w:ilvl w:val="0"/>
          <w:numId w:val="21"/>
        </w:numPr>
        <w:spacing w:after="160"/>
        <w:rPr>
          <w:lang w:val="en-US"/>
        </w:rPr>
      </w:pPr>
      <w:r>
        <w:rPr>
          <w:lang w:val="en-US"/>
        </w:rPr>
        <w:t>The establishment of an annual horizontal increase in the public sector wages, linked to the adjustment of the minimum wage, with a cost amounting to €215 million for 2025;</w:t>
      </w:r>
    </w:p>
    <w:p w14:paraId="30DA7A78" w14:textId="77777777" w:rsidR="00AF5D05" w:rsidRDefault="00AF5D05" w:rsidP="00AF5D05">
      <w:pPr>
        <w:pStyle w:val="ListParagraph"/>
        <w:numPr>
          <w:ilvl w:val="0"/>
          <w:numId w:val="21"/>
        </w:numPr>
        <w:spacing w:after="160"/>
        <w:rPr>
          <w:lang w:val="en-US"/>
        </w:rPr>
      </w:pPr>
      <w:r>
        <w:rPr>
          <w:lang w:val="en-US"/>
        </w:rPr>
        <w:lastRenderedPageBreak/>
        <w:t>the decrease in taxation for the overtime compensation of hospital doctors, with a cost of €40 million;</w:t>
      </w:r>
    </w:p>
    <w:p w14:paraId="489917C6" w14:textId="77777777" w:rsidR="00AF5D05" w:rsidRDefault="00AF5D05" w:rsidP="00AF5D05">
      <w:pPr>
        <w:pStyle w:val="ListParagraph"/>
        <w:numPr>
          <w:ilvl w:val="0"/>
          <w:numId w:val="21"/>
        </w:numPr>
        <w:spacing w:after="160"/>
        <w:rPr>
          <w:lang w:val="en-US"/>
        </w:rPr>
      </w:pPr>
      <w:r>
        <w:rPr>
          <w:lang w:val="en-US"/>
        </w:rPr>
        <w:t>the reduction of social security contributions by one (1) pp for public sector employees, with a cost of €83 million;</w:t>
      </w:r>
    </w:p>
    <w:p w14:paraId="3431DA07" w14:textId="77777777" w:rsidR="00AF5D05" w:rsidRDefault="00AF5D05" w:rsidP="00AF5D05">
      <w:pPr>
        <w:pStyle w:val="ListParagraph"/>
        <w:numPr>
          <w:ilvl w:val="0"/>
          <w:numId w:val="21"/>
        </w:numPr>
        <w:spacing w:after="160"/>
        <w:rPr>
          <w:lang w:val="en-US"/>
        </w:rPr>
      </w:pPr>
      <w:r>
        <w:rPr>
          <w:lang w:val="en-US"/>
        </w:rPr>
        <w:t>the complete or partial abolition of the “personal difference” offsetting, in the wage evolution of public sector employees, with an annual cost of €12 million, increasing by €5 million per year;</w:t>
      </w:r>
    </w:p>
    <w:p w14:paraId="778602E0" w14:textId="77777777" w:rsidR="00AF5D05" w:rsidRDefault="00AF5D05" w:rsidP="00AF5D05">
      <w:pPr>
        <w:pStyle w:val="ListParagraph"/>
        <w:numPr>
          <w:ilvl w:val="0"/>
          <w:numId w:val="21"/>
        </w:numPr>
        <w:spacing w:after="160"/>
        <w:rPr>
          <w:lang w:val="en-US"/>
        </w:rPr>
      </w:pPr>
      <w:r>
        <w:rPr>
          <w:lang w:val="en-US"/>
        </w:rPr>
        <w:t>the increase of the bonus based on performance and quantifiable targets</w:t>
      </w:r>
      <w:r w:rsidR="002C104D">
        <w:rPr>
          <w:lang w:val="en-US"/>
        </w:rPr>
        <w:t xml:space="preserve"> in the public sector</w:t>
      </w:r>
      <w:r>
        <w:rPr>
          <w:lang w:val="en-US"/>
        </w:rPr>
        <w:t>, with an annual cost of €40 million;</w:t>
      </w:r>
    </w:p>
    <w:p w14:paraId="6B293E63" w14:textId="77777777" w:rsidR="00AF5D05" w:rsidRDefault="00AF5D05" w:rsidP="00AF5D05">
      <w:pPr>
        <w:pStyle w:val="ListParagraph"/>
        <w:numPr>
          <w:ilvl w:val="0"/>
          <w:numId w:val="21"/>
        </w:numPr>
        <w:spacing w:after="160"/>
        <w:rPr>
          <w:lang w:val="en-US"/>
        </w:rPr>
      </w:pPr>
      <w:r>
        <w:rPr>
          <w:lang w:val="en-US"/>
        </w:rPr>
        <w:t>the increase of the compensation of nightshifts for police, fire brigade, coast guard and military personnel, with an annual cost of €25 million;</w:t>
      </w:r>
    </w:p>
    <w:p w14:paraId="284B5547" w14:textId="77777777" w:rsidR="00AF5D05" w:rsidRDefault="00AF5D05" w:rsidP="00AF5D05">
      <w:pPr>
        <w:pStyle w:val="ListParagraph"/>
        <w:numPr>
          <w:ilvl w:val="0"/>
          <w:numId w:val="21"/>
        </w:numPr>
        <w:spacing w:after="160"/>
        <w:rPr>
          <w:lang w:val="en-US"/>
        </w:rPr>
      </w:pPr>
      <w:r>
        <w:rPr>
          <w:lang w:val="en-US"/>
        </w:rPr>
        <w:t>the introduction of a hazardous allowance of €100 per month for the Armed and Security Forces personnel, with an estimated total cost of €111 million for 2025 and €222 million for 2026.</w:t>
      </w:r>
    </w:p>
    <w:p w14:paraId="6D133B43" w14:textId="0EBEC895" w:rsidR="00AF5D05" w:rsidRDefault="00AF5D05" w:rsidP="00AF5D05">
      <w:pPr>
        <w:rPr>
          <w:lang w:val="en-US"/>
        </w:rPr>
      </w:pPr>
      <w:r>
        <w:rPr>
          <w:lang w:val="en-US"/>
        </w:rPr>
        <w:t>For 2026, in addition to the benefits of the public sector employees from the tax reform, the following interventions amounting to €613 million apply:</w:t>
      </w:r>
    </w:p>
    <w:p w14:paraId="15D57B91" w14:textId="77777777" w:rsidR="00AF5D05" w:rsidRDefault="00AF5D05" w:rsidP="00AF5D05">
      <w:pPr>
        <w:pStyle w:val="ListParagraph"/>
        <w:numPr>
          <w:ilvl w:val="0"/>
          <w:numId w:val="22"/>
        </w:numPr>
        <w:spacing w:after="160"/>
        <w:rPr>
          <w:lang w:val="en-US"/>
        </w:rPr>
      </w:pPr>
      <w:r>
        <w:rPr>
          <w:lang w:val="en-US"/>
        </w:rPr>
        <w:t>Horizontal wage increases as of April 2026, in line with the adjustment of the minimum wage, with an estimated cost of approximately €358 million;</w:t>
      </w:r>
    </w:p>
    <w:p w14:paraId="39F237D4" w14:textId="77777777" w:rsidR="00AF5D05" w:rsidRDefault="00AF5D05" w:rsidP="00AF5D05">
      <w:pPr>
        <w:pStyle w:val="ListParagraph"/>
        <w:numPr>
          <w:ilvl w:val="0"/>
          <w:numId w:val="22"/>
        </w:numPr>
        <w:spacing w:after="160"/>
        <w:rPr>
          <w:lang w:val="en-US"/>
        </w:rPr>
      </w:pPr>
      <w:r>
        <w:rPr>
          <w:lang w:val="en-US"/>
        </w:rPr>
        <w:t xml:space="preserve">reform of the wage grid of the Armed Forces, with wage increases effective from October 2025, with an annual cost of €162 million (net cost of €85 million after the restructuring of the Armed Forces’ </w:t>
      </w:r>
      <w:proofErr w:type="spellStart"/>
      <w:r>
        <w:rPr>
          <w:lang w:val="en-US"/>
        </w:rPr>
        <w:t>organisational</w:t>
      </w:r>
      <w:proofErr w:type="spellEnd"/>
      <w:r>
        <w:rPr>
          <w:lang w:val="en-US"/>
        </w:rPr>
        <w:t xml:space="preserve"> structure) and of the Security Corps (Hellenic Police, Fire Brigade, Hellenic Coast Guard), with an annual cost of €127 million;</w:t>
      </w:r>
    </w:p>
    <w:p w14:paraId="1C5484CD" w14:textId="77777777" w:rsidR="00AF5D05" w:rsidRDefault="00AF5D05" w:rsidP="00AF5D05">
      <w:pPr>
        <w:pStyle w:val="ListParagraph"/>
        <w:numPr>
          <w:ilvl w:val="0"/>
          <w:numId w:val="22"/>
        </w:numPr>
        <w:spacing w:after="160"/>
        <w:rPr>
          <w:lang w:val="en-US"/>
        </w:rPr>
      </w:pPr>
      <w:r>
        <w:rPr>
          <w:lang w:val="en-US"/>
        </w:rPr>
        <w:t>increases in the foreign service allowance, the special duties allowance and the reimbursement of tuition fees for the children of Ministry of Foreign Affairs staff, with an annual cost of €30 million;</w:t>
      </w:r>
    </w:p>
    <w:p w14:paraId="71777C91" w14:textId="77777777" w:rsidR="00AF5D05" w:rsidRDefault="00AF5D05" w:rsidP="00AF5D05">
      <w:pPr>
        <w:pStyle w:val="ListParagraph"/>
        <w:numPr>
          <w:ilvl w:val="0"/>
          <w:numId w:val="22"/>
        </w:numPr>
        <w:spacing w:after="160"/>
        <w:rPr>
          <w:lang w:val="en-US"/>
        </w:rPr>
      </w:pPr>
      <w:r>
        <w:rPr>
          <w:lang w:val="en-US"/>
        </w:rPr>
        <w:t>wage increase for graduates of Polytechnic and other University Schools offering a five-year programme of studies, with a cost of €7 million;</w:t>
      </w:r>
    </w:p>
    <w:p w14:paraId="0FF2CD8D" w14:textId="77777777" w:rsidR="00AF5D05" w:rsidRDefault="00AF5D05" w:rsidP="00AF5D05">
      <w:pPr>
        <w:pStyle w:val="ListParagraph"/>
        <w:numPr>
          <w:ilvl w:val="0"/>
          <w:numId w:val="22"/>
        </w:numPr>
        <w:spacing w:after="160"/>
        <w:rPr>
          <w:lang w:val="en-US"/>
        </w:rPr>
      </w:pPr>
      <w:r>
        <w:rPr>
          <w:lang w:val="en-US"/>
        </w:rPr>
        <w:t>introduction of a tax exemption for the academic library allowance of faculty members and researchers, with an annual cost of approximately €6 million.</w:t>
      </w:r>
    </w:p>
    <w:p w14:paraId="70C44BE6" w14:textId="77777777" w:rsidR="00AF5D05" w:rsidRDefault="00AF5D05" w:rsidP="00897B1E">
      <w:pPr>
        <w:pStyle w:val="mesotitlos"/>
        <w:spacing w:before="120" w:after="60" w:line="270" w:lineRule="exact"/>
      </w:pPr>
      <w:r>
        <w:t>Interventions to address housing needs</w:t>
      </w:r>
    </w:p>
    <w:p w14:paraId="35A0A0CE" w14:textId="77777777" w:rsidR="00AF5D05" w:rsidRDefault="00AF5D05" w:rsidP="00AF5D05">
      <w:pPr>
        <w:rPr>
          <w:rFonts w:eastAsia="Times New Roman"/>
          <w:lang w:val="en-US"/>
        </w:rPr>
      </w:pPr>
      <w:r>
        <w:rPr>
          <w:lang w:val="en-US"/>
        </w:rPr>
        <w:t>The following measures were implemented during 2025:</w:t>
      </w:r>
    </w:p>
    <w:p w14:paraId="6E45C830" w14:textId="77777777" w:rsidR="00AF5D05" w:rsidRPr="00E03AFB" w:rsidRDefault="00AF5D05" w:rsidP="00AF5D05">
      <w:pPr>
        <w:pStyle w:val="ListParagraph"/>
        <w:numPr>
          <w:ilvl w:val="0"/>
          <w:numId w:val="38"/>
        </w:numPr>
        <w:rPr>
          <w:lang w:val="en-US"/>
        </w:rPr>
      </w:pPr>
      <w:r w:rsidRPr="00E03AFB">
        <w:rPr>
          <w:lang w:val="en-US"/>
        </w:rPr>
        <w:t>The launch of the new “My Home II” programme, that provides low-interest housing loans, with a total budget of €2 billion, including broader age and income eligibility criteria compared to the initial “My Home” scheme;</w:t>
      </w:r>
    </w:p>
    <w:p w14:paraId="061DD2FA" w14:textId="77777777" w:rsidR="00AF5D05" w:rsidRPr="00E03AFB" w:rsidRDefault="00AF5D05" w:rsidP="00AF5D05">
      <w:pPr>
        <w:pStyle w:val="ListParagraph"/>
        <w:numPr>
          <w:ilvl w:val="0"/>
          <w:numId w:val="38"/>
        </w:numPr>
        <w:rPr>
          <w:lang w:val="en-US"/>
        </w:rPr>
      </w:pPr>
      <w:r w:rsidRPr="00E03AFB">
        <w:rPr>
          <w:lang w:val="en-US"/>
        </w:rPr>
        <w:t>income tax exemption for three years on rents for properties that will be converted to long term rental, from being vacant or on a short-term lease;</w:t>
      </w:r>
    </w:p>
    <w:p w14:paraId="413365E9" w14:textId="77777777" w:rsidR="00AF5D05" w:rsidRPr="00E03AFB" w:rsidRDefault="00AF5D05" w:rsidP="00AF5D05">
      <w:pPr>
        <w:pStyle w:val="ListParagraph"/>
        <w:numPr>
          <w:ilvl w:val="0"/>
          <w:numId w:val="38"/>
        </w:numPr>
        <w:rPr>
          <w:lang w:val="en-US"/>
        </w:rPr>
      </w:pPr>
      <w:r w:rsidRPr="00E03AFB">
        <w:rPr>
          <w:lang w:val="en-US"/>
        </w:rPr>
        <w:t>the suspension of new property registrations for short-term rentals in the central districts of Athens (1st, 2nd, and 3rd municipal districts) for 2025;</w:t>
      </w:r>
    </w:p>
    <w:p w14:paraId="6BD9721C" w14:textId="77777777" w:rsidR="00AF5D05" w:rsidRPr="00E03AFB" w:rsidRDefault="00AF5D05" w:rsidP="00AF5D05">
      <w:pPr>
        <w:pStyle w:val="ListParagraph"/>
        <w:numPr>
          <w:ilvl w:val="0"/>
          <w:numId w:val="38"/>
        </w:numPr>
        <w:rPr>
          <w:lang w:val="en-US"/>
        </w:rPr>
      </w:pPr>
      <w:r w:rsidRPr="00E03AFB">
        <w:rPr>
          <w:lang w:val="en-US"/>
        </w:rPr>
        <w:t>the increase of the climate resilience levy for short-term rentals;</w:t>
      </w:r>
    </w:p>
    <w:p w14:paraId="0FFB8D8B" w14:textId="77777777" w:rsidR="00AF5D05" w:rsidRPr="00E03AFB" w:rsidRDefault="00AF5D05" w:rsidP="00AF5D05">
      <w:pPr>
        <w:pStyle w:val="ListParagraph"/>
        <w:numPr>
          <w:ilvl w:val="0"/>
          <w:numId w:val="38"/>
        </w:numPr>
        <w:rPr>
          <w:lang w:val="en-US"/>
        </w:rPr>
      </w:pPr>
      <w:r w:rsidRPr="00E03AFB">
        <w:rPr>
          <w:lang w:val="en-US"/>
        </w:rPr>
        <w:t>the doubling of the maximum subsidy of the “Renovate-Rent” programme;</w:t>
      </w:r>
    </w:p>
    <w:p w14:paraId="4071BA3B" w14:textId="77777777" w:rsidR="00AF5D05" w:rsidRPr="00E03AFB" w:rsidRDefault="00AF5D05" w:rsidP="00AF5D05">
      <w:pPr>
        <w:pStyle w:val="ListParagraph"/>
        <w:numPr>
          <w:ilvl w:val="0"/>
          <w:numId w:val="38"/>
        </w:numPr>
        <w:rPr>
          <w:lang w:val="en-US"/>
        </w:rPr>
      </w:pPr>
      <w:r w:rsidRPr="00E03AFB">
        <w:rPr>
          <w:lang w:val="en-US"/>
        </w:rPr>
        <w:lastRenderedPageBreak/>
        <w:t>the annual refund, as of November 2025, of one month’s rent to eligible tenants (for main and for student residences), based on income and property criteria, covering approximately 80% of total tenants, with an annual cost of €2</w:t>
      </w:r>
      <w:r>
        <w:rPr>
          <w:lang w:val="en-US"/>
        </w:rPr>
        <w:t>00</w:t>
      </w:r>
      <w:r w:rsidRPr="00E03AFB">
        <w:rPr>
          <w:lang w:val="en-US"/>
        </w:rPr>
        <w:t xml:space="preserve"> million</w:t>
      </w:r>
      <w:r>
        <w:rPr>
          <w:lang w:val="en-US"/>
        </w:rPr>
        <w:t>.</w:t>
      </w:r>
    </w:p>
    <w:p w14:paraId="66022DC4" w14:textId="77777777" w:rsidR="00AF5D05" w:rsidRDefault="00AF5D05" w:rsidP="00AF5D05">
      <w:pPr>
        <w:rPr>
          <w:lang w:val="en-US"/>
        </w:rPr>
      </w:pPr>
      <w:r>
        <w:rPr>
          <w:lang w:val="en-US"/>
        </w:rPr>
        <w:t>For 2026, the new housing interventions include:</w:t>
      </w:r>
    </w:p>
    <w:p w14:paraId="7CA2AB37" w14:textId="77777777" w:rsidR="00AF5D05" w:rsidRDefault="00AF5D05" w:rsidP="00AF5D05">
      <w:pPr>
        <w:pStyle w:val="ListParagraph"/>
        <w:numPr>
          <w:ilvl w:val="0"/>
          <w:numId w:val="24"/>
        </w:numPr>
        <w:spacing w:before="120" w:after="160"/>
        <w:ind w:left="714" w:hanging="357"/>
        <w:rPr>
          <w:lang w:val="en-US"/>
        </w:rPr>
      </w:pPr>
      <w:r>
        <w:rPr>
          <w:lang w:val="en-US"/>
        </w:rPr>
        <w:t xml:space="preserve">The extension, for 2026, of the three-year income tax exemption for vacant properties to be made available for long-term leasing, with a cost of €10 million for 2026 and €19 million for 2027; </w:t>
      </w:r>
    </w:p>
    <w:p w14:paraId="078F5638" w14:textId="77777777" w:rsidR="00AF5D05" w:rsidRDefault="00AF5D05" w:rsidP="00AF5D05">
      <w:pPr>
        <w:pStyle w:val="ListParagraph"/>
        <w:numPr>
          <w:ilvl w:val="0"/>
          <w:numId w:val="24"/>
        </w:numPr>
        <w:spacing w:before="120" w:after="160"/>
        <w:ind w:left="714" w:hanging="357"/>
        <w:rPr>
          <w:lang w:val="en-US"/>
        </w:rPr>
      </w:pPr>
      <w:r>
        <w:rPr>
          <w:lang w:val="en-US"/>
        </w:rPr>
        <w:t>the introduction, from 2026, of an intermediate income tax rate of 25% (reduced from 35%) for rental income between €12,000 and €24,000. This measure is expected to benefit approximately 161,000 property owners, to contribute to improved tax compliance, and to help contain rental prices. The estimated fiscal cost is €90 million per year;</w:t>
      </w:r>
    </w:p>
    <w:p w14:paraId="20EB51ED" w14:textId="77777777" w:rsidR="00AF5D05" w:rsidRDefault="00AF5D05" w:rsidP="00AF5D05">
      <w:pPr>
        <w:pStyle w:val="ListParagraph"/>
        <w:numPr>
          <w:ilvl w:val="0"/>
          <w:numId w:val="24"/>
        </w:numPr>
        <w:spacing w:after="160"/>
        <w:rPr>
          <w:lang w:val="en-US"/>
        </w:rPr>
      </w:pPr>
      <w:r>
        <w:rPr>
          <w:lang w:val="en-US"/>
        </w:rPr>
        <w:t>the extension of the suspension of VAT on new buildings until the end of 2026, with an annual cost of €18 million;</w:t>
      </w:r>
    </w:p>
    <w:p w14:paraId="7EB2B1AF" w14:textId="77777777" w:rsidR="00AF5D05" w:rsidRDefault="00AF5D05" w:rsidP="00AF5D05">
      <w:pPr>
        <w:pStyle w:val="ListParagraph"/>
        <w:numPr>
          <w:ilvl w:val="0"/>
          <w:numId w:val="24"/>
        </w:numPr>
        <w:spacing w:after="160"/>
        <w:rPr>
          <w:lang w:val="en-US"/>
        </w:rPr>
      </w:pPr>
      <w:r>
        <w:rPr>
          <w:lang w:val="en-US"/>
        </w:rPr>
        <w:t>the extension of the income tax reduction for building renovation expenses for 2025 and 2026, with an estimated cost of €5 million;</w:t>
      </w:r>
    </w:p>
    <w:p w14:paraId="28577672" w14:textId="77777777" w:rsidR="00AF5D05" w:rsidRDefault="00AF5D05" w:rsidP="00AF5D05">
      <w:pPr>
        <w:pStyle w:val="ListParagraph"/>
        <w:numPr>
          <w:ilvl w:val="0"/>
          <w:numId w:val="24"/>
        </w:numPr>
        <w:spacing w:after="160"/>
        <w:rPr>
          <w:lang w:val="en-US"/>
        </w:rPr>
      </w:pPr>
      <w:r>
        <w:rPr>
          <w:lang w:val="en-US"/>
        </w:rPr>
        <w:t>the continuation of the restriction on new short-term rentals in the three specific districts of central Athens for 2026;</w:t>
      </w:r>
    </w:p>
    <w:p w14:paraId="3E67AE3C" w14:textId="77777777" w:rsidR="00AF5D05" w:rsidRPr="0067779F" w:rsidRDefault="00AF5D05" w:rsidP="0067779F">
      <w:pPr>
        <w:pStyle w:val="ListParagraph"/>
        <w:numPr>
          <w:ilvl w:val="0"/>
          <w:numId w:val="24"/>
        </w:numPr>
        <w:spacing w:after="160"/>
        <w:rPr>
          <w:lang w:val="en-US"/>
        </w:rPr>
      </w:pPr>
      <w:r>
        <w:rPr>
          <w:lang w:val="en-US"/>
        </w:rPr>
        <w:t xml:space="preserve">the establishment of a new framework for the </w:t>
      </w:r>
      <w:proofErr w:type="spellStart"/>
      <w:r>
        <w:rPr>
          <w:lang w:val="en-US"/>
        </w:rPr>
        <w:t>utilisation</w:t>
      </w:r>
      <w:proofErr w:type="spellEnd"/>
      <w:r>
        <w:rPr>
          <w:lang w:val="en-US"/>
        </w:rPr>
        <w:t xml:space="preserve"> of public real estate to construct social housing, with the aim of ensuring affordable social leases for vulnerable groups of citizens.</w:t>
      </w:r>
    </w:p>
    <w:p w14:paraId="2A93FDD4" w14:textId="77777777" w:rsidR="00AF5D05" w:rsidRDefault="00AF5D05" w:rsidP="00AF5D05">
      <w:pPr>
        <w:pStyle w:val="ListParagraph"/>
        <w:spacing w:after="160"/>
        <w:rPr>
          <w:lang w:val="en-US"/>
        </w:rPr>
      </w:pPr>
    </w:p>
    <w:p w14:paraId="0A7D732E" w14:textId="77777777" w:rsidR="00AF5D05" w:rsidRDefault="00AF5D05" w:rsidP="00897B1E">
      <w:pPr>
        <w:pStyle w:val="mesotitlos"/>
        <w:spacing w:before="120" w:after="60" w:line="270" w:lineRule="exact"/>
      </w:pPr>
      <w:r>
        <w:t>Other tax interventions</w:t>
      </w:r>
    </w:p>
    <w:p w14:paraId="09B851EE" w14:textId="4821B287" w:rsidR="00AF5D05" w:rsidRDefault="00AF5D05" w:rsidP="00AF5D05">
      <w:pPr>
        <w:rPr>
          <w:lang w:val="en-US"/>
        </w:rPr>
      </w:pPr>
      <w:r>
        <w:rPr>
          <w:lang w:val="en-US"/>
        </w:rPr>
        <w:t xml:space="preserve">From 2026, the property tax (ENFIA) </w:t>
      </w:r>
      <w:r w:rsidR="009D02CA">
        <w:rPr>
          <w:lang w:val="en-US"/>
        </w:rPr>
        <w:t>is</w:t>
      </w:r>
      <w:r>
        <w:rPr>
          <w:lang w:val="en-US"/>
        </w:rPr>
        <w:t xml:space="preserve"> reduced by 50%, while from 2027 onwards, the tax will be fully abolished for primary residences located in regions with population of up to 1,500 inhabitants, excluding regions in Attica. Especially for regions in the northern borders of Greece is abolished for up to 1700 inhabitants. The measure concerns approximately one million properties across 12,720 communities (out of a total of 13,586 nationwide), with an annual cost of approximately €75 million. It should be noted that </w:t>
      </w:r>
      <w:proofErr w:type="spellStart"/>
      <w:r>
        <w:rPr>
          <w:lang w:val="en-US"/>
        </w:rPr>
        <w:t>decentralisation</w:t>
      </w:r>
      <w:proofErr w:type="spellEnd"/>
      <w:r>
        <w:rPr>
          <w:lang w:val="en-US"/>
        </w:rPr>
        <w:t xml:space="preserve"> is directly linked to addressing the housing needs, as described above.</w:t>
      </w:r>
    </w:p>
    <w:p w14:paraId="7F2BBCFF" w14:textId="77777777" w:rsidR="00AF5D05" w:rsidRDefault="00AF5D05" w:rsidP="00AF5D05">
      <w:pPr>
        <w:rPr>
          <w:lang w:val="en-US"/>
        </w:rPr>
      </w:pPr>
      <w:r>
        <w:rPr>
          <w:lang w:val="en-US"/>
        </w:rPr>
        <w:t>From January 2026, VAT is reduced by 30% in the islands of the North Aegean Region, the Prefecture of Evros (Samothraki) and the Prefecture of Dodecanese with a population of up to 20,000 inhabitants. The annual fiscal cost of this measure is estimated at €25 million, aiming to support residential and business activity in these areas.</w:t>
      </w:r>
    </w:p>
    <w:p w14:paraId="4BFE82EA" w14:textId="4FCAB9F0" w:rsidR="00AF5D05" w:rsidRDefault="00AF5D05" w:rsidP="00AF5D05">
      <w:pPr>
        <w:rPr>
          <w:lang w:val="en-US"/>
        </w:rPr>
      </w:pPr>
      <w:r>
        <w:rPr>
          <w:lang w:val="en-US"/>
        </w:rPr>
        <w:t xml:space="preserve">In addition, the objective living expenses tax system </w:t>
      </w:r>
      <w:r w:rsidR="009D02CA">
        <w:rPr>
          <w:lang w:val="en-US"/>
        </w:rPr>
        <w:t>has been</w:t>
      </w:r>
      <w:r>
        <w:rPr>
          <w:lang w:val="en-US"/>
        </w:rPr>
        <w:t xml:space="preserve"> reformed, aiming to reduce the tax burden for approximately 477,000 taxpayers, with an annual cost of </w:t>
      </w:r>
      <w:r w:rsidR="00741C54">
        <w:rPr>
          <w:lang w:val="en-US"/>
        </w:rPr>
        <w:t>€</w:t>
      </w:r>
      <w:r>
        <w:rPr>
          <w:lang w:val="en-US"/>
        </w:rPr>
        <w:t>40 million.</w:t>
      </w:r>
    </w:p>
    <w:p w14:paraId="15843597" w14:textId="77777777" w:rsidR="00AF5D05" w:rsidRDefault="00AF5D05" w:rsidP="00897B1E">
      <w:pPr>
        <w:pStyle w:val="mesotitlos"/>
        <w:spacing w:before="120" w:after="60" w:line="270" w:lineRule="exact"/>
      </w:pPr>
      <w:r>
        <w:t>Other Interventions</w:t>
      </w:r>
    </w:p>
    <w:p w14:paraId="0C08AE5C" w14:textId="77777777" w:rsidR="00AF5D05" w:rsidRDefault="00AF5D05" w:rsidP="00AF5D05">
      <w:pPr>
        <w:spacing w:line="276" w:lineRule="auto"/>
        <w:rPr>
          <w:lang w:val="en-US"/>
        </w:rPr>
      </w:pPr>
      <w:r>
        <w:rPr>
          <w:lang w:val="en-US"/>
        </w:rPr>
        <w:t>The additional interventions implemented in 2025 to strengthen disposable income include</w:t>
      </w:r>
      <w:r w:rsidR="002C104D">
        <w:rPr>
          <w:lang w:val="en-US"/>
        </w:rPr>
        <w:t>d</w:t>
      </w:r>
      <w:r>
        <w:rPr>
          <w:lang w:val="en-US"/>
        </w:rPr>
        <w:t>:</w:t>
      </w:r>
    </w:p>
    <w:p w14:paraId="4415C45B" w14:textId="77777777" w:rsidR="00AF5D05" w:rsidRDefault="00AF5D05" w:rsidP="00AF5D05">
      <w:pPr>
        <w:pStyle w:val="ListParagraph"/>
        <w:numPr>
          <w:ilvl w:val="0"/>
          <w:numId w:val="28"/>
        </w:numPr>
        <w:spacing w:after="60" w:line="276" w:lineRule="auto"/>
        <w:rPr>
          <w:lang w:val="en-US"/>
        </w:rPr>
      </w:pPr>
      <w:r>
        <w:rPr>
          <w:lang w:val="en-US"/>
        </w:rPr>
        <w:t>Reduction of social security contributions by one pp;</w:t>
      </w:r>
    </w:p>
    <w:p w14:paraId="121AB519" w14:textId="77777777" w:rsidR="00AF5D05" w:rsidRDefault="00AF5D05" w:rsidP="00AF5D05">
      <w:pPr>
        <w:pStyle w:val="ListParagraph"/>
        <w:numPr>
          <w:ilvl w:val="0"/>
          <w:numId w:val="28"/>
        </w:numPr>
        <w:spacing w:after="60" w:line="276" w:lineRule="auto"/>
        <w:rPr>
          <w:lang w:val="en-US"/>
        </w:rPr>
      </w:pPr>
      <w:r>
        <w:rPr>
          <w:lang w:val="en-US"/>
        </w:rPr>
        <w:lastRenderedPageBreak/>
        <w:t>abolition of the self-employed overhead tax from 2025, following the 50% reduction that took place in 2024;</w:t>
      </w:r>
    </w:p>
    <w:p w14:paraId="25A231FC" w14:textId="77777777" w:rsidR="00AF5D05" w:rsidRDefault="00AF5D05" w:rsidP="00AF5D05">
      <w:pPr>
        <w:pStyle w:val="ListParagraph"/>
        <w:numPr>
          <w:ilvl w:val="0"/>
          <w:numId w:val="28"/>
        </w:numPr>
        <w:spacing w:after="60" w:line="276" w:lineRule="auto"/>
        <w:rPr>
          <w:lang w:val="en-US"/>
        </w:rPr>
      </w:pPr>
      <w:r>
        <w:rPr>
          <w:lang w:val="en-US"/>
        </w:rPr>
        <w:t>return of the special levy on diesel for farmers on a permanent basis, with the establishment of a new system based on actual consumption;</w:t>
      </w:r>
    </w:p>
    <w:p w14:paraId="5A646956" w14:textId="77777777" w:rsidR="00AF5D05" w:rsidRDefault="00AF5D05" w:rsidP="00AF5D05">
      <w:pPr>
        <w:pStyle w:val="ListParagraph"/>
        <w:numPr>
          <w:ilvl w:val="0"/>
          <w:numId w:val="28"/>
        </w:numPr>
        <w:spacing w:after="60" w:line="276" w:lineRule="auto"/>
        <w:rPr>
          <w:lang w:val="en-US"/>
        </w:rPr>
      </w:pPr>
      <w:r>
        <w:rPr>
          <w:lang w:val="en-US"/>
        </w:rPr>
        <w:t>reduction of the digital transaction fee for a range of transactions;</w:t>
      </w:r>
    </w:p>
    <w:p w14:paraId="5929EB72" w14:textId="77777777" w:rsidR="00AF5D05" w:rsidRDefault="00AF5D05" w:rsidP="00AF5D05">
      <w:pPr>
        <w:pStyle w:val="ListParagraph"/>
        <w:numPr>
          <w:ilvl w:val="0"/>
          <w:numId w:val="28"/>
        </w:numPr>
        <w:spacing w:after="60" w:line="276" w:lineRule="auto"/>
        <w:rPr>
          <w:lang w:val="en-US"/>
        </w:rPr>
      </w:pPr>
      <w:r>
        <w:rPr>
          <w:lang w:val="en-US"/>
        </w:rPr>
        <w:t>aboli</w:t>
      </w:r>
      <w:r w:rsidR="002C104D">
        <w:rPr>
          <w:lang w:val="en-US"/>
        </w:rPr>
        <w:t>tion</w:t>
      </w:r>
      <w:r>
        <w:rPr>
          <w:lang w:val="en-US"/>
        </w:rPr>
        <w:t xml:space="preserve"> of the 5% telecommunication fee for fiber-optic connections;</w:t>
      </w:r>
    </w:p>
    <w:p w14:paraId="383A6123" w14:textId="77777777" w:rsidR="00AF5D05" w:rsidRDefault="00AF5D05" w:rsidP="00AF5D05">
      <w:pPr>
        <w:pStyle w:val="ListParagraph"/>
        <w:numPr>
          <w:ilvl w:val="0"/>
          <w:numId w:val="28"/>
        </w:numPr>
        <w:spacing w:after="60" w:line="276" w:lineRule="auto"/>
        <w:rPr>
          <w:lang w:val="en-US"/>
        </w:rPr>
      </w:pPr>
      <w:r>
        <w:rPr>
          <w:lang w:val="en-US"/>
        </w:rPr>
        <w:t>aboli</w:t>
      </w:r>
      <w:r w:rsidR="002C104D">
        <w:rPr>
          <w:lang w:val="en-US"/>
        </w:rPr>
        <w:t>tion</w:t>
      </w:r>
      <w:r>
        <w:rPr>
          <w:lang w:val="en-US"/>
        </w:rPr>
        <w:t xml:space="preserve"> of the 15% insurance levy on private healthcare contracts for children up to 18 years old;</w:t>
      </w:r>
    </w:p>
    <w:p w14:paraId="32AD44B2" w14:textId="77777777" w:rsidR="00AF5D05" w:rsidRDefault="00AF5D05" w:rsidP="00AF5D05">
      <w:pPr>
        <w:pStyle w:val="ListParagraph"/>
        <w:numPr>
          <w:ilvl w:val="0"/>
          <w:numId w:val="28"/>
        </w:numPr>
        <w:spacing w:after="60" w:line="276" w:lineRule="auto"/>
        <w:rPr>
          <w:lang w:val="en-US"/>
        </w:rPr>
      </w:pPr>
      <w:r>
        <w:rPr>
          <w:lang w:val="en-US"/>
        </w:rPr>
        <w:t>tax reliefs for benefits provided voluntarily by employers to new parents;</w:t>
      </w:r>
    </w:p>
    <w:p w14:paraId="3C31375B" w14:textId="77777777" w:rsidR="00AF5D05" w:rsidRDefault="00AF5D05" w:rsidP="00AF5D05">
      <w:pPr>
        <w:pStyle w:val="ListParagraph"/>
        <w:numPr>
          <w:ilvl w:val="0"/>
          <w:numId w:val="28"/>
        </w:numPr>
        <w:spacing w:after="60" w:line="276" w:lineRule="auto"/>
        <w:rPr>
          <w:lang w:val="en-US"/>
        </w:rPr>
      </w:pPr>
      <w:r>
        <w:rPr>
          <w:lang w:val="en-US"/>
        </w:rPr>
        <w:t>incentives to attract doctors in remote and problematic areas;</w:t>
      </w:r>
    </w:p>
    <w:p w14:paraId="47257DF7" w14:textId="77777777" w:rsidR="00AF5D05" w:rsidRDefault="00AF5D05" w:rsidP="00AF5D05">
      <w:pPr>
        <w:pStyle w:val="ListParagraph"/>
        <w:numPr>
          <w:ilvl w:val="0"/>
          <w:numId w:val="28"/>
        </w:numPr>
        <w:spacing w:after="60" w:line="276" w:lineRule="auto"/>
        <w:rPr>
          <w:lang w:val="en-US"/>
        </w:rPr>
      </w:pPr>
      <w:r>
        <w:rPr>
          <w:lang w:val="en-US"/>
        </w:rPr>
        <w:t>increase of student housing allowance in regional universities;</w:t>
      </w:r>
    </w:p>
    <w:p w14:paraId="045E59C1" w14:textId="77777777" w:rsidR="00AF5D05" w:rsidRDefault="00AF5D05" w:rsidP="00AF5D05">
      <w:pPr>
        <w:pStyle w:val="ListParagraph"/>
        <w:numPr>
          <w:ilvl w:val="0"/>
          <w:numId w:val="28"/>
        </w:numPr>
        <w:spacing w:after="60" w:line="276" w:lineRule="auto"/>
        <w:rPr>
          <w:lang w:val="en-US"/>
        </w:rPr>
      </w:pPr>
      <w:r>
        <w:rPr>
          <w:lang w:val="en-US"/>
        </w:rPr>
        <w:t>increase of compensation for students of military academies;</w:t>
      </w:r>
    </w:p>
    <w:p w14:paraId="32A5FF9B" w14:textId="77777777" w:rsidR="00AF5D05" w:rsidRDefault="00AF5D05" w:rsidP="00AF5D05">
      <w:pPr>
        <w:pStyle w:val="ListParagraph"/>
        <w:numPr>
          <w:ilvl w:val="0"/>
          <w:numId w:val="28"/>
        </w:numPr>
        <w:spacing w:after="60" w:line="276" w:lineRule="auto"/>
        <w:rPr>
          <w:lang w:val="en-US"/>
        </w:rPr>
      </w:pPr>
      <w:r>
        <w:rPr>
          <w:lang w:val="en-US"/>
        </w:rPr>
        <w:t>reform of the hazardous and unhealthy work allowance for local governments employees;</w:t>
      </w:r>
    </w:p>
    <w:p w14:paraId="254BA385" w14:textId="77777777" w:rsidR="00AF5D05" w:rsidRDefault="00AF5D05" w:rsidP="00AF5D05">
      <w:pPr>
        <w:pStyle w:val="ListParagraph"/>
        <w:numPr>
          <w:ilvl w:val="0"/>
          <w:numId w:val="28"/>
        </w:numPr>
        <w:spacing w:after="60" w:line="276" w:lineRule="auto"/>
        <w:rPr>
          <w:lang w:val="en-US"/>
        </w:rPr>
      </w:pPr>
      <w:r>
        <w:rPr>
          <w:lang w:val="en-US"/>
        </w:rPr>
        <w:t>reduction of banking fees;</w:t>
      </w:r>
    </w:p>
    <w:p w14:paraId="61CCE05C" w14:textId="77777777" w:rsidR="00AF5D05" w:rsidRDefault="00AF5D05" w:rsidP="00AF5D05">
      <w:pPr>
        <w:pStyle w:val="ListParagraph"/>
        <w:numPr>
          <w:ilvl w:val="0"/>
          <w:numId w:val="28"/>
        </w:numPr>
        <w:spacing w:after="60" w:line="276" w:lineRule="auto"/>
        <w:rPr>
          <w:lang w:val="en-US"/>
        </w:rPr>
      </w:pPr>
      <w:r>
        <w:rPr>
          <w:lang w:val="en-US"/>
        </w:rPr>
        <w:t>doubling of income eligibility criteria for the out-of-court debt settlement mechanism, and</w:t>
      </w:r>
    </w:p>
    <w:p w14:paraId="0BC8085C" w14:textId="77777777" w:rsidR="00AF5D05" w:rsidRDefault="00AF5D05" w:rsidP="00AF5D05">
      <w:pPr>
        <w:pStyle w:val="ListParagraph"/>
        <w:numPr>
          <w:ilvl w:val="0"/>
          <w:numId w:val="28"/>
        </w:numPr>
        <w:spacing w:after="60" w:line="276" w:lineRule="auto"/>
        <w:rPr>
          <w:lang w:val="en-US"/>
        </w:rPr>
      </w:pPr>
      <w:r>
        <w:rPr>
          <w:lang w:val="en-US"/>
        </w:rPr>
        <w:t>reduction of social security contributions for overtimes and night shifts work during public holidays or Sundays for full-time employees.</w:t>
      </w:r>
    </w:p>
    <w:p w14:paraId="13F56A38" w14:textId="77777777" w:rsidR="00AF5D05" w:rsidRDefault="00AF5D05" w:rsidP="00AF5D05">
      <w:pPr>
        <w:spacing w:after="60" w:line="276" w:lineRule="auto"/>
        <w:rPr>
          <w:lang w:val="en-US"/>
        </w:rPr>
      </w:pPr>
      <w:r>
        <w:rPr>
          <w:lang w:val="en-US"/>
        </w:rPr>
        <w:t>For 2026, other interventions include:</w:t>
      </w:r>
    </w:p>
    <w:p w14:paraId="2C217536" w14:textId="77777777" w:rsidR="009D02CA" w:rsidRDefault="009D02CA" w:rsidP="009D02CA">
      <w:pPr>
        <w:pStyle w:val="ListParagraph"/>
        <w:numPr>
          <w:ilvl w:val="0"/>
          <w:numId w:val="29"/>
        </w:numPr>
        <w:spacing w:after="160"/>
        <w:rPr>
          <w:lang w:val="en-US"/>
        </w:rPr>
      </w:pPr>
      <w:r>
        <w:rPr>
          <w:lang w:val="en-US"/>
        </w:rPr>
        <w:t>Increase of the national Public Investment Budget by €500 million on a permanent basis from 2025, amounting to €3.3 billion in total in 2026;</w:t>
      </w:r>
    </w:p>
    <w:p w14:paraId="1A9A6618" w14:textId="77777777" w:rsidR="009D02CA" w:rsidRDefault="009D02CA" w:rsidP="009D02CA">
      <w:pPr>
        <w:pStyle w:val="ListParagraph"/>
        <w:numPr>
          <w:ilvl w:val="0"/>
          <w:numId w:val="29"/>
        </w:numPr>
        <w:spacing w:after="160"/>
        <w:rPr>
          <w:lang w:val="en-US"/>
        </w:rPr>
      </w:pPr>
      <w:r>
        <w:rPr>
          <w:lang w:val="en-US"/>
        </w:rPr>
        <w:t>super tax deductions for investment expenses aiming to boost private investments in key industrial sectors. In this regard, spending on strategic sectors such as defence and the manufacturing of vehicles, aircraft and their components will be deductible from companies’ gross income, increased by 100%. This measure applies to investments during 2026-2028, with a total tax deduction amounting to €150 million;</w:t>
      </w:r>
    </w:p>
    <w:p w14:paraId="48F8B40B" w14:textId="0225C780" w:rsidR="00AF5D05" w:rsidRDefault="00A4782E" w:rsidP="00AF5D05">
      <w:pPr>
        <w:pStyle w:val="ListParagraph"/>
        <w:numPr>
          <w:ilvl w:val="0"/>
          <w:numId w:val="29"/>
        </w:numPr>
        <w:spacing w:after="60" w:line="276" w:lineRule="auto"/>
        <w:rPr>
          <w:lang w:val="en-US"/>
        </w:rPr>
      </w:pPr>
      <w:r>
        <w:rPr>
          <w:lang w:val="en-US"/>
        </w:rPr>
        <w:t>l</w:t>
      </w:r>
      <w:r w:rsidR="00AF5D05">
        <w:rPr>
          <w:lang w:val="en-US"/>
        </w:rPr>
        <w:t>aunch of a fund for pharmaceutical innovation, with an annual cost of €50 million, to facilitate patient access to innovative treatments;</w:t>
      </w:r>
    </w:p>
    <w:p w14:paraId="081FF1B3" w14:textId="77777777" w:rsidR="00AF5D05" w:rsidRDefault="00AF5D05" w:rsidP="00AF5D05">
      <w:pPr>
        <w:pStyle w:val="ListParagraph"/>
        <w:numPr>
          <w:ilvl w:val="0"/>
          <w:numId w:val="29"/>
        </w:numPr>
        <w:spacing w:after="60" w:line="276" w:lineRule="auto"/>
        <w:rPr>
          <w:lang w:val="en-US"/>
        </w:rPr>
      </w:pPr>
      <w:r>
        <w:rPr>
          <w:lang w:val="en-US"/>
        </w:rPr>
        <w:t>exemption from income tax for charitable foundations, with an annual fiscal cost of €43 million, starting from the 2026 tax year;</w:t>
      </w:r>
    </w:p>
    <w:p w14:paraId="4C88227D" w14:textId="77777777" w:rsidR="00AF5D05" w:rsidRDefault="00AF5D05" w:rsidP="00AF5D05">
      <w:pPr>
        <w:pStyle w:val="ListParagraph"/>
        <w:numPr>
          <w:ilvl w:val="0"/>
          <w:numId w:val="29"/>
        </w:numPr>
        <w:spacing w:after="60" w:line="276" w:lineRule="auto"/>
        <w:rPr>
          <w:lang w:val="en-US"/>
        </w:rPr>
      </w:pPr>
      <w:r>
        <w:rPr>
          <w:lang w:val="en-US"/>
        </w:rPr>
        <w:t>abolition, from January 2026, of the 10% fee on cable TV subscriptions, with an annual fiscal cost of €22 million;</w:t>
      </w:r>
    </w:p>
    <w:p w14:paraId="1D9FF3AC" w14:textId="77777777" w:rsidR="00AF5D05" w:rsidRPr="00E03AFB" w:rsidRDefault="00AF5D05" w:rsidP="00AF5D05">
      <w:pPr>
        <w:pStyle w:val="ListParagraph"/>
        <w:numPr>
          <w:ilvl w:val="0"/>
          <w:numId w:val="29"/>
        </w:numPr>
        <w:spacing w:after="60" w:line="276" w:lineRule="auto"/>
        <w:ind w:left="714" w:hanging="357"/>
        <w:rPr>
          <w:lang w:val="en-US"/>
        </w:rPr>
      </w:pPr>
      <w:r>
        <w:rPr>
          <w:lang w:val="en-US"/>
        </w:rPr>
        <w:t>extension of the reduction of the objective income for self-employed for communities outside Attica, with population up to 1,500 residents (for regions in the northern borders of Greece up to 1,700 residents), as well as exemption from the objective income for new mothers practicing a freelance profession during the year of childbirth and for the following two years.</w:t>
      </w:r>
    </w:p>
    <w:p w14:paraId="1C53D44B" w14:textId="77777777" w:rsidR="0084303B" w:rsidRPr="000816F9" w:rsidRDefault="0084303B" w:rsidP="00897B1E">
      <w:pPr>
        <w:pStyle w:val="Heading2"/>
        <w:numPr>
          <w:ilvl w:val="1"/>
          <w:numId w:val="2"/>
        </w:numPr>
        <w:spacing w:before="960"/>
        <w:ind w:left="567" w:hanging="567"/>
        <w:rPr>
          <w:lang w:val="en-US"/>
        </w:rPr>
      </w:pPr>
      <w:bookmarkStart w:id="24" w:name="_Toc228279082"/>
      <w:r w:rsidRPr="000816F9">
        <w:rPr>
          <w:lang w:val="en-US"/>
        </w:rPr>
        <w:lastRenderedPageBreak/>
        <w:t>Debt developments</w:t>
      </w:r>
      <w:bookmarkEnd w:id="24"/>
    </w:p>
    <w:p w14:paraId="57040DAC" w14:textId="26A11DC2" w:rsidR="00DB37F0" w:rsidRPr="00DB37F0" w:rsidRDefault="00DB37F0" w:rsidP="00DB37F0">
      <w:pPr>
        <w:rPr>
          <w:lang w:val="en-US"/>
        </w:rPr>
      </w:pPr>
      <w:r w:rsidRPr="00DB37F0">
        <w:rPr>
          <w:lang w:val="en-US"/>
        </w:rPr>
        <w:t xml:space="preserve">The general government debt amounted to €362,925 million or 146.1% of GDP at the end of 2025, vs €364,964 million or 154.2% of GDP in 2024. For the end of 2026, the general government debt is forecasted at €357,515 million or 136.8% of GDP, i.e. reduced by 9.3 pp compared to 2025. </w:t>
      </w:r>
    </w:p>
    <w:p w14:paraId="518D63D0" w14:textId="77777777" w:rsidR="00DB37F0" w:rsidRPr="00DB37F0" w:rsidRDefault="00DB37F0" w:rsidP="00DB37F0">
      <w:pPr>
        <w:rPr>
          <w:lang w:val="en-US"/>
        </w:rPr>
      </w:pPr>
      <w:r w:rsidRPr="00DB37F0">
        <w:rPr>
          <w:lang w:val="en-US"/>
        </w:rPr>
        <w:t>At the beginning of 2026, the Hellenic Republic engaged its successful presence in international capital markets by launching a new syndicated 10-year benchmark bond on January 20th, for a nominal value of €4.0</w:t>
      </w:r>
      <w:r w:rsidR="005D70F6">
        <w:rPr>
          <w:lang w:val="en-US"/>
        </w:rPr>
        <w:t xml:space="preserve"> </w:t>
      </w:r>
      <w:r w:rsidRPr="00DB37F0">
        <w:rPr>
          <w:lang w:val="en-US"/>
        </w:rPr>
        <w:t>b</w:t>
      </w:r>
      <w:r w:rsidR="005D70F6">
        <w:rPr>
          <w:lang w:val="en-US"/>
        </w:rPr>
        <w:t>illio</w:t>
      </w:r>
      <w:r w:rsidRPr="00DB37F0">
        <w:rPr>
          <w:lang w:val="en-US"/>
        </w:rPr>
        <w:t>n, at 3.47% yield. The issue was oversubscribed during the book building procedure with its offers exceeding €50</w:t>
      </w:r>
      <w:r w:rsidR="005D70F6">
        <w:rPr>
          <w:lang w:val="en-US"/>
        </w:rPr>
        <w:t xml:space="preserve"> </w:t>
      </w:r>
      <w:r w:rsidRPr="00DB37F0">
        <w:rPr>
          <w:lang w:val="en-US"/>
        </w:rPr>
        <w:t>b</w:t>
      </w:r>
      <w:r w:rsidR="005D70F6">
        <w:rPr>
          <w:lang w:val="en-US"/>
        </w:rPr>
        <w:t>illio</w:t>
      </w:r>
      <w:r w:rsidRPr="00DB37F0">
        <w:rPr>
          <w:lang w:val="en-US"/>
        </w:rPr>
        <w:t>n and was mainly acquired by end investors. Moreover, according to the announced issuance calendar for H1 2026, the Hellenic Republic carried out two re-openings via auction of the new 10-year benchmark bond, on February 18th, raising €0.3 b</w:t>
      </w:r>
      <w:r w:rsidR="005D70F6">
        <w:rPr>
          <w:lang w:val="en-US"/>
        </w:rPr>
        <w:t>illio</w:t>
      </w:r>
      <w:r w:rsidRPr="00DB37F0">
        <w:rPr>
          <w:lang w:val="en-US"/>
        </w:rPr>
        <w:t>n, at 3.34</w:t>
      </w:r>
      <w:r w:rsidR="00A8434B">
        <w:rPr>
          <w:lang w:val="en-US"/>
        </w:rPr>
        <w:t>%</w:t>
      </w:r>
      <w:r w:rsidRPr="00DB37F0">
        <w:rPr>
          <w:lang w:val="en-US"/>
        </w:rPr>
        <w:t xml:space="preserve"> yield and on April 22nd, raising €0.25 b</w:t>
      </w:r>
      <w:r w:rsidR="005D70F6">
        <w:rPr>
          <w:lang w:val="en-US"/>
        </w:rPr>
        <w:t>illio</w:t>
      </w:r>
      <w:r w:rsidRPr="00DB37F0">
        <w:rPr>
          <w:lang w:val="en-US"/>
        </w:rPr>
        <w:t>n, at 3.70</w:t>
      </w:r>
      <w:r w:rsidR="00A8434B">
        <w:rPr>
          <w:lang w:val="en-US"/>
        </w:rPr>
        <w:t>%</w:t>
      </w:r>
      <w:r w:rsidRPr="00DB37F0">
        <w:rPr>
          <w:lang w:val="en-US"/>
        </w:rPr>
        <w:t xml:space="preserve"> yield, respectively. Thus, the Hellenic Republic has covered more than half of its €8</w:t>
      </w:r>
      <w:r w:rsidR="005D70F6">
        <w:rPr>
          <w:lang w:val="en-US"/>
        </w:rPr>
        <w:t xml:space="preserve"> </w:t>
      </w:r>
      <w:r w:rsidRPr="00DB37F0">
        <w:rPr>
          <w:lang w:val="en-US"/>
        </w:rPr>
        <w:t>b</w:t>
      </w:r>
      <w:r w:rsidR="005D70F6">
        <w:rPr>
          <w:lang w:val="en-US"/>
        </w:rPr>
        <w:t>illio</w:t>
      </w:r>
      <w:r w:rsidRPr="00DB37F0">
        <w:rPr>
          <w:lang w:val="en-US"/>
        </w:rPr>
        <w:t>n annual financing needs already in the first quarter of 2026.</w:t>
      </w:r>
    </w:p>
    <w:p w14:paraId="383B04B8" w14:textId="7D7E3BC1" w:rsidR="00DB37F0" w:rsidRPr="00DB37F0" w:rsidRDefault="00DB37F0" w:rsidP="00DB37F0">
      <w:pPr>
        <w:rPr>
          <w:lang w:val="en-US"/>
        </w:rPr>
      </w:pPr>
      <w:r w:rsidRPr="00DB37F0">
        <w:rPr>
          <w:lang w:val="en-US"/>
        </w:rPr>
        <w:t>Following the upgrade of the Hellenic Republic, by one notch, to status BBB with a stable outlook, by Scope Ratings in December 2024, further upgrades followed, by DBRS Morningstar in March 2025, by Standard &amp; Poor’s in April 2025, by R&amp;I in October 2025 and by Fitch Ratings in November 2025. In addition, Moody’s upgraded the Hellenic Republic’s creditworthiness to investment grade Baa3, with a stable outlook, in March 2025, while Scope Ratings revised Greece’s outlook, from stable to positive, in November 2025.</w:t>
      </w:r>
    </w:p>
    <w:p w14:paraId="2CDDAE9C" w14:textId="6ABFAF1D" w:rsidR="00D54DE0" w:rsidRDefault="00D54DE0" w:rsidP="00897B1E">
      <w:pPr>
        <w:pStyle w:val="Figure"/>
      </w:pPr>
      <w:bookmarkStart w:id="25" w:name="_Toc228279119"/>
      <w:r>
        <w:t xml:space="preserve">Figure </w:t>
      </w:r>
      <w:r w:rsidR="00B6443E">
        <w:fldChar w:fldCharType="begin"/>
      </w:r>
      <w:r>
        <w:instrText xml:space="preserve"> SEQ Figure \* ARABIC </w:instrText>
      </w:r>
      <w:r w:rsidR="00B6443E">
        <w:fldChar w:fldCharType="separate"/>
      </w:r>
      <w:r w:rsidR="000B61F1">
        <w:rPr>
          <w:noProof/>
        </w:rPr>
        <w:t>2</w:t>
      </w:r>
      <w:r w:rsidR="00B6443E">
        <w:fldChar w:fldCharType="end"/>
      </w:r>
      <w:r>
        <w:t xml:space="preserve"> | General Government debt</w:t>
      </w:r>
      <w:bookmarkEnd w:id="25"/>
    </w:p>
    <w:p w14:paraId="248C6C19" w14:textId="02730816" w:rsidR="00442633" w:rsidRDefault="00442633" w:rsidP="00442633">
      <w:r>
        <w:rPr>
          <w:noProof/>
        </w:rPr>
        <w:drawing>
          <wp:inline distT="0" distB="0" distL="0" distR="0" wp14:anchorId="582DD224" wp14:editId="18E3F04F">
            <wp:extent cx="5602605" cy="3727854"/>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3129" cy="3734857"/>
                    </a:xfrm>
                    <a:prstGeom prst="rect">
                      <a:avLst/>
                    </a:prstGeom>
                    <a:noFill/>
                  </pic:spPr>
                </pic:pic>
              </a:graphicData>
            </a:graphic>
          </wp:inline>
        </w:drawing>
      </w:r>
    </w:p>
    <w:p w14:paraId="4F80681E" w14:textId="77777777" w:rsidR="00D54DE0" w:rsidRPr="00790562" w:rsidRDefault="00D54DE0" w:rsidP="00D54DE0">
      <w:pPr>
        <w:pStyle w:val="Source"/>
        <w:pBdr>
          <w:top w:val="single" w:sz="18" w:space="1" w:color="4F81BD" w:themeColor="accent1"/>
        </w:pBdr>
      </w:pPr>
      <w:r>
        <w:t>* Projections</w:t>
      </w:r>
    </w:p>
    <w:p w14:paraId="0C2731C0" w14:textId="77777777" w:rsidR="00DB37F0" w:rsidRPr="00DB37F0" w:rsidRDefault="00DB37F0" w:rsidP="00DB37F0">
      <w:pPr>
        <w:rPr>
          <w:lang w:val="en-US"/>
        </w:rPr>
      </w:pPr>
      <w:r w:rsidRPr="00DB37F0">
        <w:rPr>
          <w:lang w:val="en-US"/>
        </w:rPr>
        <w:lastRenderedPageBreak/>
        <w:t xml:space="preserve">A very positive signal to the investors’ community </w:t>
      </w:r>
      <w:r w:rsidR="00A8434B">
        <w:rPr>
          <w:lang w:val="en-US"/>
        </w:rPr>
        <w:t>was the result of</w:t>
      </w:r>
      <w:r w:rsidR="00A8434B" w:rsidRPr="00DB37F0">
        <w:rPr>
          <w:lang w:val="en-US"/>
        </w:rPr>
        <w:t xml:space="preserve"> </w:t>
      </w:r>
      <w:r w:rsidRPr="00DB37F0">
        <w:rPr>
          <w:lang w:val="en-US"/>
        </w:rPr>
        <w:t>the new early repayment of GLF loans, which took place in mid-December 2025, for a total amount of €5.3 b</w:t>
      </w:r>
      <w:r w:rsidR="005D70F6">
        <w:rPr>
          <w:lang w:val="en-US"/>
        </w:rPr>
        <w:t>illio</w:t>
      </w:r>
      <w:r w:rsidRPr="00DB37F0">
        <w:rPr>
          <w:lang w:val="en-US"/>
        </w:rPr>
        <w:t>n, pertaining to the pro-rata prepayment of GLF loans maturing within the years 2033-2039 and the full prepayment of GLF loans maturing in 2040 and 2041. The above early repayment was conducted exclusively with the use of cash buffer reserves. For the current year, the Hellenic Republic intends to prepay €6.9 b</w:t>
      </w:r>
      <w:r w:rsidR="005D70F6">
        <w:rPr>
          <w:lang w:val="en-US"/>
        </w:rPr>
        <w:t>illio</w:t>
      </w:r>
      <w:r w:rsidRPr="00DB37F0">
        <w:rPr>
          <w:lang w:val="en-US"/>
        </w:rPr>
        <w:t>n of GLF loans, in mid-June 2026, which would correspond to the principal payments due in Q1/2029, Q2/2029, 2033, 2034, Q1/2035 and Q2/2035. For this GLF early repayment, the Hellenic Republic will make full use of the remaining amount of €5.4 b</w:t>
      </w:r>
      <w:r w:rsidR="005D70F6">
        <w:rPr>
          <w:lang w:val="en-US"/>
        </w:rPr>
        <w:t>illio</w:t>
      </w:r>
      <w:r w:rsidRPr="00DB37F0">
        <w:rPr>
          <w:lang w:val="en-US"/>
        </w:rPr>
        <w:t xml:space="preserve">n from the cash buffer reserves. </w:t>
      </w:r>
    </w:p>
    <w:p w14:paraId="56AC46F9" w14:textId="77777777" w:rsidR="00DB37F0" w:rsidRPr="00DB37F0" w:rsidRDefault="00DB37F0" w:rsidP="00DB37F0">
      <w:pPr>
        <w:rPr>
          <w:lang w:val="en-US"/>
        </w:rPr>
      </w:pPr>
      <w:r w:rsidRPr="00DB37F0">
        <w:rPr>
          <w:lang w:val="en-US"/>
        </w:rPr>
        <w:t>The maintenance of the high level of cash reserves, nearly €38.9 b</w:t>
      </w:r>
      <w:r w:rsidR="005D70F6">
        <w:rPr>
          <w:lang w:val="en-US"/>
        </w:rPr>
        <w:t>illio</w:t>
      </w:r>
      <w:r w:rsidRPr="00DB37F0">
        <w:rPr>
          <w:lang w:val="en-US"/>
        </w:rPr>
        <w:t>n at the end of March 2026, contributes substantially to achieving low funding costs and safeguards meeting of medium-term debt obligations. Within the upcoming years, cash reserves will be reduced gradually, targeting to the repayment of the outstanding amount of public debt.</w:t>
      </w:r>
    </w:p>
    <w:p w14:paraId="2A2BAF73" w14:textId="0DFF6895" w:rsidR="002F5E3F" w:rsidRDefault="00DB37F0" w:rsidP="00DB37F0">
      <w:pPr>
        <w:rPr>
          <w:lang w:val="en-US"/>
        </w:rPr>
      </w:pPr>
      <w:r w:rsidRPr="00DB37F0">
        <w:rPr>
          <w:lang w:val="en-US"/>
        </w:rPr>
        <w:t>Given the high level of cash reserves of the Hellenic Republic, the expected disbursements from the financing schemes already decided at EU level, both from the structural funds and from the NGEU, as well as the relatively limited financing needs for the year 2026, due inter alia to the aforementioned early repayments, the funding strategy is expected to be limited again.</w:t>
      </w:r>
    </w:p>
    <w:p w14:paraId="68F6A551" w14:textId="77777777" w:rsidR="002F5E3F" w:rsidRDefault="002F5E3F" w:rsidP="004607FE">
      <w:pPr>
        <w:pStyle w:val="Heading2"/>
        <w:numPr>
          <w:ilvl w:val="1"/>
          <w:numId w:val="2"/>
        </w:numPr>
        <w:spacing w:before="960" w:after="360"/>
        <w:ind w:left="567" w:hanging="567"/>
        <w:rPr>
          <w:lang w:val="en-US"/>
        </w:rPr>
      </w:pPr>
      <w:bookmarkStart w:id="26" w:name="_Toc211418445"/>
      <w:bookmarkStart w:id="27" w:name="_Toc211249672"/>
      <w:bookmarkStart w:id="28" w:name="_Toc228279083"/>
      <w:r>
        <w:rPr>
          <w:lang w:val="en-US"/>
        </w:rPr>
        <w:t>National Recovery &amp; Resilience Plan (NRRP)</w:t>
      </w:r>
      <w:bookmarkEnd w:id="26"/>
      <w:bookmarkEnd w:id="27"/>
      <w:bookmarkEnd w:id="28"/>
    </w:p>
    <w:p w14:paraId="59310CC2" w14:textId="77777777" w:rsidR="002F5E3F" w:rsidRDefault="002F5E3F" w:rsidP="002F5E3F">
      <w:pPr>
        <w:spacing w:after="120"/>
        <w:rPr>
          <w:lang w:val="en-US"/>
        </w:rPr>
      </w:pPr>
      <w:r>
        <w:rPr>
          <w:lang w:val="en-US"/>
        </w:rPr>
        <w:t>Following the revision of Greece’s NRRP in December 2023, the available resources amount to €35.9 billion, of which grants are estimated at €18.2 billion and loans up to €17.7 billion to support investments and reforms.</w:t>
      </w:r>
    </w:p>
    <w:p w14:paraId="49C363BD" w14:textId="77777777" w:rsidR="002F5E3F" w:rsidRDefault="002F5E3F" w:rsidP="002F5E3F">
      <w:pPr>
        <w:spacing w:after="120"/>
        <w:rPr>
          <w:lang w:val="en-US"/>
        </w:rPr>
      </w:pPr>
      <w:r>
        <w:rPr>
          <w:lang w:val="en-US"/>
        </w:rPr>
        <w:t>Greece has so far received €24.6 billion of RRF funds, corresponding to the first seven payment requests, out of which €12.9 billion are grants and €11.7 billion loans, bringing total disbursement rate to 68% of the total budget.</w:t>
      </w:r>
    </w:p>
    <w:p w14:paraId="67D62DC3" w14:textId="4EB1250F" w:rsidR="002F5E3F" w:rsidRDefault="002F5E3F" w:rsidP="002F5E3F">
      <w:pPr>
        <w:rPr>
          <w:lang w:val="en-US"/>
        </w:rPr>
      </w:pPr>
      <w:r>
        <w:rPr>
          <w:lang w:val="en-US"/>
        </w:rPr>
        <w:t xml:space="preserve">As regards the use of funds, until March 2026, €13.7 billion grants were transferred to entities inside and outside the general government and final recipients for approved RRF projects. </w:t>
      </w:r>
      <w:r w:rsidR="00401D16">
        <w:rPr>
          <w:lang w:val="en-US"/>
        </w:rPr>
        <w:t>More than 800</w:t>
      </w:r>
      <w:r>
        <w:rPr>
          <w:lang w:val="en-US"/>
        </w:rPr>
        <w:t xml:space="preserve"> projects, </w:t>
      </w:r>
      <w:r w:rsidR="00FC1D32">
        <w:rPr>
          <w:lang w:val="en-US"/>
        </w:rPr>
        <w:t xml:space="preserve">covering the total RRP budget </w:t>
      </w:r>
      <w:r>
        <w:rPr>
          <w:lang w:val="en-US"/>
        </w:rPr>
        <w:t>have already been approved and included in the Public Investments Program.</w:t>
      </w:r>
    </w:p>
    <w:p w14:paraId="1EA68575" w14:textId="3C72F57B" w:rsidR="002F5E3F" w:rsidRDefault="002F5E3F" w:rsidP="002F5E3F">
      <w:pPr>
        <w:rPr>
          <w:szCs w:val="23"/>
          <w:lang w:val="en-US"/>
        </w:rPr>
      </w:pPr>
      <w:r>
        <w:rPr>
          <w:szCs w:val="23"/>
          <w:lang w:val="en-US"/>
        </w:rPr>
        <w:t>The approved projects include, inter alia: energy renovation of residential buildings, island electrical interconnections, energy storage investments, motorways construction, micro-satellite network development, implementation of the national public health secondary prevention program, implementation of the strategy for excellence in universities and innovation and many others.</w:t>
      </w:r>
    </w:p>
    <w:p w14:paraId="2140524B" w14:textId="3BA1BC39" w:rsidR="004607FE" w:rsidRDefault="004607FE" w:rsidP="002F5E3F">
      <w:pPr>
        <w:rPr>
          <w:lang w:val="en-US"/>
        </w:rPr>
      </w:pPr>
    </w:p>
    <w:p w14:paraId="46BE9A4B" w14:textId="77777777" w:rsidR="004607FE" w:rsidRDefault="004607FE" w:rsidP="002F5E3F">
      <w:pPr>
        <w:rPr>
          <w:lang w:val="en-US"/>
        </w:rPr>
      </w:pPr>
    </w:p>
    <w:p w14:paraId="755A9764" w14:textId="2DC74F86" w:rsidR="002F5E3F" w:rsidRDefault="002F5E3F" w:rsidP="00D54DE0">
      <w:pPr>
        <w:pStyle w:val="Caption"/>
        <w:spacing w:after="0"/>
        <w:rPr>
          <w:b w:val="0"/>
        </w:rPr>
      </w:pPr>
      <w:bookmarkStart w:id="29" w:name="_Toc211355101"/>
      <w:bookmarkStart w:id="30" w:name="_Toc211249684"/>
      <w:bookmarkStart w:id="31" w:name="_Toc228374161"/>
      <w:r>
        <w:lastRenderedPageBreak/>
        <w:t xml:space="preserve">Table </w:t>
      </w:r>
      <w:r w:rsidR="00B6443E">
        <w:fldChar w:fldCharType="begin"/>
      </w:r>
      <w:r>
        <w:instrText xml:space="preserve"> SEQ Table \* ARABIC </w:instrText>
      </w:r>
      <w:r w:rsidR="00B6443E">
        <w:fldChar w:fldCharType="separate"/>
      </w:r>
      <w:r w:rsidR="000B61F1">
        <w:rPr>
          <w:noProof/>
        </w:rPr>
        <w:t>7</w:t>
      </w:r>
      <w:r w:rsidR="00B6443E">
        <w:fldChar w:fldCharType="end"/>
      </w:r>
      <w:r w:rsidRPr="002F5E3F">
        <w:t xml:space="preserve"> | RRF grants                                                                                         </w:t>
      </w:r>
      <w:r w:rsidRPr="002F5E3F">
        <w:rPr>
          <w:b w:val="0"/>
        </w:rPr>
        <w:t>(% of GDP)</w:t>
      </w:r>
      <w:bookmarkEnd w:id="29"/>
      <w:bookmarkEnd w:id="30"/>
      <w:bookmarkEnd w:id="31"/>
    </w:p>
    <w:tbl>
      <w:tblPr>
        <w:tblW w:w="8902" w:type="dxa"/>
        <w:jc w:val="center"/>
        <w:tblLook w:val="04A0" w:firstRow="1" w:lastRow="0" w:firstColumn="1" w:lastColumn="0" w:noHBand="0" w:noVBand="1"/>
      </w:tblPr>
      <w:tblGrid>
        <w:gridCol w:w="3819"/>
        <w:gridCol w:w="848"/>
        <w:gridCol w:w="847"/>
        <w:gridCol w:w="847"/>
        <w:gridCol w:w="847"/>
        <w:gridCol w:w="847"/>
        <w:gridCol w:w="847"/>
      </w:tblGrid>
      <w:tr w:rsidR="00D54DE0" w:rsidRPr="00D54DE0" w14:paraId="40B9BC55" w14:textId="77777777" w:rsidTr="00924C7C">
        <w:trPr>
          <w:trHeight w:val="284"/>
          <w:jc w:val="center"/>
        </w:trPr>
        <w:tc>
          <w:tcPr>
            <w:tcW w:w="3819" w:type="dxa"/>
            <w:tcBorders>
              <w:top w:val="nil"/>
              <w:left w:val="nil"/>
              <w:bottom w:val="nil"/>
              <w:right w:val="nil"/>
            </w:tcBorders>
            <w:shd w:val="clear" w:color="000000" w:fill="BFBFBF"/>
            <w:vAlign w:val="center"/>
            <w:hideMark/>
          </w:tcPr>
          <w:p w14:paraId="2F6ED8E1" w14:textId="77777777" w:rsidR="00D54DE0" w:rsidRPr="00703C4C" w:rsidRDefault="00D54DE0" w:rsidP="00D54DE0">
            <w:pPr>
              <w:spacing w:after="0" w:line="240" w:lineRule="auto"/>
              <w:jc w:val="center"/>
              <w:rPr>
                <w:rFonts w:ascii="Arial" w:eastAsia="Times New Roman" w:hAnsi="Arial" w:cs="Arial"/>
                <w:b/>
                <w:bCs/>
                <w:color w:val="000000"/>
                <w:sz w:val="20"/>
                <w:szCs w:val="20"/>
                <w:lang w:val="en-US"/>
              </w:rPr>
            </w:pPr>
            <w:r w:rsidRPr="00703C4C">
              <w:rPr>
                <w:rFonts w:ascii="Arial" w:eastAsia="Times New Roman" w:hAnsi="Arial" w:cs="Arial"/>
                <w:b/>
                <w:bCs/>
                <w:color w:val="000000"/>
                <w:sz w:val="20"/>
                <w:szCs w:val="20"/>
                <w:lang w:val="en-US"/>
              </w:rPr>
              <w:t> </w:t>
            </w:r>
          </w:p>
        </w:tc>
        <w:tc>
          <w:tcPr>
            <w:tcW w:w="848" w:type="dxa"/>
            <w:tcBorders>
              <w:top w:val="nil"/>
              <w:left w:val="nil"/>
              <w:bottom w:val="nil"/>
              <w:right w:val="nil"/>
            </w:tcBorders>
            <w:shd w:val="clear" w:color="000000" w:fill="BFBFBF"/>
            <w:vAlign w:val="center"/>
            <w:hideMark/>
          </w:tcPr>
          <w:p w14:paraId="4A830BD3" w14:textId="77777777" w:rsidR="00D54DE0" w:rsidRPr="00D54DE0" w:rsidRDefault="00D54DE0" w:rsidP="00D54DE0">
            <w:pPr>
              <w:spacing w:after="0" w:line="240" w:lineRule="auto"/>
              <w:jc w:val="center"/>
              <w:rPr>
                <w:rFonts w:ascii="Arial" w:eastAsia="Times New Roman" w:hAnsi="Arial" w:cs="Arial"/>
                <w:b/>
                <w:bCs/>
                <w:color w:val="000000"/>
                <w:sz w:val="20"/>
                <w:szCs w:val="20"/>
              </w:rPr>
            </w:pPr>
            <w:r w:rsidRPr="00D54DE0">
              <w:rPr>
                <w:rFonts w:ascii="Arial" w:eastAsia="Times New Roman" w:hAnsi="Arial" w:cs="Arial"/>
                <w:b/>
                <w:bCs/>
                <w:color w:val="000000"/>
                <w:sz w:val="20"/>
                <w:szCs w:val="20"/>
              </w:rPr>
              <w:t>2021</w:t>
            </w:r>
          </w:p>
        </w:tc>
        <w:tc>
          <w:tcPr>
            <w:tcW w:w="847" w:type="dxa"/>
            <w:tcBorders>
              <w:top w:val="nil"/>
              <w:left w:val="nil"/>
              <w:bottom w:val="nil"/>
              <w:right w:val="nil"/>
            </w:tcBorders>
            <w:shd w:val="clear" w:color="000000" w:fill="BFBFBF"/>
            <w:vAlign w:val="center"/>
            <w:hideMark/>
          </w:tcPr>
          <w:p w14:paraId="2069808F" w14:textId="77777777" w:rsidR="00D54DE0" w:rsidRPr="00D54DE0" w:rsidRDefault="00D54DE0" w:rsidP="00D54DE0">
            <w:pPr>
              <w:spacing w:after="0" w:line="240" w:lineRule="auto"/>
              <w:jc w:val="center"/>
              <w:rPr>
                <w:rFonts w:ascii="Arial" w:eastAsia="Times New Roman" w:hAnsi="Arial" w:cs="Arial"/>
                <w:b/>
                <w:bCs/>
                <w:color w:val="000000"/>
                <w:sz w:val="20"/>
                <w:szCs w:val="20"/>
              </w:rPr>
            </w:pPr>
            <w:r w:rsidRPr="00D54DE0">
              <w:rPr>
                <w:rFonts w:ascii="Arial" w:eastAsia="Times New Roman" w:hAnsi="Arial" w:cs="Arial"/>
                <w:b/>
                <w:bCs/>
                <w:color w:val="000000"/>
                <w:sz w:val="20"/>
                <w:szCs w:val="20"/>
              </w:rPr>
              <w:t>2022</w:t>
            </w:r>
          </w:p>
        </w:tc>
        <w:tc>
          <w:tcPr>
            <w:tcW w:w="847" w:type="dxa"/>
            <w:tcBorders>
              <w:top w:val="nil"/>
              <w:left w:val="nil"/>
              <w:bottom w:val="nil"/>
              <w:right w:val="nil"/>
            </w:tcBorders>
            <w:shd w:val="clear" w:color="000000" w:fill="BFBFBF"/>
            <w:vAlign w:val="center"/>
            <w:hideMark/>
          </w:tcPr>
          <w:p w14:paraId="0A75BECD" w14:textId="77777777" w:rsidR="00D54DE0" w:rsidRPr="00D54DE0" w:rsidRDefault="00D54DE0" w:rsidP="00D54DE0">
            <w:pPr>
              <w:spacing w:after="0" w:line="240" w:lineRule="auto"/>
              <w:jc w:val="center"/>
              <w:rPr>
                <w:rFonts w:ascii="Arial" w:eastAsia="Times New Roman" w:hAnsi="Arial" w:cs="Arial"/>
                <w:b/>
                <w:bCs/>
                <w:color w:val="000000"/>
                <w:sz w:val="20"/>
                <w:szCs w:val="20"/>
              </w:rPr>
            </w:pPr>
            <w:r w:rsidRPr="00D54DE0">
              <w:rPr>
                <w:rFonts w:ascii="Arial" w:eastAsia="Times New Roman" w:hAnsi="Arial" w:cs="Arial"/>
                <w:b/>
                <w:bCs/>
                <w:color w:val="000000"/>
                <w:sz w:val="20"/>
                <w:szCs w:val="20"/>
              </w:rPr>
              <w:t>2023</w:t>
            </w:r>
          </w:p>
        </w:tc>
        <w:tc>
          <w:tcPr>
            <w:tcW w:w="847" w:type="dxa"/>
            <w:tcBorders>
              <w:top w:val="nil"/>
              <w:left w:val="nil"/>
              <w:bottom w:val="nil"/>
              <w:right w:val="nil"/>
            </w:tcBorders>
            <w:shd w:val="clear" w:color="000000" w:fill="BFBFBF"/>
            <w:vAlign w:val="center"/>
            <w:hideMark/>
          </w:tcPr>
          <w:p w14:paraId="62257192" w14:textId="77777777" w:rsidR="00D54DE0" w:rsidRPr="00D54DE0" w:rsidRDefault="00D54DE0" w:rsidP="00D54DE0">
            <w:pPr>
              <w:spacing w:after="0" w:line="240" w:lineRule="auto"/>
              <w:jc w:val="center"/>
              <w:rPr>
                <w:rFonts w:ascii="Arial" w:eastAsia="Times New Roman" w:hAnsi="Arial" w:cs="Arial"/>
                <w:b/>
                <w:bCs/>
                <w:color w:val="000000"/>
                <w:sz w:val="20"/>
                <w:szCs w:val="20"/>
              </w:rPr>
            </w:pPr>
            <w:r w:rsidRPr="00D54DE0">
              <w:rPr>
                <w:rFonts w:ascii="Arial" w:eastAsia="Times New Roman" w:hAnsi="Arial" w:cs="Arial"/>
                <w:b/>
                <w:bCs/>
                <w:color w:val="000000"/>
                <w:sz w:val="20"/>
                <w:szCs w:val="20"/>
              </w:rPr>
              <w:t>2024</w:t>
            </w:r>
          </w:p>
        </w:tc>
        <w:tc>
          <w:tcPr>
            <w:tcW w:w="847" w:type="dxa"/>
            <w:tcBorders>
              <w:top w:val="nil"/>
              <w:left w:val="nil"/>
              <w:bottom w:val="nil"/>
              <w:right w:val="nil"/>
            </w:tcBorders>
            <w:shd w:val="clear" w:color="000000" w:fill="BFBFBF"/>
            <w:vAlign w:val="center"/>
            <w:hideMark/>
          </w:tcPr>
          <w:p w14:paraId="5182E998" w14:textId="77777777" w:rsidR="00D54DE0" w:rsidRPr="00D54DE0" w:rsidRDefault="00D54DE0" w:rsidP="00D54DE0">
            <w:pPr>
              <w:spacing w:after="0" w:line="240" w:lineRule="auto"/>
              <w:jc w:val="center"/>
              <w:rPr>
                <w:rFonts w:ascii="Arial" w:eastAsia="Times New Roman" w:hAnsi="Arial" w:cs="Arial"/>
                <w:b/>
                <w:bCs/>
                <w:color w:val="000000"/>
                <w:sz w:val="20"/>
                <w:szCs w:val="20"/>
              </w:rPr>
            </w:pPr>
            <w:r w:rsidRPr="00D54DE0">
              <w:rPr>
                <w:rFonts w:ascii="Arial" w:eastAsia="Times New Roman" w:hAnsi="Arial" w:cs="Arial"/>
                <w:b/>
                <w:bCs/>
                <w:color w:val="000000"/>
                <w:sz w:val="20"/>
                <w:szCs w:val="20"/>
              </w:rPr>
              <w:t>2025</w:t>
            </w:r>
          </w:p>
        </w:tc>
        <w:tc>
          <w:tcPr>
            <w:tcW w:w="847" w:type="dxa"/>
            <w:tcBorders>
              <w:top w:val="nil"/>
              <w:left w:val="nil"/>
              <w:bottom w:val="nil"/>
              <w:right w:val="nil"/>
            </w:tcBorders>
            <w:shd w:val="clear" w:color="000000" w:fill="BFBFBF"/>
            <w:vAlign w:val="center"/>
            <w:hideMark/>
          </w:tcPr>
          <w:p w14:paraId="26485A37" w14:textId="77777777" w:rsidR="00D54DE0" w:rsidRPr="00D54DE0" w:rsidRDefault="00D54DE0" w:rsidP="00D54DE0">
            <w:pPr>
              <w:spacing w:after="0" w:line="240" w:lineRule="auto"/>
              <w:jc w:val="center"/>
              <w:rPr>
                <w:rFonts w:ascii="Arial" w:eastAsia="Times New Roman" w:hAnsi="Arial" w:cs="Arial"/>
                <w:b/>
                <w:bCs/>
                <w:color w:val="000000"/>
                <w:sz w:val="20"/>
                <w:szCs w:val="20"/>
              </w:rPr>
            </w:pPr>
            <w:r w:rsidRPr="00D54DE0">
              <w:rPr>
                <w:rFonts w:ascii="Arial" w:eastAsia="Times New Roman" w:hAnsi="Arial" w:cs="Arial"/>
                <w:b/>
                <w:bCs/>
                <w:color w:val="000000"/>
                <w:sz w:val="20"/>
                <w:szCs w:val="20"/>
              </w:rPr>
              <w:t>2026</w:t>
            </w:r>
          </w:p>
        </w:tc>
      </w:tr>
      <w:tr w:rsidR="00D54DE0" w:rsidRPr="00D54DE0" w14:paraId="5BDC4DE2" w14:textId="77777777" w:rsidTr="001F1D94">
        <w:trPr>
          <w:trHeight w:val="170"/>
          <w:jc w:val="center"/>
        </w:trPr>
        <w:tc>
          <w:tcPr>
            <w:tcW w:w="3819" w:type="dxa"/>
            <w:tcBorders>
              <w:top w:val="single" w:sz="4" w:space="0" w:color="FFFFFF"/>
              <w:left w:val="nil"/>
              <w:bottom w:val="single" w:sz="4" w:space="0" w:color="FFFFFF"/>
              <w:right w:val="nil"/>
            </w:tcBorders>
            <w:shd w:val="clear" w:color="auto" w:fill="B8CCE4" w:themeFill="accent1" w:themeFillTint="66"/>
            <w:vAlign w:val="center"/>
            <w:hideMark/>
          </w:tcPr>
          <w:p w14:paraId="307AE63E" w14:textId="77777777" w:rsidR="00D54DE0" w:rsidRPr="00D54DE0" w:rsidRDefault="00D54DE0" w:rsidP="00D54DE0">
            <w:pPr>
              <w:spacing w:after="0" w:line="240" w:lineRule="auto"/>
              <w:jc w:val="left"/>
              <w:rPr>
                <w:rFonts w:ascii="Calibri" w:eastAsia="Times New Roman" w:hAnsi="Calibri" w:cs="Calibri"/>
                <w:b/>
                <w:bCs/>
                <w:sz w:val="22"/>
              </w:rPr>
            </w:pPr>
            <w:proofErr w:type="spellStart"/>
            <w:r w:rsidRPr="00D54DE0">
              <w:rPr>
                <w:rFonts w:ascii="Calibri" w:eastAsia="Times New Roman" w:hAnsi="Calibri" w:cs="Calibri"/>
                <w:b/>
                <w:bCs/>
                <w:sz w:val="22"/>
              </w:rPr>
              <w:t>Revenue</w:t>
            </w:r>
            <w:proofErr w:type="spellEnd"/>
            <w:r w:rsidRPr="00D54DE0">
              <w:rPr>
                <w:rFonts w:ascii="Calibri" w:eastAsia="Times New Roman" w:hAnsi="Calibri" w:cs="Calibri"/>
                <w:b/>
                <w:bCs/>
                <w:sz w:val="22"/>
              </w:rPr>
              <w:t xml:space="preserve"> </w:t>
            </w:r>
            <w:proofErr w:type="spellStart"/>
            <w:r w:rsidRPr="00D54DE0">
              <w:rPr>
                <w:rFonts w:ascii="Calibri" w:eastAsia="Times New Roman" w:hAnsi="Calibri" w:cs="Calibri"/>
                <w:b/>
                <w:bCs/>
                <w:sz w:val="22"/>
              </w:rPr>
              <w:t>from</w:t>
            </w:r>
            <w:proofErr w:type="spellEnd"/>
            <w:r w:rsidRPr="00D54DE0">
              <w:rPr>
                <w:rFonts w:ascii="Calibri" w:eastAsia="Times New Roman" w:hAnsi="Calibri" w:cs="Calibri"/>
                <w:b/>
                <w:bCs/>
                <w:sz w:val="22"/>
              </w:rPr>
              <w:t xml:space="preserve"> RRF </w:t>
            </w:r>
            <w:proofErr w:type="spellStart"/>
            <w:r w:rsidRPr="00D54DE0">
              <w:rPr>
                <w:rFonts w:ascii="Calibri" w:eastAsia="Times New Roman" w:hAnsi="Calibri" w:cs="Calibri"/>
                <w:b/>
                <w:bCs/>
                <w:sz w:val="22"/>
              </w:rPr>
              <w:t>grants</w:t>
            </w:r>
            <w:proofErr w:type="spellEnd"/>
          </w:p>
        </w:tc>
        <w:tc>
          <w:tcPr>
            <w:tcW w:w="848" w:type="dxa"/>
            <w:tcBorders>
              <w:top w:val="single" w:sz="4" w:space="0" w:color="FFFFFF"/>
              <w:left w:val="nil"/>
              <w:bottom w:val="single" w:sz="4" w:space="0" w:color="FFFFFF"/>
              <w:right w:val="nil"/>
            </w:tcBorders>
            <w:shd w:val="clear" w:color="auto" w:fill="B8CCE4" w:themeFill="accent1" w:themeFillTint="66"/>
            <w:vAlign w:val="center"/>
            <w:hideMark/>
          </w:tcPr>
          <w:p w14:paraId="75DF986F" w14:textId="77777777" w:rsidR="00D54DE0" w:rsidRPr="00D54DE0" w:rsidRDefault="00D54DE0" w:rsidP="00D54DE0">
            <w:pPr>
              <w:spacing w:after="0" w:line="240" w:lineRule="auto"/>
              <w:jc w:val="left"/>
              <w:rPr>
                <w:rFonts w:ascii="Calibri" w:eastAsia="Times New Roman" w:hAnsi="Calibri" w:cs="Calibri"/>
                <w:sz w:val="22"/>
              </w:rPr>
            </w:pPr>
            <w:r w:rsidRPr="00D54DE0">
              <w:rPr>
                <w:rFonts w:ascii="Calibri" w:eastAsia="Times New Roman" w:hAnsi="Calibri" w:cs="Calibri"/>
                <w:sz w:val="22"/>
              </w:rPr>
              <w:t> </w:t>
            </w:r>
          </w:p>
        </w:tc>
        <w:tc>
          <w:tcPr>
            <w:tcW w:w="847" w:type="dxa"/>
            <w:tcBorders>
              <w:top w:val="single" w:sz="4" w:space="0" w:color="FFFFFF"/>
              <w:left w:val="nil"/>
              <w:bottom w:val="single" w:sz="4" w:space="0" w:color="FFFFFF"/>
              <w:right w:val="nil"/>
            </w:tcBorders>
            <w:shd w:val="clear" w:color="auto" w:fill="B8CCE4" w:themeFill="accent1" w:themeFillTint="66"/>
            <w:vAlign w:val="center"/>
            <w:hideMark/>
          </w:tcPr>
          <w:p w14:paraId="1DE7D835" w14:textId="77777777" w:rsidR="00D54DE0" w:rsidRPr="00D54DE0" w:rsidRDefault="00D54DE0" w:rsidP="00D54DE0">
            <w:pPr>
              <w:spacing w:after="0" w:line="240" w:lineRule="auto"/>
              <w:jc w:val="left"/>
              <w:rPr>
                <w:rFonts w:ascii="Calibri" w:eastAsia="Times New Roman" w:hAnsi="Calibri" w:cs="Calibri"/>
                <w:sz w:val="22"/>
              </w:rPr>
            </w:pPr>
            <w:r w:rsidRPr="00D54DE0">
              <w:rPr>
                <w:rFonts w:ascii="Calibri" w:eastAsia="Times New Roman" w:hAnsi="Calibri" w:cs="Calibri"/>
                <w:sz w:val="22"/>
              </w:rPr>
              <w:t> </w:t>
            </w:r>
          </w:p>
        </w:tc>
        <w:tc>
          <w:tcPr>
            <w:tcW w:w="847" w:type="dxa"/>
            <w:tcBorders>
              <w:top w:val="single" w:sz="4" w:space="0" w:color="FFFFFF"/>
              <w:left w:val="nil"/>
              <w:bottom w:val="single" w:sz="4" w:space="0" w:color="FFFFFF"/>
              <w:right w:val="nil"/>
            </w:tcBorders>
            <w:shd w:val="clear" w:color="auto" w:fill="B8CCE4" w:themeFill="accent1" w:themeFillTint="66"/>
            <w:vAlign w:val="center"/>
            <w:hideMark/>
          </w:tcPr>
          <w:p w14:paraId="625E22B9" w14:textId="77777777" w:rsidR="00D54DE0" w:rsidRPr="00D54DE0" w:rsidRDefault="00D54DE0" w:rsidP="00D54DE0">
            <w:pPr>
              <w:spacing w:after="0" w:line="240" w:lineRule="auto"/>
              <w:jc w:val="left"/>
              <w:rPr>
                <w:rFonts w:ascii="Calibri" w:eastAsia="Times New Roman" w:hAnsi="Calibri" w:cs="Calibri"/>
                <w:sz w:val="22"/>
              </w:rPr>
            </w:pPr>
            <w:r w:rsidRPr="00D54DE0">
              <w:rPr>
                <w:rFonts w:ascii="Calibri" w:eastAsia="Times New Roman" w:hAnsi="Calibri" w:cs="Calibri"/>
                <w:sz w:val="22"/>
              </w:rPr>
              <w:t> </w:t>
            </w:r>
          </w:p>
        </w:tc>
        <w:tc>
          <w:tcPr>
            <w:tcW w:w="847" w:type="dxa"/>
            <w:tcBorders>
              <w:top w:val="single" w:sz="4" w:space="0" w:color="FFFFFF"/>
              <w:left w:val="nil"/>
              <w:bottom w:val="single" w:sz="4" w:space="0" w:color="FFFFFF"/>
              <w:right w:val="nil"/>
            </w:tcBorders>
            <w:shd w:val="clear" w:color="auto" w:fill="B8CCE4" w:themeFill="accent1" w:themeFillTint="66"/>
            <w:vAlign w:val="center"/>
            <w:hideMark/>
          </w:tcPr>
          <w:p w14:paraId="5066F942" w14:textId="77777777" w:rsidR="00D54DE0" w:rsidRPr="00D54DE0" w:rsidRDefault="00D54DE0" w:rsidP="00D54DE0">
            <w:pPr>
              <w:spacing w:after="0" w:line="240" w:lineRule="auto"/>
              <w:jc w:val="left"/>
              <w:rPr>
                <w:rFonts w:ascii="Calibri" w:eastAsia="Times New Roman" w:hAnsi="Calibri" w:cs="Calibri"/>
                <w:sz w:val="22"/>
              </w:rPr>
            </w:pPr>
            <w:r w:rsidRPr="00D54DE0">
              <w:rPr>
                <w:rFonts w:ascii="Calibri" w:eastAsia="Times New Roman" w:hAnsi="Calibri" w:cs="Calibri"/>
                <w:sz w:val="22"/>
              </w:rPr>
              <w:t> </w:t>
            </w:r>
          </w:p>
        </w:tc>
        <w:tc>
          <w:tcPr>
            <w:tcW w:w="847" w:type="dxa"/>
            <w:tcBorders>
              <w:top w:val="single" w:sz="4" w:space="0" w:color="FFFFFF"/>
              <w:left w:val="nil"/>
              <w:bottom w:val="single" w:sz="4" w:space="0" w:color="FFFFFF"/>
              <w:right w:val="nil"/>
            </w:tcBorders>
            <w:shd w:val="clear" w:color="auto" w:fill="B8CCE4" w:themeFill="accent1" w:themeFillTint="66"/>
            <w:vAlign w:val="center"/>
            <w:hideMark/>
          </w:tcPr>
          <w:p w14:paraId="197541F4" w14:textId="77777777" w:rsidR="00D54DE0" w:rsidRPr="00D54DE0" w:rsidRDefault="00D54DE0" w:rsidP="00D54DE0">
            <w:pPr>
              <w:spacing w:after="0" w:line="240" w:lineRule="auto"/>
              <w:jc w:val="left"/>
              <w:rPr>
                <w:rFonts w:ascii="Calibri" w:eastAsia="Times New Roman" w:hAnsi="Calibri" w:cs="Calibri"/>
                <w:sz w:val="22"/>
              </w:rPr>
            </w:pPr>
            <w:r w:rsidRPr="00D54DE0">
              <w:rPr>
                <w:rFonts w:ascii="Calibri" w:eastAsia="Times New Roman" w:hAnsi="Calibri" w:cs="Calibri"/>
                <w:sz w:val="22"/>
              </w:rPr>
              <w:t> </w:t>
            </w:r>
          </w:p>
        </w:tc>
        <w:tc>
          <w:tcPr>
            <w:tcW w:w="847" w:type="dxa"/>
            <w:tcBorders>
              <w:top w:val="single" w:sz="4" w:space="0" w:color="FFFFFF"/>
              <w:left w:val="nil"/>
              <w:bottom w:val="single" w:sz="4" w:space="0" w:color="FFFFFF"/>
              <w:right w:val="nil"/>
            </w:tcBorders>
            <w:shd w:val="clear" w:color="auto" w:fill="B8CCE4" w:themeFill="accent1" w:themeFillTint="66"/>
            <w:vAlign w:val="center"/>
            <w:hideMark/>
          </w:tcPr>
          <w:p w14:paraId="426FF379" w14:textId="77777777" w:rsidR="00D54DE0" w:rsidRPr="00D54DE0" w:rsidRDefault="00D54DE0" w:rsidP="00D54DE0">
            <w:pPr>
              <w:spacing w:after="0" w:line="240" w:lineRule="auto"/>
              <w:jc w:val="left"/>
              <w:rPr>
                <w:rFonts w:ascii="Calibri" w:eastAsia="Times New Roman" w:hAnsi="Calibri" w:cs="Calibri"/>
                <w:sz w:val="22"/>
              </w:rPr>
            </w:pPr>
            <w:r w:rsidRPr="00D54DE0">
              <w:rPr>
                <w:rFonts w:ascii="Calibri" w:eastAsia="Times New Roman" w:hAnsi="Calibri" w:cs="Calibri"/>
                <w:sz w:val="22"/>
              </w:rPr>
              <w:t> </w:t>
            </w:r>
          </w:p>
        </w:tc>
      </w:tr>
      <w:tr w:rsidR="00D54DE0" w:rsidRPr="00D54DE0" w14:paraId="6B1A9494" w14:textId="77777777" w:rsidTr="00D54DE0">
        <w:trPr>
          <w:trHeight w:val="170"/>
          <w:jc w:val="center"/>
        </w:trPr>
        <w:tc>
          <w:tcPr>
            <w:tcW w:w="3819" w:type="dxa"/>
            <w:tcBorders>
              <w:top w:val="nil"/>
              <w:left w:val="nil"/>
              <w:bottom w:val="single" w:sz="4" w:space="0" w:color="FFFFFF"/>
              <w:right w:val="nil"/>
            </w:tcBorders>
            <w:shd w:val="clear" w:color="000000" w:fill="F2F2F2"/>
            <w:vAlign w:val="center"/>
            <w:hideMark/>
          </w:tcPr>
          <w:p w14:paraId="2DA4CAA4" w14:textId="77777777" w:rsidR="00D54DE0" w:rsidRPr="00D54DE0" w:rsidRDefault="00D54DE0" w:rsidP="00D54DE0">
            <w:pPr>
              <w:spacing w:after="0" w:line="240" w:lineRule="auto"/>
              <w:jc w:val="left"/>
              <w:rPr>
                <w:rFonts w:ascii="Calibri" w:eastAsia="Times New Roman" w:hAnsi="Calibri" w:cs="Calibri"/>
                <w:sz w:val="22"/>
                <w:lang w:val="en-US"/>
              </w:rPr>
            </w:pPr>
            <w:r w:rsidRPr="00D54DE0">
              <w:rPr>
                <w:rFonts w:ascii="Calibri" w:eastAsia="Times New Roman" w:hAnsi="Calibri" w:cs="Calibri"/>
                <w:sz w:val="22"/>
                <w:lang w:val="en-US"/>
              </w:rPr>
              <w:t>1. RRF grants as included</w:t>
            </w:r>
            <w:r>
              <w:rPr>
                <w:rFonts w:ascii="Calibri" w:eastAsia="Times New Roman" w:hAnsi="Calibri" w:cs="Calibri"/>
                <w:sz w:val="22"/>
                <w:lang w:val="en-US"/>
              </w:rPr>
              <w:t xml:space="preserve"> </w:t>
            </w:r>
            <w:r w:rsidRPr="00D54DE0">
              <w:rPr>
                <w:rFonts w:ascii="Calibri" w:eastAsia="Times New Roman" w:hAnsi="Calibri" w:cs="Calibri"/>
                <w:sz w:val="22"/>
                <w:lang w:val="en-US"/>
              </w:rPr>
              <w:t xml:space="preserve">in </w:t>
            </w:r>
            <w:r>
              <w:rPr>
                <w:rFonts w:ascii="Calibri" w:eastAsia="Times New Roman" w:hAnsi="Calibri" w:cs="Calibri"/>
                <w:sz w:val="22"/>
                <w:lang w:val="en-US"/>
              </w:rPr>
              <w:br/>
            </w:r>
            <w:r w:rsidRPr="00D54DE0">
              <w:rPr>
                <w:rFonts w:ascii="Calibri" w:eastAsia="Times New Roman" w:hAnsi="Calibri" w:cs="Calibri"/>
                <w:sz w:val="22"/>
                <w:lang w:val="en-US"/>
              </w:rPr>
              <w:t>the revenue projections</w:t>
            </w:r>
          </w:p>
        </w:tc>
        <w:tc>
          <w:tcPr>
            <w:tcW w:w="848" w:type="dxa"/>
            <w:tcBorders>
              <w:top w:val="nil"/>
              <w:left w:val="nil"/>
              <w:bottom w:val="single" w:sz="4" w:space="0" w:color="FFFFFF"/>
              <w:right w:val="nil"/>
            </w:tcBorders>
            <w:shd w:val="clear" w:color="000000" w:fill="F2F2F2"/>
            <w:vAlign w:val="center"/>
            <w:hideMark/>
          </w:tcPr>
          <w:p w14:paraId="25FED2DE"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0.2</w:t>
            </w:r>
          </w:p>
        </w:tc>
        <w:tc>
          <w:tcPr>
            <w:tcW w:w="847" w:type="dxa"/>
            <w:tcBorders>
              <w:top w:val="nil"/>
              <w:left w:val="nil"/>
              <w:bottom w:val="single" w:sz="4" w:space="0" w:color="FFFFFF"/>
              <w:right w:val="nil"/>
            </w:tcBorders>
            <w:shd w:val="clear" w:color="000000" w:fill="F2F2F2"/>
            <w:vAlign w:val="center"/>
            <w:hideMark/>
          </w:tcPr>
          <w:p w14:paraId="3BEC4798"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0.4</w:t>
            </w:r>
          </w:p>
        </w:tc>
        <w:tc>
          <w:tcPr>
            <w:tcW w:w="847" w:type="dxa"/>
            <w:tcBorders>
              <w:top w:val="nil"/>
              <w:left w:val="nil"/>
              <w:bottom w:val="single" w:sz="4" w:space="0" w:color="FFFFFF"/>
              <w:right w:val="nil"/>
            </w:tcBorders>
            <w:shd w:val="clear" w:color="000000" w:fill="F2F2F2"/>
            <w:vAlign w:val="center"/>
            <w:hideMark/>
          </w:tcPr>
          <w:p w14:paraId="72836DDA"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0.7</w:t>
            </w:r>
          </w:p>
        </w:tc>
        <w:tc>
          <w:tcPr>
            <w:tcW w:w="847" w:type="dxa"/>
            <w:tcBorders>
              <w:top w:val="nil"/>
              <w:left w:val="nil"/>
              <w:bottom w:val="single" w:sz="4" w:space="0" w:color="FFFFFF"/>
              <w:right w:val="nil"/>
            </w:tcBorders>
            <w:shd w:val="clear" w:color="000000" w:fill="F2F2F2"/>
            <w:vAlign w:val="center"/>
            <w:hideMark/>
          </w:tcPr>
          <w:p w14:paraId="371A4A05"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1.0</w:t>
            </w:r>
          </w:p>
        </w:tc>
        <w:tc>
          <w:tcPr>
            <w:tcW w:w="847" w:type="dxa"/>
            <w:tcBorders>
              <w:top w:val="nil"/>
              <w:left w:val="nil"/>
              <w:bottom w:val="single" w:sz="4" w:space="0" w:color="FFFFFF"/>
              <w:right w:val="nil"/>
            </w:tcBorders>
            <w:shd w:val="clear" w:color="000000" w:fill="F2F2F2"/>
            <w:vAlign w:val="center"/>
            <w:hideMark/>
          </w:tcPr>
          <w:p w14:paraId="0696652E"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1.7</w:t>
            </w:r>
          </w:p>
        </w:tc>
        <w:tc>
          <w:tcPr>
            <w:tcW w:w="847" w:type="dxa"/>
            <w:tcBorders>
              <w:top w:val="nil"/>
              <w:left w:val="nil"/>
              <w:bottom w:val="single" w:sz="4" w:space="0" w:color="FFFFFF"/>
              <w:right w:val="nil"/>
            </w:tcBorders>
            <w:shd w:val="clear" w:color="000000" w:fill="F2F2F2"/>
            <w:vAlign w:val="center"/>
            <w:hideMark/>
          </w:tcPr>
          <w:p w14:paraId="52B45480"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2.9</w:t>
            </w:r>
          </w:p>
        </w:tc>
      </w:tr>
      <w:tr w:rsidR="00D54DE0" w:rsidRPr="00D54DE0" w14:paraId="31FCD9B3" w14:textId="77777777" w:rsidTr="001F1D94">
        <w:trPr>
          <w:trHeight w:val="644"/>
          <w:jc w:val="center"/>
        </w:trPr>
        <w:tc>
          <w:tcPr>
            <w:tcW w:w="3819" w:type="dxa"/>
            <w:tcBorders>
              <w:top w:val="nil"/>
              <w:left w:val="nil"/>
              <w:bottom w:val="single" w:sz="4" w:space="0" w:color="FFFFFF"/>
              <w:right w:val="nil"/>
            </w:tcBorders>
            <w:shd w:val="clear" w:color="000000" w:fill="D9D9D9"/>
            <w:vAlign w:val="center"/>
            <w:hideMark/>
          </w:tcPr>
          <w:p w14:paraId="75C2E90C" w14:textId="77777777" w:rsidR="00D54DE0" w:rsidRPr="00D54DE0" w:rsidRDefault="00D54DE0" w:rsidP="00D54DE0">
            <w:pPr>
              <w:spacing w:after="0" w:line="240" w:lineRule="auto"/>
              <w:jc w:val="left"/>
              <w:rPr>
                <w:rFonts w:ascii="Calibri" w:eastAsia="Times New Roman" w:hAnsi="Calibri" w:cs="Calibri"/>
                <w:sz w:val="22"/>
                <w:lang w:val="en-US"/>
              </w:rPr>
            </w:pPr>
            <w:r w:rsidRPr="00D54DE0">
              <w:rPr>
                <w:rFonts w:ascii="Calibri" w:eastAsia="Times New Roman" w:hAnsi="Calibri" w:cs="Calibri"/>
                <w:sz w:val="22"/>
                <w:lang w:val="en-US"/>
              </w:rPr>
              <w:t xml:space="preserve">2. Cash disbursements of RRF </w:t>
            </w:r>
            <w:r>
              <w:rPr>
                <w:rFonts w:ascii="Calibri" w:eastAsia="Times New Roman" w:hAnsi="Calibri" w:cs="Calibri"/>
                <w:sz w:val="22"/>
                <w:lang w:val="en-US"/>
              </w:rPr>
              <w:br/>
            </w:r>
            <w:r w:rsidRPr="00D54DE0">
              <w:rPr>
                <w:rFonts w:ascii="Calibri" w:eastAsia="Times New Roman" w:hAnsi="Calibri" w:cs="Calibri"/>
                <w:sz w:val="22"/>
                <w:lang w:val="en-US"/>
              </w:rPr>
              <w:t>grants from EU</w:t>
            </w:r>
          </w:p>
        </w:tc>
        <w:tc>
          <w:tcPr>
            <w:tcW w:w="848" w:type="dxa"/>
            <w:tcBorders>
              <w:top w:val="nil"/>
              <w:left w:val="nil"/>
              <w:bottom w:val="single" w:sz="4" w:space="0" w:color="FFFFFF"/>
              <w:right w:val="nil"/>
            </w:tcBorders>
            <w:shd w:val="clear" w:color="000000" w:fill="D9D9D9"/>
            <w:vAlign w:val="center"/>
            <w:hideMark/>
          </w:tcPr>
          <w:p w14:paraId="51737828"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1.3</w:t>
            </w:r>
          </w:p>
        </w:tc>
        <w:tc>
          <w:tcPr>
            <w:tcW w:w="847" w:type="dxa"/>
            <w:tcBorders>
              <w:top w:val="nil"/>
              <w:left w:val="nil"/>
              <w:bottom w:val="single" w:sz="4" w:space="0" w:color="FFFFFF"/>
              <w:right w:val="nil"/>
            </w:tcBorders>
            <w:shd w:val="clear" w:color="000000" w:fill="D9D9D9"/>
            <w:vAlign w:val="center"/>
            <w:hideMark/>
          </w:tcPr>
          <w:p w14:paraId="55D567AD"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0.8</w:t>
            </w:r>
          </w:p>
        </w:tc>
        <w:tc>
          <w:tcPr>
            <w:tcW w:w="847" w:type="dxa"/>
            <w:tcBorders>
              <w:top w:val="nil"/>
              <w:left w:val="nil"/>
              <w:bottom w:val="single" w:sz="4" w:space="0" w:color="FFFFFF"/>
              <w:right w:val="nil"/>
            </w:tcBorders>
            <w:shd w:val="clear" w:color="000000" w:fill="D9D9D9"/>
            <w:vAlign w:val="center"/>
            <w:hideMark/>
          </w:tcPr>
          <w:p w14:paraId="76F74D2F"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1.5</w:t>
            </w:r>
          </w:p>
        </w:tc>
        <w:tc>
          <w:tcPr>
            <w:tcW w:w="847" w:type="dxa"/>
            <w:tcBorders>
              <w:top w:val="nil"/>
              <w:left w:val="nil"/>
              <w:bottom w:val="single" w:sz="4" w:space="0" w:color="FFFFFF"/>
              <w:right w:val="nil"/>
            </w:tcBorders>
            <w:shd w:val="clear" w:color="000000" w:fill="D9D9D9"/>
            <w:vAlign w:val="center"/>
            <w:hideMark/>
          </w:tcPr>
          <w:p w14:paraId="0858EF27"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0.5</w:t>
            </w:r>
          </w:p>
        </w:tc>
        <w:tc>
          <w:tcPr>
            <w:tcW w:w="847" w:type="dxa"/>
            <w:tcBorders>
              <w:top w:val="nil"/>
              <w:left w:val="nil"/>
              <w:bottom w:val="single" w:sz="4" w:space="0" w:color="FFFFFF"/>
              <w:right w:val="nil"/>
            </w:tcBorders>
            <w:shd w:val="clear" w:color="000000" w:fill="D9D9D9"/>
            <w:vAlign w:val="center"/>
            <w:hideMark/>
          </w:tcPr>
          <w:p w14:paraId="56DB4E02"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1.4</w:t>
            </w:r>
          </w:p>
        </w:tc>
        <w:tc>
          <w:tcPr>
            <w:tcW w:w="847" w:type="dxa"/>
            <w:tcBorders>
              <w:top w:val="nil"/>
              <w:left w:val="nil"/>
              <w:bottom w:val="single" w:sz="4" w:space="0" w:color="FFFFFF"/>
              <w:right w:val="nil"/>
            </w:tcBorders>
            <w:shd w:val="clear" w:color="000000" w:fill="D9D9D9"/>
            <w:vAlign w:val="center"/>
            <w:hideMark/>
          </w:tcPr>
          <w:p w14:paraId="364C8E53"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2.4</w:t>
            </w:r>
          </w:p>
        </w:tc>
      </w:tr>
      <w:tr w:rsidR="00D54DE0" w:rsidRPr="00605642" w14:paraId="5DE48C26" w14:textId="77777777" w:rsidTr="001F1D94">
        <w:trPr>
          <w:trHeight w:val="170"/>
          <w:jc w:val="center"/>
        </w:trPr>
        <w:tc>
          <w:tcPr>
            <w:tcW w:w="3819" w:type="dxa"/>
            <w:tcBorders>
              <w:top w:val="nil"/>
              <w:left w:val="nil"/>
              <w:bottom w:val="single" w:sz="4" w:space="0" w:color="FFFFFF"/>
              <w:right w:val="nil"/>
            </w:tcBorders>
            <w:shd w:val="clear" w:color="auto" w:fill="B8CCE4" w:themeFill="accent1" w:themeFillTint="66"/>
            <w:vAlign w:val="center"/>
            <w:hideMark/>
          </w:tcPr>
          <w:p w14:paraId="4C386FCF" w14:textId="77777777" w:rsidR="00D54DE0" w:rsidRPr="00D54DE0" w:rsidRDefault="00D54DE0" w:rsidP="00D54DE0">
            <w:pPr>
              <w:spacing w:after="0" w:line="240" w:lineRule="auto"/>
              <w:jc w:val="left"/>
              <w:rPr>
                <w:rFonts w:ascii="Calibri" w:eastAsia="Times New Roman" w:hAnsi="Calibri" w:cs="Calibri"/>
                <w:b/>
                <w:bCs/>
                <w:sz w:val="22"/>
                <w:lang w:val="en-US"/>
              </w:rPr>
            </w:pPr>
            <w:r w:rsidRPr="00D54DE0">
              <w:rPr>
                <w:rFonts w:ascii="Calibri" w:eastAsia="Times New Roman" w:hAnsi="Calibri" w:cs="Calibri"/>
                <w:b/>
                <w:bCs/>
                <w:sz w:val="22"/>
                <w:lang w:val="en-US"/>
              </w:rPr>
              <w:t>Expenditure financed by RRF grants</w:t>
            </w:r>
          </w:p>
        </w:tc>
        <w:tc>
          <w:tcPr>
            <w:tcW w:w="848" w:type="dxa"/>
            <w:tcBorders>
              <w:top w:val="nil"/>
              <w:left w:val="nil"/>
              <w:bottom w:val="single" w:sz="4" w:space="0" w:color="FFFFFF"/>
              <w:right w:val="nil"/>
            </w:tcBorders>
            <w:shd w:val="clear" w:color="auto" w:fill="B8CCE4" w:themeFill="accent1" w:themeFillTint="66"/>
            <w:vAlign w:val="center"/>
            <w:hideMark/>
          </w:tcPr>
          <w:p w14:paraId="2C26327D" w14:textId="77777777" w:rsidR="00D54DE0" w:rsidRPr="00D54DE0" w:rsidRDefault="00D54DE0" w:rsidP="00D54DE0">
            <w:pPr>
              <w:spacing w:after="0" w:line="240" w:lineRule="auto"/>
              <w:jc w:val="left"/>
              <w:rPr>
                <w:rFonts w:ascii="Calibri" w:eastAsia="Times New Roman" w:hAnsi="Calibri" w:cs="Calibri"/>
                <w:sz w:val="22"/>
                <w:lang w:val="en-US"/>
              </w:rPr>
            </w:pPr>
            <w:r w:rsidRPr="00D54DE0">
              <w:rPr>
                <w:rFonts w:ascii="Calibri" w:eastAsia="Times New Roman" w:hAnsi="Calibri" w:cs="Calibri"/>
                <w:sz w:val="22"/>
                <w:lang w:val="en-US"/>
              </w:rPr>
              <w:t> </w:t>
            </w:r>
          </w:p>
        </w:tc>
        <w:tc>
          <w:tcPr>
            <w:tcW w:w="847" w:type="dxa"/>
            <w:tcBorders>
              <w:top w:val="nil"/>
              <w:left w:val="nil"/>
              <w:bottom w:val="single" w:sz="4" w:space="0" w:color="FFFFFF"/>
              <w:right w:val="nil"/>
            </w:tcBorders>
            <w:shd w:val="clear" w:color="auto" w:fill="B8CCE4" w:themeFill="accent1" w:themeFillTint="66"/>
            <w:vAlign w:val="center"/>
            <w:hideMark/>
          </w:tcPr>
          <w:p w14:paraId="506BBA87" w14:textId="77777777" w:rsidR="00D54DE0" w:rsidRPr="00D54DE0" w:rsidRDefault="00D54DE0" w:rsidP="00D54DE0">
            <w:pPr>
              <w:spacing w:after="0" w:line="240" w:lineRule="auto"/>
              <w:jc w:val="left"/>
              <w:rPr>
                <w:rFonts w:ascii="Calibri" w:eastAsia="Times New Roman" w:hAnsi="Calibri" w:cs="Calibri"/>
                <w:sz w:val="22"/>
                <w:lang w:val="en-US"/>
              </w:rPr>
            </w:pPr>
            <w:r w:rsidRPr="00D54DE0">
              <w:rPr>
                <w:rFonts w:ascii="Calibri" w:eastAsia="Times New Roman" w:hAnsi="Calibri" w:cs="Calibri"/>
                <w:sz w:val="22"/>
                <w:lang w:val="en-US"/>
              </w:rPr>
              <w:t> </w:t>
            </w:r>
          </w:p>
        </w:tc>
        <w:tc>
          <w:tcPr>
            <w:tcW w:w="847" w:type="dxa"/>
            <w:tcBorders>
              <w:top w:val="nil"/>
              <w:left w:val="nil"/>
              <w:bottom w:val="single" w:sz="4" w:space="0" w:color="FFFFFF"/>
              <w:right w:val="nil"/>
            </w:tcBorders>
            <w:shd w:val="clear" w:color="auto" w:fill="B8CCE4" w:themeFill="accent1" w:themeFillTint="66"/>
            <w:vAlign w:val="center"/>
            <w:hideMark/>
          </w:tcPr>
          <w:p w14:paraId="4FDFB412" w14:textId="77777777" w:rsidR="00D54DE0" w:rsidRPr="00D54DE0" w:rsidRDefault="00D54DE0" w:rsidP="00D54DE0">
            <w:pPr>
              <w:spacing w:after="0" w:line="240" w:lineRule="auto"/>
              <w:jc w:val="left"/>
              <w:rPr>
                <w:rFonts w:ascii="Calibri" w:eastAsia="Times New Roman" w:hAnsi="Calibri" w:cs="Calibri"/>
                <w:sz w:val="22"/>
                <w:lang w:val="en-US"/>
              </w:rPr>
            </w:pPr>
            <w:r w:rsidRPr="00D54DE0">
              <w:rPr>
                <w:rFonts w:ascii="Calibri" w:eastAsia="Times New Roman" w:hAnsi="Calibri" w:cs="Calibri"/>
                <w:sz w:val="22"/>
                <w:lang w:val="en-US"/>
              </w:rPr>
              <w:t> </w:t>
            </w:r>
          </w:p>
        </w:tc>
        <w:tc>
          <w:tcPr>
            <w:tcW w:w="847" w:type="dxa"/>
            <w:tcBorders>
              <w:top w:val="nil"/>
              <w:left w:val="nil"/>
              <w:bottom w:val="single" w:sz="4" w:space="0" w:color="FFFFFF"/>
              <w:right w:val="nil"/>
            </w:tcBorders>
            <w:shd w:val="clear" w:color="auto" w:fill="B8CCE4" w:themeFill="accent1" w:themeFillTint="66"/>
            <w:vAlign w:val="center"/>
            <w:hideMark/>
          </w:tcPr>
          <w:p w14:paraId="540BE703" w14:textId="77777777" w:rsidR="00D54DE0" w:rsidRPr="00D54DE0" w:rsidRDefault="00D54DE0" w:rsidP="00D54DE0">
            <w:pPr>
              <w:spacing w:after="0" w:line="240" w:lineRule="auto"/>
              <w:jc w:val="left"/>
              <w:rPr>
                <w:rFonts w:ascii="Calibri" w:eastAsia="Times New Roman" w:hAnsi="Calibri" w:cs="Calibri"/>
                <w:sz w:val="22"/>
                <w:lang w:val="en-US"/>
              </w:rPr>
            </w:pPr>
            <w:r w:rsidRPr="00D54DE0">
              <w:rPr>
                <w:rFonts w:ascii="Calibri" w:eastAsia="Times New Roman" w:hAnsi="Calibri" w:cs="Calibri"/>
                <w:sz w:val="22"/>
                <w:lang w:val="en-US"/>
              </w:rPr>
              <w:t> </w:t>
            </w:r>
          </w:p>
        </w:tc>
        <w:tc>
          <w:tcPr>
            <w:tcW w:w="847" w:type="dxa"/>
            <w:tcBorders>
              <w:top w:val="nil"/>
              <w:left w:val="nil"/>
              <w:bottom w:val="single" w:sz="4" w:space="0" w:color="FFFFFF"/>
              <w:right w:val="nil"/>
            </w:tcBorders>
            <w:shd w:val="clear" w:color="auto" w:fill="B8CCE4" w:themeFill="accent1" w:themeFillTint="66"/>
            <w:vAlign w:val="center"/>
            <w:hideMark/>
          </w:tcPr>
          <w:p w14:paraId="67AA3B13" w14:textId="77777777" w:rsidR="00D54DE0" w:rsidRPr="00D54DE0" w:rsidRDefault="00D54DE0" w:rsidP="00D54DE0">
            <w:pPr>
              <w:spacing w:after="0" w:line="240" w:lineRule="auto"/>
              <w:jc w:val="left"/>
              <w:rPr>
                <w:rFonts w:ascii="Calibri" w:eastAsia="Times New Roman" w:hAnsi="Calibri" w:cs="Calibri"/>
                <w:sz w:val="22"/>
                <w:lang w:val="en-US"/>
              </w:rPr>
            </w:pPr>
            <w:r w:rsidRPr="00D54DE0">
              <w:rPr>
                <w:rFonts w:ascii="Calibri" w:eastAsia="Times New Roman" w:hAnsi="Calibri" w:cs="Calibri"/>
                <w:sz w:val="22"/>
                <w:lang w:val="en-US"/>
              </w:rPr>
              <w:t> </w:t>
            </w:r>
          </w:p>
        </w:tc>
        <w:tc>
          <w:tcPr>
            <w:tcW w:w="847" w:type="dxa"/>
            <w:tcBorders>
              <w:top w:val="nil"/>
              <w:left w:val="nil"/>
              <w:bottom w:val="single" w:sz="4" w:space="0" w:color="FFFFFF"/>
              <w:right w:val="nil"/>
            </w:tcBorders>
            <w:shd w:val="clear" w:color="auto" w:fill="B8CCE4" w:themeFill="accent1" w:themeFillTint="66"/>
            <w:vAlign w:val="center"/>
            <w:hideMark/>
          </w:tcPr>
          <w:p w14:paraId="08A931B4" w14:textId="77777777" w:rsidR="00D54DE0" w:rsidRPr="00D54DE0" w:rsidRDefault="00D54DE0" w:rsidP="00D54DE0">
            <w:pPr>
              <w:spacing w:after="0" w:line="240" w:lineRule="auto"/>
              <w:jc w:val="left"/>
              <w:rPr>
                <w:rFonts w:ascii="Calibri" w:eastAsia="Times New Roman" w:hAnsi="Calibri" w:cs="Calibri"/>
                <w:sz w:val="22"/>
                <w:lang w:val="en-US"/>
              </w:rPr>
            </w:pPr>
            <w:r w:rsidRPr="00D54DE0">
              <w:rPr>
                <w:rFonts w:ascii="Calibri" w:eastAsia="Times New Roman" w:hAnsi="Calibri" w:cs="Calibri"/>
                <w:sz w:val="22"/>
                <w:lang w:val="en-US"/>
              </w:rPr>
              <w:t> </w:t>
            </w:r>
          </w:p>
        </w:tc>
      </w:tr>
      <w:tr w:rsidR="00D54DE0" w:rsidRPr="00D54DE0" w14:paraId="3BFF8BED" w14:textId="77777777" w:rsidTr="00D54DE0">
        <w:trPr>
          <w:trHeight w:val="170"/>
          <w:jc w:val="center"/>
        </w:trPr>
        <w:tc>
          <w:tcPr>
            <w:tcW w:w="3819" w:type="dxa"/>
            <w:tcBorders>
              <w:top w:val="nil"/>
              <w:left w:val="nil"/>
              <w:bottom w:val="single" w:sz="4" w:space="0" w:color="FFFFFF"/>
              <w:right w:val="nil"/>
            </w:tcBorders>
            <w:shd w:val="clear" w:color="000000" w:fill="F2F2F2"/>
            <w:vAlign w:val="center"/>
            <w:hideMark/>
          </w:tcPr>
          <w:p w14:paraId="23E16BC4" w14:textId="77777777" w:rsidR="00D54DE0" w:rsidRPr="00D54DE0" w:rsidRDefault="00D54DE0" w:rsidP="00D54DE0">
            <w:pPr>
              <w:spacing w:after="0" w:line="240" w:lineRule="auto"/>
              <w:jc w:val="left"/>
              <w:rPr>
                <w:rFonts w:ascii="Calibri" w:eastAsia="Times New Roman" w:hAnsi="Calibri" w:cs="Calibri"/>
                <w:sz w:val="22"/>
              </w:rPr>
            </w:pPr>
            <w:r w:rsidRPr="00D54DE0">
              <w:rPr>
                <w:rFonts w:ascii="Calibri" w:eastAsia="Times New Roman" w:hAnsi="Calibri" w:cs="Calibri"/>
                <w:sz w:val="22"/>
              </w:rPr>
              <w:t>3. Total current expenditure</w:t>
            </w:r>
          </w:p>
        </w:tc>
        <w:tc>
          <w:tcPr>
            <w:tcW w:w="848" w:type="dxa"/>
            <w:tcBorders>
              <w:top w:val="nil"/>
              <w:left w:val="nil"/>
              <w:bottom w:val="single" w:sz="4" w:space="0" w:color="FFFFFF"/>
              <w:right w:val="nil"/>
            </w:tcBorders>
            <w:shd w:val="clear" w:color="000000" w:fill="F2F2F2"/>
            <w:vAlign w:val="center"/>
            <w:hideMark/>
          </w:tcPr>
          <w:p w14:paraId="19F00F81"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0.1</w:t>
            </w:r>
          </w:p>
        </w:tc>
        <w:tc>
          <w:tcPr>
            <w:tcW w:w="847" w:type="dxa"/>
            <w:tcBorders>
              <w:top w:val="nil"/>
              <w:left w:val="nil"/>
              <w:bottom w:val="single" w:sz="4" w:space="0" w:color="FFFFFF"/>
              <w:right w:val="nil"/>
            </w:tcBorders>
            <w:shd w:val="clear" w:color="000000" w:fill="F2F2F2"/>
            <w:vAlign w:val="center"/>
            <w:hideMark/>
          </w:tcPr>
          <w:p w14:paraId="298F7E6A"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0.0</w:t>
            </w:r>
          </w:p>
        </w:tc>
        <w:tc>
          <w:tcPr>
            <w:tcW w:w="847" w:type="dxa"/>
            <w:tcBorders>
              <w:top w:val="nil"/>
              <w:left w:val="nil"/>
              <w:bottom w:val="single" w:sz="4" w:space="0" w:color="FFFFFF"/>
              <w:right w:val="nil"/>
            </w:tcBorders>
            <w:shd w:val="clear" w:color="000000" w:fill="F2F2F2"/>
            <w:vAlign w:val="center"/>
            <w:hideMark/>
          </w:tcPr>
          <w:p w14:paraId="00F164FB"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0.2</w:t>
            </w:r>
          </w:p>
        </w:tc>
        <w:tc>
          <w:tcPr>
            <w:tcW w:w="847" w:type="dxa"/>
            <w:tcBorders>
              <w:top w:val="nil"/>
              <w:left w:val="nil"/>
              <w:bottom w:val="single" w:sz="4" w:space="0" w:color="FFFFFF"/>
              <w:right w:val="nil"/>
            </w:tcBorders>
            <w:shd w:val="clear" w:color="000000" w:fill="F2F2F2"/>
            <w:vAlign w:val="center"/>
            <w:hideMark/>
          </w:tcPr>
          <w:p w14:paraId="47BB94B3"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0.2</w:t>
            </w:r>
          </w:p>
        </w:tc>
        <w:tc>
          <w:tcPr>
            <w:tcW w:w="847" w:type="dxa"/>
            <w:tcBorders>
              <w:top w:val="nil"/>
              <w:left w:val="nil"/>
              <w:bottom w:val="single" w:sz="4" w:space="0" w:color="FFFFFF"/>
              <w:right w:val="nil"/>
            </w:tcBorders>
            <w:shd w:val="clear" w:color="000000" w:fill="F2F2F2"/>
            <w:vAlign w:val="center"/>
            <w:hideMark/>
          </w:tcPr>
          <w:p w14:paraId="0244749E"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0.3</w:t>
            </w:r>
          </w:p>
        </w:tc>
        <w:tc>
          <w:tcPr>
            <w:tcW w:w="847" w:type="dxa"/>
            <w:tcBorders>
              <w:top w:val="nil"/>
              <w:left w:val="nil"/>
              <w:bottom w:val="single" w:sz="4" w:space="0" w:color="FFFFFF"/>
              <w:right w:val="nil"/>
            </w:tcBorders>
            <w:shd w:val="clear" w:color="000000" w:fill="F2F2F2"/>
            <w:vAlign w:val="center"/>
            <w:hideMark/>
          </w:tcPr>
          <w:p w14:paraId="173A8B52"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0.3</w:t>
            </w:r>
          </w:p>
        </w:tc>
      </w:tr>
      <w:tr w:rsidR="00D54DE0" w:rsidRPr="00D54DE0" w14:paraId="11D94655" w14:textId="77777777" w:rsidTr="00D54DE0">
        <w:trPr>
          <w:trHeight w:val="170"/>
          <w:jc w:val="center"/>
        </w:trPr>
        <w:tc>
          <w:tcPr>
            <w:tcW w:w="3819" w:type="dxa"/>
            <w:tcBorders>
              <w:top w:val="nil"/>
              <w:left w:val="nil"/>
              <w:bottom w:val="single" w:sz="4" w:space="0" w:color="FFFFFF"/>
              <w:right w:val="nil"/>
            </w:tcBorders>
            <w:shd w:val="clear" w:color="000000" w:fill="D9D9D9"/>
            <w:vAlign w:val="center"/>
            <w:hideMark/>
          </w:tcPr>
          <w:p w14:paraId="55A7EA59" w14:textId="77777777" w:rsidR="00D54DE0" w:rsidRPr="00D54DE0" w:rsidRDefault="00D54DE0" w:rsidP="00D54DE0">
            <w:pPr>
              <w:spacing w:after="0" w:line="240" w:lineRule="auto"/>
              <w:jc w:val="left"/>
              <w:rPr>
                <w:rFonts w:ascii="Calibri" w:eastAsia="Times New Roman" w:hAnsi="Calibri" w:cs="Calibri"/>
                <w:sz w:val="22"/>
              </w:rPr>
            </w:pPr>
            <w:r w:rsidRPr="00D54DE0">
              <w:rPr>
                <w:rFonts w:ascii="Calibri" w:eastAsia="Times New Roman" w:hAnsi="Calibri" w:cs="Calibri"/>
                <w:sz w:val="22"/>
              </w:rPr>
              <w:t>4. Gross fixed capital formation</w:t>
            </w:r>
          </w:p>
        </w:tc>
        <w:tc>
          <w:tcPr>
            <w:tcW w:w="848" w:type="dxa"/>
            <w:tcBorders>
              <w:top w:val="nil"/>
              <w:left w:val="nil"/>
              <w:bottom w:val="single" w:sz="4" w:space="0" w:color="FFFFFF"/>
              <w:right w:val="nil"/>
            </w:tcBorders>
            <w:shd w:val="clear" w:color="000000" w:fill="D9D9D9"/>
            <w:vAlign w:val="center"/>
            <w:hideMark/>
          </w:tcPr>
          <w:p w14:paraId="25D63DB6"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0.1</w:t>
            </w:r>
          </w:p>
        </w:tc>
        <w:tc>
          <w:tcPr>
            <w:tcW w:w="847" w:type="dxa"/>
            <w:tcBorders>
              <w:top w:val="nil"/>
              <w:left w:val="nil"/>
              <w:bottom w:val="single" w:sz="4" w:space="0" w:color="FFFFFF"/>
              <w:right w:val="nil"/>
            </w:tcBorders>
            <w:shd w:val="clear" w:color="000000" w:fill="D9D9D9"/>
            <w:vAlign w:val="center"/>
            <w:hideMark/>
          </w:tcPr>
          <w:p w14:paraId="270A3FBE"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0.3</w:t>
            </w:r>
          </w:p>
        </w:tc>
        <w:tc>
          <w:tcPr>
            <w:tcW w:w="847" w:type="dxa"/>
            <w:tcBorders>
              <w:top w:val="nil"/>
              <w:left w:val="nil"/>
              <w:bottom w:val="single" w:sz="4" w:space="0" w:color="FFFFFF"/>
              <w:right w:val="nil"/>
            </w:tcBorders>
            <w:shd w:val="clear" w:color="000000" w:fill="D9D9D9"/>
            <w:vAlign w:val="center"/>
            <w:hideMark/>
          </w:tcPr>
          <w:p w14:paraId="4F3C2095"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0.2</w:t>
            </w:r>
          </w:p>
        </w:tc>
        <w:tc>
          <w:tcPr>
            <w:tcW w:w="847" w:type="dxa"/>
            <w:tcBorders>
              <w:top w:val="nil"/>
              <w:left w:val="nil"/>
              <w:bottom w:val="single" w:sz="4" w:space="0" w:color="FFFFFF"/>
              <w:right w:val="nil"/>
            </w:tcBorders>
            <w:shd w:val="clear" w:color="000000" w:fill="D9D9D9"/>
            <w:vAlign w:val="center"/>
            <w:hideMark/>
          </w:tcPr>
          <w:p w14:paraId="50BAD5AF"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0.6</w:t>
            </w:r>
          </w:p>
        </w:tc>
        <w:tc>
          <w:tcPr>
            <w:tcW w:w="847" w:type="dxa"/>
            <w:tcBorders>
              <w:top w:val="nil"/>
              <w:left w:val="nil"/>
              <w:bottom w:val="single" w:sz="4" w:space="0" w:color="FFFFFF"/>
              <w:right w:val="nil"/>
            </w:tcBorders>
            <w:shd w:val="clear" w:color="000000" w:fill="D9D9D9"/>
            <w:vAlign w:val="center"/>
            <w:hideMark/>
          </w:tcPr>
          <w:p w14:paraId="2AA48772"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1.0</w:t>
            </w:r>
          </w:p>
        </w:tc>
        <w:tc>
          <w:tcPr>
            <w:tcW w:w="847" w:type="dxa"/>
            <w:tcBorders>
              <w:top w:val="nil"/>
              <w:left w:val="nil"/>
              <w:bottom w:val="single" w:sz="4" w:space="0" w:color="FFFFFF"/>
              <w:right w:val="nil"/>
            </w:tcBorders>
            <w:shd w:val="clear" w:color="000000" w:fill="D9D9D9"/>
            <w:vAlign w:val="center"/>
            <w:hideMark/>
          </w:tcPr>
          <w:p w14:paraId="04ECF756"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1.6</w:t>
            </w:r>
          </w:p>
        </w:tc>
      </w:tr>
      <w:tr w:rsidR="00D54DE0" w:rsidRPr="00D54DE0" w14:paraId="41C64827" w14:textId="77777777" w:rsidTr="00D54DE0">
        <w:trPr>
          <w:trHeight w:val="170"/>
          <w:jc w:val="center"/>
        </w:trPr>
        <w:tc>
          <w:tcPr>
            <w:tcW w:w="3819" w:type="dxa"/>
            <w:tcBorders>
              <w:top w:val="nil"/>
              <w:left w:val="nil"/>
              <w:bottom w:val="single" w:sz="4" w:space="0" w:color="FFFFFF"/>
              <w:right w:val="nil"/>
            </w:tcBorders>
            <w:shd w:val="clear" w:color="000000" w:fill="F2F2F2"/>
            <w:vAlign w:val="center"/>
            <w:hideMark/>
          </w:tcPr>
          <w:p w14:paraId="576BE52C" w14:textId="77777777" w:rsidR="00D54DE0" w:rsidRPr="00D54DE0" w:rsidRDefault="00D54DE0" w:rsidP="00D54DE0">
            <w:pPr>
              <w:spacing w:after="0" w:line="240" w:lineRule="auto"/>
              <w:jc w:val="left"/>
              <w:rPr>
                <w:rFonts w:ascii="Calibri" w:eastAsia="Times New Roman" w:hAnsi="Calibri" w:cs="Calibri"/>
                <w:sz w:val="22"/>
              </w:rPr>
            </w:pPr>
            <w:r w:rsidRPr="00D54DE0">
              <w:rPr>
                <w:rFonts w:ascii="Calibri" w:eastAsia="Times New Roman" w:hAnsi="Calibri" w:cs="Calibri"/>
                <w:sz w:val="22"/>
              </w:rPr>
              <w:t>5. Other capital expenditure</w:t>
            </w:r>
          </w:p>
        </w:tc>
        <w:tc>
          <w:tcPr>
            <w:tcW w:w="848" w:type="dxa"/>
            <w:tcBorders>
              <w:top w:val="nil"/>
              <w:left w:val="nil"/>
              <w:bottom w:val="single" w:sz="4" w:space="0" w:color="FFFFFF"/>
              <w:right w:val="nil"/>
            </w:tcBorders>
            <w:shd w:val="clear" w:color="000000" w:fill="F2F2F2"/>
            <w:vAlign w:val="center"/>
            <w:hideMark/>
          </w:tcPr>
          <w:p w14:paraId="6143AEF6"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0.0</w:t>
            </w:r>
          </w:p>
        </w:tc>
        <w:tc>
          <w:tcPr>
            <w:tcW w:w="847" w:type="dxa"/>
            <w:tcBorders>
              <w:top w:val="nil"/>
              <w:left w:val="nil"/>
              <w:bottom w:val="single" w:sz="4" w:space="0" w:color="FFFFFF"/>
              <w:right w:val="nil"/>
            </w:tcBorders>
            <w:shd w:val="clear" w:color="000000" w:fill="F2F2F2"/>
            <w:vAlign w:val="center"/>
            <w:hideMark/>
          </w:tcPr>
          <w:p w14:paraId="7C9BF55F"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0.1</w:t>
            </w:r>
          </w:p>
        </w:tc>
        <w:tc>
          <w:tcPr>
            <w:tcW w:w="847" w:type="dxa"/>
            <w:tcBorders>
              <w:top w:val="nil"/>
              <w:left w:val="nil"/>
              <w:bottom w:val="single" w:sz="4" w:space="0" w:color="FFFFFF"/>
              <w:right w:val="nil"/>
            </w:tcBorders>
            <w:shd w:val="clear" w:color="000000" w:fill="F2F2F2"/>
            <w:vAlign w:val="center"/>
            <w:hideMark/>
          </w:tcPr>
          <w:p w14:paraId="06212DD5"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0.3</w:t>
            </w:r>
          </w:p>
        </w:tc>
        <w:tc>
          <w:tcPr>
            <w:tcW w:w="847" w:type="dxa"/>
            <w:tcBorders>
              <w:top w:val="nil"/>
              <w:left w:val="nil"/>
              <w:bottom w:val="single" w:sz="4" w:space="0" w:color="FFFFFF"/>
              <w:right w:val="nil"/>
            </w:tcBorders>
            <w:shd w:val="clear" w:color="000000" w:fill="F2F2F2"/>
            <w:vAlign w:val="center"/>
            <w:hideMark/>
          </w:tcPr>
          <w:p w14:paraId="41E802A5"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0.2</w:t>
            </w:r>
          </w:p>
        </w:tc>
        <w:tc>
          <w:tcPr>
            <w:tcW w:w="847" w:type="dxa"/>
            <w:tcBorders>
              <w:top w:val="nil"/>
              <w:left w:val="nil"/>
              <w:bottom w:val="single" w:sz="4" w:space="0" w:color="FFFFFF"/>
              <w:right w:val="nil"/>
            </w:tcBorders>
            <w:shd w:val="clear" w:color="000000" w:fill="F2F2F2"/>
            <w:vAlign w:val="center"/>
            <w:hideMark/>
          </w:tcPr>
          <w:p w14:paraId="7CBA4B9B"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0.4</w:t>
            </w:r>
          </w:p>
        </w:tc>
        <w:tc>
          <w:tcPr>
            <w:tcW w:w="847" w:type="dxa"/>
            <w:tcBorders>
              <w:top w:val="nil"/>
              <w:left w:val="nil"/>
              <w:bottom w:val="single" w:sz="4" w:space="0" w:color="FFFFFF"/>
              <w:right w:val="nil"/>
            </w:tcBorders>
            <w:shd w:val="clear" w:color="000000" w:fill="F2F2F2"/>
            <w:vAlign w:val="center"/>
            <w:hideMark/>
          </w:tcPr>
          <w:p w14:paraId="11F36715"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1.0</w:t>
            </w:r>
          </w:p>
        </w:tc>
      </w:tr>
      <w:tr w:rsidR="00D54DE0" w:rsidRPr="00D54DE0" w14:paraId="7A34F4C2" w14:textId="77777777" w:rsidTr="00D54DE0">
        <w:trPr>
          <w:trHeight w:val="170"/>
          <w:jc w:val="center"/>
        </w:trPr>
        <w:tc>
          <w:tcPr>
            <w:tcW w:w="3819" w:type="dxa"/>
            <w:tcBorders>
              <w:top w:val="nil"/>
              <w:left w:val="nil"/>
              <w:bottom w:val="single" w:sz="4" w:space="0" w:color="FFFFFF"/>
              <w:right w:val="nil"/>
            </w:tcBorders>
            <w:shd w:val="clear" w:color="000000" w:fill="D9D9D9"/>
            <w:vAlign w:val="center"/>
            <w:hideMark/>
          </w:tcPr>
          <w:p w14:paraId="6ECACA7F" w14:textId="77777777" w:rsidR="00D54DE0" w:rsidRPr="00D54DE0" w:rsidRDefault="00D54DE0" w:rsidP="00D54DE0">
            <w:pPr>
              <w:spacing w:after="0" w:line="240" w:lineRule="auto"/>
              <w:jc w:val="left"/>
              <w:rPr>
                <w:rFonts w:ascii="Calibri" w:eastAsia="Times New Roman" w:hAnsi="Calibri" w:cs="Calibri"/>
                <w:sz w:val="22"/>
              </w:rPr>
            </w:pPr>
            <w:r w:rsidRPr="00D54DE0">
              <w:rPr>
                <w:rFonts w:ascii="Calibri" w:eastAsia="Times New Roman" w:hAnsi="Calibri" w:cs="Calibri"/>
                <w:sz w:val="22"/>
              </w:rPr>
              <w:t>6. Total capital expenditure (= 4+5)</w:t>
            </w:r>
          </w:p>
        </w:tc>
        <w:tc>
          <w:tcPr>
            <w:tcW w:w="848" w:type="dxa"/>
            <w:tcBorders>
              <w:top w:val="nil"/>
              <w:left w:val="nil"/>
              <w:bottom w:val="single" w:sz="4" w:space="0" w:color="FFFFFF"/>
              <w:right w:val="nil"/>
            </w:tcBorders>
            <w:shd w:val="clear" w:color="000000" w:fill="D9D9D9"/>
            <w:vAlign w:val="center"/>
            <w:hideMark/>
          </w:tcPr>
          <w:p w14:paraId="74C74B2A"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0.1</w:t>
            </w:r>
          </w:p>
        </w:tc>
        <w:tc>
          <w:tcPr>
            <w:tcW w:w="847" w:type="dxa"/>
            <w:tcBorders>
              <w:top w:val="nil"/>
              <w:left w:val="nil"/>
              <w:bottom w:val="single" w:sz="4" w:space="0" w:color="FFFFFF"/>
              <w:right w:val="nil"/>
            </w:tcBorders>
            <w:shd w:val="clear" w:color="000000" w:fill="D9D9D9"/>
            <w:vAlign w:val="center"/>
            <w:hideMark/>
          </w:tcPr>
          <w:p w14:paraId="1C9B9327"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0.4</w:t>
            </w:r>
          </w:p>
        </w:tc>
        <w:tc>
          <w:tcPr>
            <w:tcW w:w="847" w:type="dxa"/>
            <w:tcBorders>
              <w:top w:val="nil"/>
              <w:left w:val="nil"/>
              <w:bottom w:val="single" w:sz="4" w:space="0" w:color="FFFFFF"/>
              <w:right w:val="nil"/>
            </w:tcBorders>
            <w:shd w:val="clear" w:color="000000" w:fill="D9D9D9"/>
            <w:vAlign w:val="center"/>
            <w:hideMark/>
          </w:tcPr>
          <w:p w14:paraId="1769139D"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0.5</w:t>
            </w:r>
          </w:p>
        </w:tc>
        <w:tc>
          <w:tcPr>
            <w:tcW w:w="847" w:type="dxa"/>
            <w:tcBorders>
              <w:top w:val="nil"/>
              <w:left w:val="nil"/>
              <w:bottom w:val="single" w:sz="4" w:space="0" w:color="FFFFFF"/>
              <w:right w:val="nil"/>
            </w:tcBorders>
            <w:shd w:val="clear" w:color="000000" w:fill="D9D9D9"/>
            <w:vAlign w:val="center"/>
            <w:hideMark/>
          </w:tcPr>
          <w:p w14:paraId="35223CB6"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0.8</w:t>
            </w:r>
          </w:p>
        </w:tc>
        <w:tc>
          <w:tcPr>
            <w:tcW w:w="847" w:type="dxa"/>
            <w:tcBorders>
              <w:top w:val="nil"/>
              <w:left w:val="nil"/>
              <w:bottom w:val="single" w:sz="4" w:space="0" w:color="FFFFFF"/>
              <w:right w:val="nil"/>
            </w:tcBorders>
            <w:shd w:val="clear" w:color="000000" w:fill="D9D9D9"/>
            <w:vAlign w:val="center"/>
            <w:hideMark/>
          </w:tcPr>
          <w:p w14:paraId="7D7FE150"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1.4</w:t>
            </w:r>
          </w:p>
        </w:tc>
        <w:tc>
          <w:tcPr>
            <w:tcW w:w="847" w:type="dxa"/>
            <w:tcBorders>
              <w:top w:val="nil"/>
              <w:left w:val="nil"/>
              <w:bottom w:val="single" w:sz="4" w:space="0" w:color="FFFFFF"/>
              <w:right w:val="nil"/>
            </w:tcBorders>
            <w:shd w:val="clear" w:color="000000" w:fill="D9D9D9"/>
            <w:vAlign w:val="center"/>
            <w:hideMark/>
          </w:tcPr>
          <w:p w14:paraId="2DF3BA0B"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2.6</w:t>
            </w:r>
          </w:p>
        </w:tc>
      </w:tr>
      <w:tr w:rsidR="00D54DE0" w:rsidRPr="00605642" w14:paraId="3A8712F7" w14:textId="77777777" w:rsidTr="001F1D94">
        <w:trPr>
          <w:trHeight w:val="170"/>
          <w:jc w:val="center"/>
        </w:trPr>
        <w:tc>
          <w:tcPr>
            <w:tcW w:w="3819" w:type="dxa"/>
            <w:tcBorders>
              <w:top w:val="nil"/>
              <w:left w:val="nil"/>
              <w:bottom w:val="single" w:sz="4" w:space="0" w:color="FFFFFF"/>
              <w:right w:val="nil"/>
            </w:tcBorders>
            <w:shd w:val="clear" w:color="auto" w:fill="B8CCE4" w:themeFill="accent1" w:themeFillTint="66"/>
            <w:vAlign w:val="center"/>
            <w:hideMark/>
          </w:tcPr>
          <w:p w14:paraId="5C9EC297" w14:textId="77777777" w:rsidR="00D54DE0" w:rsidRPr="00D54DE0" w:rsidRDefault="00D54DE0" w:rsidP="00D54DE0">
            <w:pPr>
              <w:spacing w:after="0" w:line="240" w:lineRule="auto"/>
              <w:jc w:val="left"/>
              <w:rPr>
                <w:rFonts w:ascii="Calibri" w:eastAsia="Times New Roman" w:hAnsi="Calibri" w:cs="Calibri"/>
                <w:b/>
                <w:bCs/>
                <w:sz w:val="22"/>
                <w:lang w:val="en-US"/>
              </w:rPr>
            </w:pPr>
            <w:r w:rsidRPr="00D54DE0">
              <w:rPr>
                <w:rFonts w:ascii="Calibri" w:eastAsia="Times New Roman" w:hAnsi="Calibri" w:cs="Calibri"/>
                <w:b/>
                <w:bCs/>
                <w:sz w:val="22"/>
                <w:lang w:val="en-US"/>
              </w:rPr>
              <w:t>Other costs financed by RRF grants</w:t>
            </w:r>
          </w:p>
        </w:tc>
        <w:tc>
          <w:tcPr>
            <w:tcW w:w="848" w:type="dxa"/>
            <w:tcBorders>
              <w:top w:val="nil"/>
              <w:left w:val="nil"/>
              <w:bottom w:val="single" w:sz="4" w:space="0" w:color="FFFFFF"/>
              <w:right w:val="nil"/>
            </w:tcBorders>
            <w:shd w:val="clear" w:color="auto" w:fill="B8CCE4" w:themeFill="accent1" w:themeFillTint="66"/>
            <w:vAlign w:val="center"/>
            <w:hideMark/>
          </w:tcPr>
          <w:p w14:paraId="519C0E78" w14:textId="77777777" w:rsidR="00D54DE0" w:rsidRPr="00D54DE0" w:rsidRDefault="00D54DE0" w:rsidP="00D54DE0">
            <w:pPr>
              <w:spacing w:after="0" w:line="240" w:lineRule="auto"/>
              <w:jc w:val="left"/>
              <w:rPr>
                <w:rFonts w:ascii="Calibri" w:eastAsia="Times New Roman" w:hAnsi="Calibri" w:cs="Calibri"/>
                <w:sz w:val="22"/>
                <w:lang w:val="en-US"/>
              </w:rPr>
            </w:pPr>
            <w:r w:rsidRPr="00D54DE0">
              <w:rPr>
                <w:rFonts w:ascii="Calibri" w:eastAsia="Times New Roman" w:hAnsi="Calibri" w:cs="Calibri"/>
                <w:sz w:val="22"/>
                <w:lang w:val="en-US"/>
              </w:rPr>
              <w:t> </w:t>
            </w:r>
          </w:p>
        </w:tc>
        <w:tc>
          <w:tcPr>
            <w:tcW w:w="847" w:type="dxa"/>
            <w:tcBorders>
              <w:top w:val="nil"/>
              <w:left w:val="nil"/>
              <w:bottom w:val="single" w:sz="4" w:space="0" w:color="FFFFFF"/>
              <w:right w:val="nil"/>
            </w:tcBorders>
            <w:shd w:val="clear" w:color="auto" w:fill="B8CCE4" w:themeFill="accent1" w:themeFillTint="66"/>
            <w:vAlign w:val="center"/>
            <w:hideMark/>
          </w:tcPr>
          <w:p w14:paraId="6AE3F5D8" w14:textId="77777777" w:rsidR="00D54DE0" w:rsidRPr="00D54DE0" w:rsidRDefault="00D54DE0" w:rsidP="00D54DE0">
            <w:pPr>
              <w:spacing w:after="0" w:line="240" w:lineRule="auto"/>
              <w:jc w:val="left"/>
              <w:rPr>
                <w:rFonts w:ascii="Calibri" w:eastAsia="Times New Roman" w:hAnsi="Calibri" w:cs="Calibri"/>
                <w:sz w:val="22"/>
                <w:lang w:val="en-US"/>
              </w:rPr>
            </w:pPr>
            <w:r w:rsidRPr="00D54DE0">
              <w:rPr>
                <w:rFonts w:ascii="Calibri" w:eastAsia="Times New Roman" w:hAnsi="Calibri" w:cs="Calibri"/>
                <w:sz w:val="22"/>
                <w:lang w:val="en-US"/>
              </w:rPr>
              <w:t> </w:t>
            </w:r>
          </w:p>
        </w:tc>
        <w:tc>
          <w:tcPr>
            <w:tcW w:w="847" w:type="dxa"/>
            <w:tcBorders>
              <w:top w:val="nil"/>
              <w:left w:val="nil"/>
              <w:bottom w:val="single" w:sz="4" w:space="0" w:color="FFFFFF"/>
              <w:right w:val="nil"/>
            </w:tcBorders>
            <w:shd w:val="clear" w:color="auto" w:fill="B8CCE4" w:themeFill="accent1" w:themeFillTint="66"/>
            <w:vAlign w:val="center"/>
            <w:hideMark/>
          </w:tcPr>
          <w:p w14:paraId="465B6105" w14:textId="77777777" w:rsidR="00D54DE0" w:rsidRPr="00D54DE0" w:rsidRDefault="00D54DE0" w:rsidP="00D54DE0">
            <w:pPr>
              <w:spacing w:after="0" w:line="240" w:lineRule="auto"/>
              <w:jc w:val="left"/>
              <w:rPr>
                <w:rFonts w:ascii="Calibri" w:eastAsia="Times New Roman" w:hAnsi="Calibri" w:cs="Calibri"/>
                <w:sz w:val="22"/>
                <w:lang w:val="en-US"/>
              </w:rPr>
            </w:pPr>
            <w:r w:rsidRPr="00D54DE0">
              <w:rPr>
                <w:rFonts w:ascii="Calibri" w:eastAsia="Times New Roman" w:hAnsi="Calibri" w:cs="Calibri"/>
                <w:sz w:val="22"/>
                <w:lang w:val="en-US"/>
              </w:rPr>
              <w:t> </w:t>
            </w:r>
          </w:p>
        </w:tc>
        <w:tc>
          <w:tcPr>
            <w:tcW w:w="847" w:type="dxa"/>
            <w:tcBorders>
              <w:top w:val="nil"/>
              <w:left w:val="nil"/>
              <w:bottom w:val="single" w:sz="4" w:space="0" w:color="FFFFFF"/>
              <w:right w:val="nil"/>
            </w:tcBorders>
            <w:shd w:val="clear" w:color="auto" w:fill="B8CCE4" w:themeFill="accent1" w:themeFillTint="66"/>
            <w:vAlign w:val="center"/>
            <w:hideMark/>
          </w:tcPr>
          <w:p w14:paraId="3AA5D8E7" w14:textId="77777777" w:rsidR="00D54DE0" w:rsidRPr="00D54DE0" w:rsidRDefault="00D54DE0" w:rsidP="00D54DE0">
            <w:pPr>
              <w:spacing w:after="0" w:line="240" w:lineRule="auto"/>
              <w:jc w:val="left"/>
              <w:rPr>
                <w:rFonts w:ascii="Calibri" w:eastAsia="Times New Roman" w:hAnsi="Calibri" w:cs="Calibri"/>
                <w:sz w:val="22"/>
                <w:lang w:val="en-US"/>
              </w:rPr>
            </w:pPr>
            <w:r w:rsidRPr="00D54DE0">
              <w:rPr>
                <w:rFonts w:ascii="Calibri" w:eastAsia="Times New Roman" w:hAnsi="Calibri" w:cs="Calibri"/>
                <w:sz w:val="22"/>
                <w:lang w:val="en-US"/>
              </w:rPr>
              <w:t> </w:t>
            </w:r>
          </w:p>
        </w:tc>
        <w:tc>
          <w:tcPr>
            <w:tcW w:w="847" w:type="dxa"/>
            <w:tcBorders>
              <w:top w:val="nil"/>
              <w:left w:val="nil"/>
              <w:bottom w:val="single" w:sz="4" w:space="0" w:color="FFFFFF"/>
              <w:right w:val="nil"/>
            </w:tcBorders>
            <w:shd w:val="clear" w:color="auto" w:fill="B8CCE4" w:themeFill="accent1" w:themeFillTint="66"/>
            <w:vAlign w:val="center"/>
            <w:hideMark/>
          </w:tcPr>
          <w:p w14:paraId="077EF8D4" w14:textId="77777777" w:rsidR="00D54DE0" w:rsidRPr="00D54DE0" w:rsidRDefault="00D54DE0" w:rsidP="00D54DE0">
            <w:pPr>
              <w:spacing w:after="0" w:line="240" w:lineRule="auto"/>
              <w:jc w:val="left"/>
              <w:rPr>
                <w:rFonts w:ascii="Calibri" w:eastAsia="Times New Roman" w:hAnsi="Calibri" w:cs="Calibri"/>
                <w:sz w:val="22"/>
                <w:lang w:val="en-US"/>
              </w:rPr>
            </w:pPr>
            <w:r w:rsidRPr="00D54DE0">
              <w:rPr>
                <w:rFonts w:ascii="Calibri" w:eastAsia="Times New Roman" w:hAnsi="Calibri" w:cs="Calibri"/>
                <w:sz w:val="22"/>
                <w:lang w:val="en-US"/>
              </w:rPr>
              <w:t> </w:t>
            </w:r>
          </w:p>
        </w:tc>
        <w:tc>
          <w:tcPr>
            <w:tcW w:w="847" w:type="dxa"/>
            <w:tcBorders>
              <w:top w:val="nil"/>
              <w:left w:val="nil"/>
              <w:bottom w:val="single" w:sz="4" w:space="0" w:color="FFFFFF"/>
              <w:right w:val="nil"/>
            </w:tcBorders>
            <w:shd w:val="clear" w:color="auto" w:fill="B8CCE4" w:themeFill="accent1" w:themeFillTint="66"/>
            <w:vAlign w:val="center"/>
            <w:hideMark/>
          </w:tcPr>
          <w:p w14:paraId="2D1C8780" w14:textId="77777777" w:rsidR="00D54DE0" w:rsidRPr="00D54DE0" w:rsidRDefault="00D54DE0" w:rsidP="00D54DE0">
            <w:pPr>
              <w:spacing w:after="0" w:line="240" w:lineRule="auto"/>
              <w:jc w:val="left"/>
              <w:rPr>
                <w:rFonts w:ascii="Calibri" w:eastAsia="Times New Roman" w:hAnsi="Calibri" w:cs="Calibri"/>
                <w:sz w:val="22"/>
                <w:lang w:val="en-US"/>
              </w:rPr>
            </w:pPr>
            <w:r w:rsidRPr="00D54DE0">
              <w:rPr>
                <w:rFonts w:ascii="Calibri" w:eastAsia="Times New Roman" w:hAnsi="Calibri" w:cs="Calibri"/>
                <w:sz w:val="22"/>
                <w:lang w:val="en-US"/>
              </w:rPr>
              <w:t> </w:t>
            </w:r>
          </w:p>
        </w:tc>
      </w:tr>
      <w:tr w:rsidR="00D54DE0" w:rsidRPr="00D54DE0" w14:paraId="07AB00BA" w14:textId="77777777" w:rsidTr="00D54DE0">
        <w:trPr>
          <w:trHeight w:val="170"/>
          <w:jc w:val="center"/>
        </w:trPr>
        <w:tc>
          <w:tcPr>
            <w:tcW w:w="3819" w:type="dxa"/>
            <w:tcBorders>
              <w:top w:val="nil"/>
              <w:left w:val="nil"/>
              <w:bottom w:val="single" w:sz="4" w:space="0" w:color="FFFFFF"/>
              <w:right w:val="nil"/>
            </w:tcBorders>
            <w:shd w:val="clear" w:color="000000" w:fill="F2F2F2"/>
            <w:vAlign w:val="center"/>
            <w:hideMark/>
          </w:tcPr>
          <w:p w14:paraId="6AEF62EC" w14:textId="77777777" w:rsidR="00D54DE0" w:rsidRPr="00D54DE0" w:rsidRDefault="00D54DE0" w:rsidP="00D54DE0">
            <w:pPr>
              <w:spacing w:after="0" w:line="240" w:lineRule="auto"/>
              <w:jc w:val="left"/>
              <w:rPr>
                <w:rFonts w:ascii="Calibri" w:eastAsia="Times New Roman" w:hAnsi="Calibri" w:cs="Calibri"/>
                <w:sz w:val="22"/>
              </w:rPr>
            </w:pPr>
            <w:r w:rsidRPr="00D54DE0">
              <w:rPr>
                <w:rFonts w:ascii="Calibri" w:eastAsia="Times New Roman" w:hAnsi="Calibri" w:cs="Calibri"/>
                <w:sz w:val="22"/>
              </w:rPr>
              <w:t>7. Reduction in tax revenue</w:t>
            </w:r>
          </w:p>
        </w:tc>
        <w:tc>
          <w:tcPr>
            <w:tcW w:w="848" w:type="dxa"/>
            <w:tcBorders>
              <w:top w:val="nil"/>
              <w:left w:val="nil"/>
              <w:bottom w:val="single" w:sz="4" w:space="0" w:color="FFFFFF"/>
              <w:right w:val="nil"/>
            </w:tcBorders>
            <w:shd w:val="clear" w:color="000000" w:fill="F2F2F2"/>
            <w:vAlign w:val="center"/>
            <w:hideMark/>
          </w:tcPr>
          <w:p w14:paraId="7CB2E5BA"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 </w:t>
            </w:r>
          </w:p>
        </w:tc>
        <w:tc>
          <w:tcPr>
            <w:tcW w:w="847" w:type="dxa"/>
            <w:tcBorders>
              <w:top w:val="nil"/>
              <w:left w:val="nil"/>
              <w:bottom w:val="single" w:sz="4" w:space="0" w:color="FFFFFF"/>
              <w:right w:val="nil"/>
            </w:tcBorders>
            <w:shd w:val="clear" w:color="000000" w:fill="F2F2F2"/>
            <w:vAlign w:val="center"/>
            <w:hideMark/>
          </w:tcPr>
          <w:p w14:paraId="76240348"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 </w:t>
            </w:r>
          </w:p>
        </w:tc>
        <w:tc>
          <w:tcPr>
            <w:tcW w:w="847" w:type="dxa"/>
            <w:tcBorders>
              <w:top w:val="nil"/>
              <w:left w:val="nil"/>
              <w:bottom w:val="single" w:sz="4" w:space="0" w:color="FFFFFF"/>
              <w:right w:val="nil"/>
            </w:tcBorders>
            <w:shd w:val="clear" w:color="000000" w:fill="F2F2F2"/>
            <w:vAlign w:val="center"/>
            <w:hideMark/>
          </w:tcPr>
          <w:p w14:paraId="5E9EE4F4"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 </w:t>
            </w:r>
          </w:p>
        </w:tc>
        <w:tc>
          <w:tcPr>
            <w:tcW w:w="847" w:type="dxa"/>
            <w:tcBorders>
              <w:top w:val="nil"/>
              <w:left w:val="nil"/>
              <w:bottom w:val="single" w:sz="4" w:space="0" w:color="FFFFFF"/>
              <w:right w:val="nil"/>
            </w:tcBorders>
            <w:shd w:val="clear" w:color="000000" w:fill="F2F2F2"/>
            <w:vAlign w:val="center"/>
            <w:hideMark/>
          </w:tcPr>
          <w:p w14:paraId="10C251F7"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 </w:t>
            </w:r>
          </w:p>
        </w:tc>
        <w:tc>
          <w:tcPr>
            <w:tcW w:w="847" w:type="dxa"/>
            <w:tcBorders>
              <w:top w:val="nil"/>
              <w:left w:val="nil"/>
              <w:bottom w:val="single" w:sz="4" w:space="0" w:color="FFFFFF"/>
              <w:right w:val="nil"/>
            </w:tcBorders>
            <w:shd w:val="clear" w:color="000000" w:fill="F2F2F2"/>
            <w:vAlign w:val="center"/>
            <w:hideMark/>
          </w:tcPr>
          <w:p w14:paraId="09CF24BC"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 </w:t>
            </w:r>
          </w:p>
        </w:tc>
        <w:tc>
          <w:tcPr>
            <w:tcW w:w="847" w:type="dxa"/>
            <w:tcBorders>
              <w:top w:val="nil"/>
              <w:left w:val="nil"/>
              <w:bottom w:val="single" w:sz="4" w:space="0" w:color="FFFFFF"/>
              <w:right w:val="nil"/>
            </w:tcBorders>
            <w:shd w:val="clear" w:color="000000" w:fill="F2F2F2"/>
            <w:vAlign w:val="center"/>
            <w:hideMark/>
          </w:tcPr>
          <w:p w14:paraId="6AC0F605"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 </w:t>
            </w:r>
          </w:p>
        </w:tc>
      </w:tr>
      <w:tr w:rsidR="00D54DE0" w:rsidRPr="00605642" w14:paraId="76D6E29D" w14:textId="77777777" w:rsidTr="00D54DE0">
        <w:trPr>
          <w:trHeight w:val="170"/>
          <w:jc w:val="center"/>
        </w:trPr>
        <w:tc>
          <w:tcPr>
            <w:tcW w:w="3819" w:type="dxa"/>
            <w:tcBorders>
              <w:top w:val="nil"/>
              <w:left w:val="nil"/>
              <w:bottom w:val="single" w:sz="4" w:space="0" w:color="FFFFFF"/>
              <w:right w:val="nil"/>
            </w:tcBorders>
            <w:shd w:val="clear" w:color="000000" w:fill="D9D9D9"/>
            <w:vAlign w:val="center"/>
            <w:hideMark/>
          </w:tcPr>
          <w:p w14:paraId="46478A0E" w14:textId="77777777" w:rsidR="00D54DE0" w:rsidRPr="00D54DE0" w:rsidRDefault="00D54DE0" w:rsidP="00D54DE0">
            <w:pPr>
              <w:spacing w:after="0" w:line="240" w:lineRule="auto"/>
              <w:jc w:val="left"/>
              <w:rPr>
                <w:rFonts w:ascii="Calibri" w:eastAsia="Times New Roman" w:hAnsi="Calibri" w:cs="Calibri"/>
                <w:sz w:val="22"/>
                <w:lang w:val="en-US"/>
              </w:rPr>
            </w:pPr>
            <w:r w:rsidRPr="00D54DE0">
              <w:rPr>
                <w:rFonts w:ascii="Calibri" w:eastAsia="Times New Roman" w:hAnsi="Calibri" w:cs="Calibri"/>
                <w:sz w:val="22"/>
                <w:lang w:val="en-US"/>
              </w:rPr>
              <w:t>8. Other costs with impact on revenue</w:t>
            </w:r>
          </w:p>
        </w:tc>
        <w:tc>
          <w:tcPr>
            <w:tcW w:w="848" w:type="dxa"/>
            <w:tcBorders>
              <w:top w:val="nil"/>
              <w:left w:val="nil"/>
              <w:bottom w:val="single" w:sz="4" w:space="0" w:color="FFFFFF"/>
              <w:right w:val="nil"/>
            </w:tcBorders>
            <w:shd w:val="clear" w:color="000000" w:fill="D9D9D9"/>
            <w:vAlign w:val="center"/>
            <w:hideMark/>
          </w:tcPr>
          <w:p w14:paraId="4188148D" w14:textId="77777777" w:rsidR="00D54DE0" w:rsidRPr="00D54DE0" w:rsidRDefault="00D54DE0" w:rsidP="00D54DE0">
            <w:pPr>
              <w:spacing w:after="0" w:line="240" w:lineRule="auto"/>
              <w:jc w:val="center"/>
              <w:rPr>
                <w:rFonts w:ascii="Calibri" w:eastAsia="Times New Roman" w:hAnsi="Calibri" w:cs="Calibri"/>
                <w:sz w:val="22"/>
                <w:lang w:val="en-US"/>
              </w:rPr>
            </w:pPr>
            <w:r w:rsidRPr="00D54DE0">
              <w:rPr>
                <w:rFonts w:ascii="Calibri" w:eastAsia="Times New Roman" w:hAnsi="Calibri" w:cs="Calibri"/>
                <w:sz w:val="22"/>
                <w:lang w:val="en-US"/>
              </w:rPr>
              <w:t> </w:t>
            </w:r>
          </w:p>
        </w:tc>
        <w:tc>
          <w:tcPr>
            <w:tcW w:w="847" w:type="dxa"/>
            <w:tcBorders>
              <w:top w:val="nil"/>
              <w:left w:val="nil"/>
              <w:bottom w:val="single" w:sz="4" w:space="0" w:color="FFFFFF"/>
              <w:right w:val="nil"/>
            </w:tcBorders>
            <w:shd w:val="clear" w:color="000000" w:fill="D9D9D9"/>
            <w:vAlign w:val="center"/>
            <w:hideMark/>
          </w:tcPr>
          <w:p w14:paraId="1C893A6B" w14:textId="77777777" w:rsidR="00D54DE0" w:rsidRPr="00D54DE0" w:rsidRDefault="00D54DE0" w:rsidP="00D54DE0">
            <w:pPr>
              <w:spacing w:after="0" w:line="240" w:lineRule="auto"/>
              <w:jc w:val="center"/>
              <w:rPr>
                <w:rFonts w:ascii="Calibri" w:eastAsia="Times New Roman" w:hAnsi="Calibri" w:cs="Calibri"/>
                <w:sz w:val="22"/>
                <w:lang w:val="en-US"/>
              </w:rPr>
            </w:pPr>
            <w:r w:rsidRPr="00D54DE0">
              <w:rPr>
                <w:rFonts w:ascii="Calibri" w:eastAsia="Times New Roman" w:hAnsi="Calibri" w:cs="Calibri"/>
                <w:sz w:val="22"/>
                <w:lang w:val="en-US"/>
              </w:rPr>
              <w:t> </w:t>
            </w:r>
          </w:p>
        </w:tc>
        <w:tc>
          <w:tcPr>
            <w:tcW w:w="847" w:type="dxa"/>
            <w:tcBorders>
              <w:top w:val="nil"/>
              <w:left w:val="nil"/>
              <w:bottom w:val="single" w:sz="4" w:space="0" w:color="FFFFFF"/>
              <w:right w:val="nil"/>
            </w:tcBorders>
            <w:shd w:val="clear" w:color="000000" w:fill="D9D9D9"/>
            <w:vAlign w:val="center"/>
            <w:hideMark/>
          </w:tcPr>
          <w:p w14:paraId="5792E280" w14:textId="77777777" w:rsidR="00D54DE0" w:rsidRPr="00D54DE0" w:rsidRDefault="00D54DE0" w:rsidP="00D54DE0">
            <w:pPr>
              <w:spacing w:after="0" w:line="240" w:lineRule="auto"/>
              <w:jc w:val="center"/>
              <w:rPr>
                <w:rFonts w:ascii="Calibri" w:eastAsia="Times New Roman" w:hAnsi="Calibri" w:cs="Calibri"/>
                <w:sz w:val="22"/>
                <w:lang w:val="en-US"/>
              </w:rPr>
            </w:pPr>
            <w:r w:rsidRPr="00D54DE0">
              <w:rPr>
                <w:rFonts w:ascii="Calibri" w:eastAsia="Times New Roman" w:hAnsi="Calibri" w:cs="Calibri"/>
                <w:sz w:val="22"/>
                <w:lang w:val="en-US"/>
              </w:rPr>
              <w:t> </w:t>
            </w:r>
          </w:p>
        </w:tc>
        <w:tc>
          <w:tcPr>
            <w:tcW w:w="847" w:type="dxa"/>
            <w:tcBorders>
              <w:top w:val="nil"/>
              <w:left w:val="nil"/>
              <w:bottom w:val="single" w:sz="4" w:space="0" w:color="FFFFFF"/>
              <w:right w:val="nil"/>
            </w:tcBorders>
            <w:shd w:val="clear" w:color="000000" w:fill="D9D9D9"/>
            <w:vAlign w:val="center"/>
            <w:hideMark/>
          </w:tcPr>
          <w:p w14:paraId="39083B37" w14:textId="77777777" w:rsidR="00D54DE0" w:rsidRPr="00D54DE0" w:rsidRDefault="00D54DE0" w:rsidP="00D54DE0">
            <w:pPr>
              <w:spacing w:after="0" w:line="240" w:lineRule="auto"/>
              <w:jc w:val="center"/>
              <w:rPr>
                <w:rFonts w:ascii="Calibri" w:eastAsia="Times New Roman" w:hAnsi="Calibri" w:cs="Calibri"/>
                <w:sz w:val="22"/>
                <w:lang w:val="en-US"/>
              </w:rPr>
            </w:pPr>
            <w:r w:rsidRPr="00D54DE0">
              <w:rPr>
                <w:rFonts w:ascii="Calibri" w:eastAsia="Times New Roman" w:hAnsi="Calibri" w:cs="Calibri"/>
                <w:sz w:val="22"/>
                <w:lang w:val="en-US"/>
              </w:rPr>
              <w:t> </w:t>
            </w:r>
          </w:p>
        </w:tc>
        <w:tc>
          <w:tcPr>
            <w:tcW w:w="847" w:type="dxa"/>
            <w:tcBorders>
              <w:top w:val="nil"/>
              <w:left w:val="nil"/>
              <w:bottom w:val="single" w:sz="4" w:space="0" w:color="FFFFFF"/>
              <w:right w:val="nil"/>
            </w:tcBorders>
            <w:shd w:val="clear" w:color="000000" w:fill="D9D9D9"/>
            <w:vAlign w:val="center"/>
            <w:hideMark/>
          </w:tcPr>
          <w:p w14:paraId="0BD48A58" w14:textId="77777777" w:rsidR="00D54DE0" w:rsidRPr="00D54DE0" w:rsidRDefault="00D54DE0" w:rsidP="00D54DE0">
            <w:pPr>
              <w:spacing w:after="0" w:line="240" w:lineRule="auto"/>
              <w:jc w:val="center"/>
              <w:rPr>
                <w:rFonts w:ascii="Calibri" w:eastAsia="Times New Roman" w:hAnsi="Calibri" w:cs="Calibri"/>
                <w:sz w:val="22"/>
                <w:lang w:val="en-US"/>
              </w:rPr>
            </w:pPr>
            <w:r w:rsidRPr="00D54DE0">
              <w:rPr>
                <w:rFonts w:ascii="Calibri" w:eastAsia="Times New Roman" w:hAnsi="Calibri" w:cs="Calibri"/>
                <w:sz w:val="22"/>
                <w:lang w:val="en-US"/>
              </w:rPr>
              <w:t> </w:t>
            </w:r>
          </w:p>
        </w:tc>
        <w:tc>
          <w:tcPr>
            <w:tcW w:w="847" w:type="dxa"/>
            <w:tcBorders>
              <w:top w:val="nil"/>
              <w:left w:val="nil"/>
              <w:bottom w:val="single" w:sz="4" w:space="0" w:color="FFFFFF"/>
              <w:right w:val="nil"/>
            </w:tcBorders>
            <w:shd w:val="clear" w:color="000000" w:fill="D9D9D9"/>
            <w:vAlign w:val="center"/>
            <w:hideMark/>
          </w:tcPr>
          <w:p w14:paraId="73CC11E1" w14:textId="77777777" w:rsidR="00D54DE0" w:rsidRPr="00D54DE0" w:rsidRDefault="00D54DE0" w:rsidP="00D54DE0">
            <w:pPr>
              <w:spacing w:after="0" w:line="240" w:lineRule="auto"/>
              <w:jc w:val="center"/>
              <w:rPr>
                <w:rFonts w:ascii="Calibri" w:eastAsia="Times New Roman" w:hAnsi="Calibri" w:cs="Calibri"/>
                <w:sz w:val="22"/>
                <w:lang w:val="en-US"/>
              </w:rPr>
            </w:pPr>
            <w:r w:rsidRPr="00D54DE0">
              <w:rPr>
                <w:rFonts w:ascii="Calibri" w:eastAsia="Times New Roman" w:hAnsi="Calibri" w:cs="Calibri"/>
                <w:sz w:val="22"/>
                <w:lang w:val="en-US"/>
              </w:rPr>
              <w:t> </w:t>
            </w:r>
          </w:p>
        </w:tc>
      </w:tr>
      <w:tr w:rsidR="00D54DE0" w:rsidRPr="00D54DE0" w14:paraId="34C886EF" w14:textId="77777777" w:rsidTr="00D54DE0">
        <w:trPr>
          <w:trHeight w:val="170"/>
          <w:jc w:val="center"/>
        </w:trPr>
        <w:tc>
          <w:tcPr>
            <w:tcW w:w="3819" w:type="dxa"/>
            <w:tcBorders>
              <w:top w:val="nil"/>
              <w:left w:val="nil"/>
              <w:bottom w:val="single" w:sz="4" w:space="0" w:color="FFFFFF"/>
              <w:right w:val="nil"/>
            </w:tcBorders>
            <w:shd w:val="clear" w:color="000000" w:fill="F2F2F2"/>
            <w:vAlign w:val="center"/>
            <w:hideMark/>
          </w:tcPr>
          <w:p w14:paraId="2CC0A73C" w14:textId="77777777" w:rsidR="00D54DE0" w:rsidRPr="00D54DE0" w:rsidRDefault="00D54DE0" w:rsidP="00D54DE0">
            <w:pPr>
              <w:spacing w:after="0" w:line="240" w:lineRule="auto"/>
              <w:jc w:val="left"/>
              <w:rPr>
                <w:rFonts w:ascii="Calibri" w:eastAsia="Times New Roman" w:hAnsi="Calibri" w:cs="Calibri"/>
                <w:sz w:val="22"/>
              </w:rPr>
            </w:pPr>
            <w:r w:rsidRPr="00D54DE0">
              <w:rPr>
                <w:rFonts w:ascii="Calibri" w:eastAsia="Times New Roman" w:hAnsi="Calibri" w:cs="Calibri"/>
                <w:sz w:val="22"/>
              </w:rPr>
              <w:t>9. Financial transactions</w:t>
            </w:r>
          </w:p>
        </w:tc>
        <w:tc>
          <w:tcPr>
            <w:tcW w:w="848" w:type="dxa"/>
            <w:tcBorders>
              <w:top w:val="nil"/>
              <w:left w:val="nil"/>
              <w:bottom w:val="single" w:sz="4" w:space="0" w:color="FFFFFF"/>
              <w:right w:val="nil"/>
            </w:tcBorders>
            <w:shd w:val="clear" w:color="000000" w:fill="F2F2F2"/>
            <w:vAlign w:val="center"/>
            <w:hideMark/>
          </w:tcPr>
          <w:p w14:paraId="75DC688F"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 </w:t>
            </w:r>
          </w:p>
        </w:tc>
        <w:tc>
          <w:tcPr>
            <w:tcW w:w="847" w:type="dxa"/>
            <w:tcBorders>
              <w:top w:val="nil"/>
              <w:left w:val="nil"/>
              <w:bottom w:val="single" w:sz="4" w:space="0" w:color="FFFFFF"/>
              <w:right w:val="nil"/>
            </w:tcBorders>
            <w:shd w:val="clear" w:color="000000" w:fill="F2F2F2"/>
            <w:vAlign w:val="center"/>
            <w:hideMark/>
          </w:tcPr>
          <w:p w14:paraId="23A425E5"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 </w:t>
            </w:r>
          </w:p>
        </w:tc>
        <w:tc>
          <w:tcPr>
            <w:tcW w:w="847" w:type="dxa"/>
            <w:tcBorders>
              <w:top w:val="nil"/>
              <w:left w:val="nil"/>
              <w:bottom w:val="single" w:sz="4" w:space="0" w:color="FFFFFF"/>
              <w:right w:val="nil"/>
            </w:tcBorders>
            <w:shd w:val="clear" w:color="000000" w:fill="F2F2F2"/>
            <w:vAlign w:val="center"/>
            <w:hideMark/>
          </w:tcPr>
          <w:p w14:paraId="6B4E840D"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 </w:t>
            </w:r>
          </w:p>
        </w:tc>
        <w:tc>
          <w:tcPr>
            <w:tcW w:w="847" w:type="dxa"/>
            <w:tcBorders>
              <w:top w:val="nil"/>
              <w:left w:val="nil"/>
              <w:bottom w:val="single" w:sz="4" w:space="0" w:color="FFFFFF"/>
              <w:right w:val="nil"/>
            </w:tcBorders>
            <w:shd w:val="clear" w:color="000000" w:fill="F2F2F2"/>
            <w:vAlign w:val="center"/>
            <w:hideMark/>
          </w:tcPr>
          <w:p w14:paraId="3E2CD9F6"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 </w:t>
            </w:r>
          </w:p>
        </w:tc>
        <w:tc>
          <w:tcPr>
            <w:tcW w:w="847" w:type="dxa"/>
            <w:tcBorders>
              <w:top w:val="nil"/>
              <w:left w:val="nil"/>
              <w:bottom w:val="single" w:sz="4" w:space="0" w:color="FFFFFF"/>
              <w:right w:val="nil"/>
            </w:tcBorders>
            <w:shd w:val="clear" w:color="000000" w:fill="F2F2F2"/>
            <w:vAlign w:val="center"/>
            <w:hideMark/>
          </w:tcPr>
          <w:p w14:paraId="59B29A4B"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 </w:t>
            </w:r>
          </w:p>
        </w:tc>
        <w:tc>
          <w:tcPr>
            <w:tcW w:w="847" w:type="dxa"/>
            <w:tcBorders>
              <w:top w:val="nil"/>
              <w:left w:val="nil"/>
              <w:bottom w:val="single" w:sz="4" w:space="0" w:color="FFFFFF"/>
              <w:right w:val="nil"/>
            </w:tcBorders>
            <w:shd w:val="clear" w:color="000000" w:fill="F2F2F2"/>
            <w:vAlign w:val="center"/>
            <w:hideMark/>
          </w:tcPr>
          <w:p w14:paraId="33D6069D"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 </w:t>
            </w:r>
          </w:p>
        </w:tc>
      </w:tr>
      <w:tr w:rsidR="00D54DE0" w:rsidRPr="00605642" w14:paraId="72BDD07B" w14:textId="77777777" w:rsidTr="001F1D94">
        <w:trPr>
          <w:trHeight w:val="170"/>
          <w:jc w:val="center"/>
        </w:trPr>
        <w:tc>
          <w:tcPr>
            <w:tcW w:w="8055" w:type="dxa"/>
            <w:gridSpan w:val="6"/>
            <w:tcBorders>
              <w:top w:val="nil"/>
              <w:left w:val="nil"/>
              <w:bottom w:val="single" w:sz="4" w:space="0" w:color="FFFFFF"/>
              <w:right w:val="nil"/>
            </w:tcBorders>
            <w:shd w:val="clear" w:color="auto" w:fill="B8CCE4" w:themeFill="accent1" w:themeFillTint="66"/>
            <w:vAlign w:val="center"/>
            <w:hideMark/>
          </w:tcPr>
          <w:p w14:paraId="0BED46C2" w14:textId="77777777" w:rsidR="00D54DE0" w:rsidRPr="00D54DE0" w:rsidRDefault="00D54DE0" w:rsidP="00D54DE0">
            <w:pPr>
              <w:spacing w:after="0" w:line="240" w:lineRule="auto"/>
              <w:jc w:val="left"/>
              <w:rPr>
                <w:rFonts w:ascii="Calibri" w:eastAsia="Times New Roman" w:hAnsi="Calibri" w:cs="Calibri"/>
                <w:b/>
                <w:bCs/>
                <w:sz w:val="22"/>
                <w:lang w:val="en-US"/>
              </w:rPr>
            </w:pPr>
            <w:r w:rsidRPr="00D54DE0">
              <w:rPr>
                <w:rFonts w:ascii="Calibri" w:eastAsia="Times New Roman" w:hAnsi="Calibri" w:cs="Calibri"/>
                <w:b/>
                <w:bCs/>
                <w:sz w:val="22"/>
                <w:lang w:val="en-US"/>
              </w:rPr>
              <w:t xml:space="preserve">One-off capital transfers from retroactive revisions in expenditure </w:t>
            </w:r>
            <w:r>
              <w:rPr>
                <w:rFonts w:ascii="Calibri" w:eastAsia="Times New Roman" w:hAnsi="Calibri" w:cs="Calibri"/>
                <w:b/>
                <w:bCs/>
                <w:sz w:val="22"/>
                <w:lang w:val="en-US"/>
              </w:rPr>
              <w:br/>
            </w:r>
            <w:r w:rsidRPr="00D54DE0">
              <w:rPr>
                <w:rFonts w:ascii="Calibri" w:eastAsia="Times New Roman" w:hAnsi="Calibri" w:cs="Calibri"/>
                <w:b/>
                <w:bCs/>
                <w:sz w:val="22"/>
                <w:lang w:val="en-US"/>
              </w:rPr>
              <w:t>(and other costs) financed by RRF grants</w:t>
            </w:r>
          </w:p>
        </w:tc>
        <w:tc>
          <w:tcPr>
            <w:tcW w:w="847" w:type="dxa"/>
            <w:tcBorders>
              <w:top w:val="nil"/>
              <w:left w:val="nil"/>
              <w:bottom w:val="single" w:sz="4" w:space="0" w:color="FFFFFF"/>
              <w:right w:val="nil"/>
            </w:tcBorders>
            <w:shd w:val="clear" w:color="auto" w:fill="B8CCE4" w:themeFill="accent1" w:themeFillTint="66"/>
            <w:vAlign w:val="center"/>
            <w:hideMark/>
          </w:tcPr>
          <w:p w14:paraId="28C04257" w14:textId="77777777" w:rsidR="00D54DE0" w:rsidRPr="00D54DE0" w:rsidRDefault="00D54DE0" w:rsidP="00D54DE0">
            <w:pPr>
              <w:spacing w:after="0" w:line="240" w:lineRule="auto"/>
              <w:jc w:val="left"/>
              <w:rPr>
                <w:rFonts w:ascii="Calibri" w:eastAsia="Times New Roman" w:hAnsi="Calibri" w:cs="Calibri"/>
                <w:sz w:val="22"/>
                <w:lang w:val="en-US"/>
              </w:rPr>
            </w:pPr>
            <w:r w:rsidRPr="00D54DE0">
              <w:rPr>
                <w:rFonts w:ascii="Calibri" w:eastAsia="Times New Roman" w:hAnsi="Calibri" w:cs="Calibri"/>
                <w:sz w:val="22"/>
                <w:lang w:val="en-US"/>
              </w:rPr>
              <w:t> </w:t>
            </w:r>
          </w:p>
        </w:tc>
      </w:tr>
      <w:tr w:rsidR="00D54DE0" w:rsidRPr="00605642" w14:paraId="61A6B0E5" w14:textId="77777777" w:rsidTr="00D54DE0">
        <w:trPr>
          <w:trHeight w:val="170"/>
          <w:jc w:val="center"/>
        </w:trPr>
        <w:tc>
          <w:tcPr>
            <w:tcW w:w="3819" w:type="dxa"/>
            <w:tcBorders>
              <w:top w:val="nil"/>
              <w:left w:val="nil"/>
              <w:bottom w:val="single" w:sz="4" w:space="0" w:color="FFFFFF"/>
              <w:right w:val="nil"/>
            </w:tcBorders>
            <w:shd w:val="clear" w:color="000000" w:fill="F2F2F2"/>
            <w:vAlign w:val="center"/>
            <w:hideMark/>
          </w:tcPr>
          <w:p w14:paraId="76F3E675" w14:textId="77777777" w:rsidR="00D54DE0" w:rsidRPr="00D54DE0" w:rsidRDefault="00D54DE0" w:rsidP="00D54DE0">
            <w:pPr>
              <w:spacing w:after="0" w:line="240" w:lineRule="auto"/>
              <w:jc w:val="left"/>
              <w:rPr>
                <w:rFonts w:ascii="Calibri" w:eastAsia="Times New Roman" w:hAnsi="Calibri" w:cs="Calibri"/>
                <w:sz w:val="22"/>
                <w:lang w:val="en-US"/>
              </w:rPr>
            </w:pPr>
            <w:r w:rsidRPr="00D54DE0">
              <w:rPr>
                <w:rFonts w:ascii="Calibri" w:eastAsia="Times New Roman" w:hAnsi="Calibri" w:cs="Calibri"/>
                <w:sz w:val="22"/>
                <w:lang w:val="en-US"/>
              </w:rPr>
              <w:t>10. One-off capital transfers from the EU (D.9r, levels)</w:t>
            </w:r>
          </w:p>
        </w:tc>
        <w:tc>
          <w:tcPr>
            <w:tcW w:w="848" w:type="dxa"/>
            <w:tcBorders>
              <w:top w:val="nil"/>
              <w:left w:val="nil"/>
              <w:bottom w:val="single" w:sz="4" w:space="0" w:color="FFFFFF"/>
              <w:right w:val="nil"/>
            </w:tcBorders>
            <w:shd w:val="clear" w:color="000000" w:fill="F2F2F2"/>
            <w:vAlign w:val="center"/>
            <w:hideMark/>
          </w:tcPr>
          <w:p w14:paraId="05DD0660" w14:textId="77777777" w:rsidR="00D54DE0" w:rsidRPr="00D54DE0" w:rsidRDefault="00D54DE0" w:rsidP="00D54DE0">
            <w:pPr>
              <w:spacing w:after="0" w:line="240" w:lineRule="auto"/>
              <w:jc w:val="center"/>
              <w:rPr>
                <w:rFonts w:ascii="Calibri" w:eastAsia="Times New Roman" w:hAnsi="Calibri" w:cs="Calibri"/>
                <w:sz w:val="22"/>
                <w:lang w:val="en-US"/>
              </w:rPr>
            </w:pPr>
            <w:r w:rsidRPr="00D54DE0">
              <w:rPr>
                <w:rFonts w:ascii="Calibri" w:eastAsia="Times New Roman" w:hAnsi="Calibri" w:cs="Calibri"/>
                <w:sz w:val="22"/>
                <w:lang w:val="en-US"/>
              </w:rPr>
              <w:t> </w:t>
            </w:r>
          </w:p>
        </w:tc>
        <w:tc>
          <w:tcPr>
            <w:tcW w:w="847" w:type="dxa"/>
            <w:tcBorders>
              <w:top w:val="nil"/>
              <w:left w:val="nil"/>
              <w:bottom w:val="single" w:sz="4" w:space="0" w:color="FFFFFF"/>
              <w:right w:val="nil"/>
            </w:tcBorders>
            <w:shd w:val="clear" w:color="000000" w:fill="F2F2F2"/>
            <w:vAlign w:val="center"/>
            <w:hideMark/>
          </w:tcPr>
          <w:p w14:paraId="0B4A4BB2" w14:textId="77777777" w:rsidR="00D54DE0" w:rsidRPr="00D54DE0" w:rsidRDefault="00D54DE0" w:rsidP="00D54DE0">
            <w:pPr>
              <w:spacing w:after="0" w:line="240" w:lineRule="auto"/>
              <w:jc w:val="center"/>
              <w:rPr>
                <w:rFonts w:ascii="Calibri" w:eastAsia="Times New Roman" w:hAnsi="Calibri" w:cs="Calibri"/>
                <w:sz w:val="22"/>
                <w:lang w:val="en-US"/>
              </w:rPr>
            </w:pPr>
            <w:r w:rsidRPr="00D54DE0">
              <w:rPr>
                <w:rFonts w:ascii="Calibri" w:eastAsia="Times New Roman" w:hAnsi="Calibri" w:cs="Calibri"/>
                <w:sz w:val="22"/>
                <w:lang w:val="en-US"/>
              </w:rPr>
              <w:t> </w:t>
            </w:r>
          </w:p>
        </w:tc>
        <w:tc>
          <w:tcPr>
            <w:tcW w:w="847" w:type="dxa"/>
            <w:tcBorders>
              <w:top w:val="nil"/>
              <w:left w:val="nil"/>
              <w:bottom w:val="single" w:sz="4" w:space="0" w:color="FFFFFF"/>
              <w:right w:val="nil"/>
            </w:tcBorders>
            <w:shd w:val="clear" w:color="000000" w:fill="F2F2F2"/>
            <w:vAlign w:val="center"/>
            <w:hideMark/>
          </w:tcPr>
          <w:p w14:paraId="3C46B5B2" w14:textId="77777777" w:rsidR="00D54DE0" w:rsidRPr="00D54DE0" w:rsidRDefault="00D54DE0" w:rsidP="00D54DE0">
            <w:pPr>
              <w:spacing w:after="0" w:line="240" w:lineRule="auto"/>
              <w:jc w:val="center"/>
              <w:rPr>
                <w:rFonts w:ascii="Calibri" w:eastAsia="Times New Roman" w:hAnsi="Calibri" w:cs="Calibri"/>
                <w:sz w:val="22"/>
                <w:lang w:val="en-US"/>
              </w:rPr>
            </w:pPr>
            <w:r w:rsidRPr="00D54DE0">
              <w:rPr>
                <w:rFonts w:ascii="Calibri" w:eastAsia="Times New Roman" w:hAnsi="Calibri" w:cs="Calibri"/>
                <w:sz w:val="22"/>
                <w:lang w:val="en-US"/>
              </w:rPr>
              <w:t> </w:t>
            </w:r>
          </w:p>
        </w:tc>
        <w:tc>
          <w:tcPr>
            <w:tcW w:w="847" w:type="dxa"/>
            <w:tcBorders>
              <w:top w:val="nil"/>
              <w:left w:val="nil"/>
              <w:bottom w:val="single" w:sz="4" w:space="0" w:color="FFFFFF"/>
              <w:right w:val="nil"/>
            </w:tcBorders>
            <w:shd w:val="clear" w:color="000000" w:fill="F2F2F2"/>
            <w:vAlign w:val="center"/>
            <w:hideMark/>
          </w:tcPr>
          <w:p w14:paraId="7FB532D2" w14:textId="77777777" w:rsidR="00D54DE0" w:rsidRPr="00D54DE0" w:rsidRDefault="00D54DE0" w:rsidP="00D54DE0">
            <w:pPr>
              <w:spacing w:after="0" w:line="240" w:lineRule="auto"/>
              <w:jc w:val="center"/>
              <w:rPr>
                <w:rFonts w:ascii="Calibri" w:eastAsia="Times New Roman" w:hAnsi="Calibri" w:cs="Calibri"/>
                <w:sz w:val="22"/>
                <w:lang w:val="en-US"/>
              </w:rPr>
            </w:pPr>
            <w:r w:rsidRPr="00D54DE0">
              <w:rPr>
                <w:rFonts w:ascii="Calibri" w:eastAsia="Times New Roman" w:hAnsi="Calibri" w:cs="Calibri"/>
                <w:sz w:val="22"/>
                <w:lang w:val="en-US"/>
              </w:rPr>
              <w:t> </w:t>
            </w:r>
          </w:p>
        </w:tc>
        <w:tc>
          <w:tcPr>
            <w:tcW w:w="847" w:type="dxa"/>
            <w:tcBorders>
              <w:top w:val="nil"/>
              <w:left w:val="nil"/>
              <w:bottom w:val="single" w:sz="4" w:space="0" w:color="FFFFFF"/>
              <w:right w:val="nil"/>
            </w:tcBorders>
            <w:shd w:val="clear" w:color="000000" w:fill="F2F2F2"/>
            <w:vAlign w:val="center"/>
            <w:hideMark/>
          </w:tcPr>
          <w:p w14:paraId="656B953A" w14:textId="77777777" w:rsidR="00D54DE0" w:rsidRPr="00D54DE0" w:rsidRDefault="00D54DE0" w:rsidP="00D54DE0">
            <w:pPr>
              <w:spacing w:after="0" w:line="240" w:lineRule="auto"/>
              <w:jc w:val="center"/>
              <w:rPr>
                <w:rFonts w:ascii="Calibri" w:eastAsia="Times New Roman" w:hAnsi="Calibri" w:cs="Calibri"/>
                <w:sz w:val="22"/>
                <w:lang w:val="en-US"/>
              </w:rPr>
            </w:pPr>
            <w:r w:rsidRPr="00D54DE0">
              <w:rPr>
                <w:rFonts w:ascii="Calibri" w:eastAsia="Times New Roman" w:hAnsi="Calibri" w:cs="Calibri"/>
                <w:sz w:val="22"/>
                <w:lang w:val="en-US"/>
              </w:rPr>
              <w:t> </w:t>
            </w:r>
          </w:p>
        </w:tc>
        <w:tc>
          <w:tcPr>
            <w:tcW w:w="847" w:type="dxa"/>
            <w:tcBorders>
              <w:top w:val="nil"/>
              <w:left w:val="nil"/>
              <w:bottom w:val="single" w:sz="4" w:space="0" w:color="FFFFFF"/>
              <w:right w:val="nil"/>
            </w:tcBorders>
            <w:shd w:val="clear" w:color="000000" w:fill="F2F2F2"/>
            <w:vAlign w:val="center"/>
            <w:hideMark/>
          </w:tcPr>
          <w:p w14:paraId="6B48C47C" w14:textId="77777777" w:rsidR="00D54DE0" w:rsidRPr="00D54DE0" w:rsidRDefault="00D54DE0" w:rsidP="00D54DE0">
            <w:pPr>
              <w:spacing w:after="0" w:line="240" w:lineRule="auto"/>
              <w:jc w:val="center"/>
              <w:rPr>
                <w:rFonts w:ascii="Calibri" w:eastAsia="Times New Roman" w:hAnsi="Calibri" w:cs="Calibri"/>
                <w:sz w:val="22"/>
                <w:lang w:val="en-US"/>
              </w:rPr>
            </w:pPr>
            <w:r w:rsidRPr="00D54DE0">
              <w:rPr>
                <w:rFonts w:ascii="Calibri" w:eastAsia="Times New Roman" w:hAnsi="Calibri" w:cs="Calibri"/>
                <w:sz w:val="22"/>
                <w:lang w:val="en-US"/>
              </w:rPr>
              <w:t> </w:t>
            </w:r>
          </w:p>
        </w:tc>
      </w:tr>
      <w:tr w:rsidR="00D54DE0" w:rsidRPr="00605642" w14:paraId="7132B2F7" w14:textId="77777777" w:rsidTr="00D54DE0">
        <w:trPr>
          <w:trHeight w:val="170"/>
          <w:jc w:val="center"/>
        </w:trPr>
        <w:tc>
          <w:tcPr>
            <w:tcW w:w="3819" w:type="dxa"/>
            <w:tcBorders>
              <w:top w:val="single" w:sz="4" w:space="0" w:color="FFFFFF"/>
              <w:left w:val="nil"/>
              <w:bottom w:val="single" w:sz="18" w:space="0" w:color="4F81BD" w:themeColor="accent1"/>
              <w:right w:val="nil"/>
            </w:tcBorders>
            <w:shd w:val="clear" w:color="000000" w:fill="D9D9D9"/>
            <w:vAlign w:val="center"/>
            <w:hideMark/>
          </w:tcPr>
          <w:p w14:paraId="52DD381A" w14:textId="77777777" w:rsidR="00D54DE0" w:rsidRPr="00D54DE0" w:rsidRDefault="00D54DE0" w:rsidP="00D54DE0">
            <w:pPr>
              <w:spacing w:after="0" w:line="240" w:lineRule="auto"/>
              <w:jc w:val="left"/>
              <w:rPr>
                <w:rFonts w:ascii="Calibri" w:eastAsia="Times New Roman" w:hAnsi="Calibri" w:cs="Calibri"/>
                <w:sz w:val="22"/>
                <w:lang w:val="en-US"/>
              </w:rPr>
            </w:pPr>
            <w:r w:rsidRPr="00D54DE0">
              <w:rPr>
                <w:rFonts w:ascii="Calibri" w:eastAsia="Times New Roman" w:hAnsi="Calibri" w:cs="Calibri"/>
                <w:sz w:val="22"/>
                <w:lang w:val="en-US"/>
              </w:rPr>
              <w:t>11. One-off capital transfers to the EU (D.9p, levels)</w:t>
            </w:r>
          </w:p>
        </w:tc>
        <w:tc>
          <w:tcPr>
            <w:tcW w:w="848" w:type="dxa"/>
            <w:tcBorders>
              <w:top w:val="single" w:sz="4" w:space="0" w:color="FFFFFF"/>
              <w:left w:val="nil"/>
              <w:bottom w:val="single" w:sz="18" w:space="0" w:color="4F81BD" w:themeColor="accent1"/>
              <w:right w:val="nil"/>
            </w:tcBorders>
            <w:shd w:val="clear" w:color="000000" w:fill="D9D9D9"/>
            <w:vAlign w:val="center"/>
            <w:hideMark/>
          </w:tcPr>
          <w:p w14:paraId="0BBE2167" w14:textId="77777777" w:rsidR="00D54DE0" w:rsidRPr="00D54DE0" w:rsidRDefault="00D54DE0" w:rsidP="00D54DE0">
            <w:pPr>
              <w:spacing w:after="0" w:line="240" w:lineRule="auto"/>
              <w:jc w:val="center"/>
              <w:rPr>
                <w:rFonts w:ascii="Calibri" w:eastAsia="Times New Roman" w:hAnsi="Calibri" w:cs="Calibri"/>
                <w:sz w:val="22"/>
                <w:lang w:val="en-US"/>
              </w:rPr>
            </w:pPr>
            <w:r w:rsidRPr="00D54DE0">
              <w:rPr>
                <w:rFonts w:ascii="Calibri" w:eastAsia="Times New Roman" w:hAnsi="Calibri" w:cs="Calibri"/>
                <w:sz w:val="22"/>
                <w:lang w:val="en-US"/>
              </w:rPr>
              <w:t> </w:t>
            </w:r>
          </w:p>
        </w:tc>
        <w:tc>
          <w:tcPr>
            <w:tcW w:w="847" w:type="dxa"/>
            <w:tcBorders>
              <w:top w:val="single" w:sz="4" w:space="0" w:color="FFFFFF"/>
              <w:left w:val="nil"/>
              <w:bottom w:val="single" w:sz="18" w:space="0" w:color="4F81BD" w:themeColor="accent1"/>
              <w:right w:val="nil"/>
            </w:tcBorders>
            <w:shd w:val="clear" w:color="000000" w:fill="D9D9D9"/>
            <w:vAlign w:val="center"/>
            <w:hideMark/>
          </w:tcPr>
          <w:p w14:paraId="18142BBC" w14:textId="77777777" w:rsidR="00D54DE0" w:rsidRPr="00D54DE0" w:rsidRDefault="00D54DE0" w:rsidP="00D54DE0">
            <w:pPr>
              <w:spacing w:after="0" w:line="240" w:lineRule="auto"/>
              <w:jc w:val="center"/>
              <w:rPr>
                <w:rFonts w:ascii="Calibri" w:eastAsia="Times New Roman" w:hAnsi="Calibri" w:cs="Calibri"/>
                <w:sz w:val="22"/>
                <w:lang w:val="en-US"/>
              </w:rPr>
            </w:pPr>
            <w:r w:rsidRPr="00D54DE0">
              <w:rPr>
                <w:rFonts w:ascii="Calibri" w:eastAsia="Times New Roman" w:hAnsi="Calibri" w:cs="Calibri"/>
                <w:sz w:val="22"/>
                <w:lang w:val="en-US"/>
              </w:rPr>
              <w:t> </w:t>
            </w:r>
          </w:p>
        </w:tc>
        <w:tc>
          <w:tcPr>
            <w:tcW w:w="847" w:type="dxa"/>
            <w:tcBorders>
              <w:top w:val="single" w:sz="4" w:space="0" w:color="FFFFFF"/>
              <w:left w:val="nil"/>
              <w:bottom w:val="single" w:sz="18" w:space="0" w:color="4F81BD" w:themeColor="accent1"/>
              <w:right w:val="nil"/>
            </w:tcBorders>
            <w:shd w:val="clear" w:color="000000" w:fill="D9D9D9"/>
            <w:vAlign w:val="center"/>
            <w:hideMark/>
          </w:tcPr>
          <w:p w14:paraId="58DE916E" w14:textId="77777777" w:rsidR="00D54DE0" w:rsidRPr="00D54DE0" w:rsidRDefault="00D54DE0" w:rsidP="00D54DE0">
            <w:pPr>
              <w:spacing w:after="0" w:line="240" w:lineRule="auto"/>
              <w:jc w:val="center"/>
              <w:rPr>
                <w:rFonts w:ascii="Calibri" w:eastAsia="Times New Roman" w:hAnsi="Calibri" w:cs="Calibri"/>
                <w:sz w:val="22"/>
                <w:lang w:val="en-US"/>
              </w:rPr>
            </w:pPr>
            <w:r w:rsidRPr="00D54DE0">
              <w:rPr>
                <w:rFonts w:ascii="Calibri" w:eastAsia="Times New Roman" w:hAnsi="Calibri" w:cs="Calibri"/>
                <w:sz w:val="22"/>
                <w:lang w:val="en-US"/>
              </w:rPr>
              <w:t> </w:t>
            </w:r>
          </w:p>
        </w:tc>
        <w:tc>
          <w:tcPr>
            <w:tcW w:w="847" w:type="dxa"/>
            <w:tcBorders>
              <w:top w:val="single" w:sz="4" w:space="0" w:color="FFFFFF"/>
              <w:left w:val="nil"/>
              <w:bottom w:val="single" w:sz="18" w:space="0" w:color="4F81BD" w:themeColor="accent1"/>
              <w:right w:val="nil"/>
            </w:tcBorders>
            <w:shd w:val="clear" w:color="000000" w:fill="D9D9D9"/>
            <w:vAlign w:val="center"/>
            <w:hideMark/>
          </w:tcPr>
          <w:p w14:paraId="6D7E0366" w14:textId="77777777" w:rsidR="00D54DE0" w:rsidRPr="00D54DE0" w:rsidRDefault="00D54DE0" w:rsidP="00D54DE0">
            <w:pPr>
              <w:spacing w:after="0" w:line="240" w:lineRule="auto"/>
              <w:jc w:val="center"/>
              <w:rPr>
                <w:rFonts w:ascii="Calibri" w:eastAsia="Times New Roman" w:hAnsi="Calibri" w:cs="Calibri"/>
                <w:sz w:val="22"/>
                <w:lang w:val="en-US"/>
              </w:rPr>
            </w:pPr>
            <w:r w:rsidRPr="00D54DE0">
              <w:rPr>
                <w:rFonts w:ascii="Calibri" w:eastAsia="Times New Roman" w:hAnsi="Calibri" w:cs="Calibri"/>
                <w:sz w:val="22"/>
                <w:lang w:val="en-US"/>
              </w:rPr>
              <w:t> </w:t>
            </w:r>
          </w:p>
        </w:tc>
        <w:tc>
          <w:tcPr>
            <w:tcW w:w="847" w:type="dxa"/>
            <w:tcBorders>
              <w:top w:val="single" w:sz="4" w:space="0" w:color="FFFFFF"/>
              <w:left w:val="nil"/>
              <w:bottom w:val="single" w:sz="18" w:space="0" w:color="4F81BD" w:themeColor="accent1"/>
              <w:right w:val="nil"/>
            </w:tcBorders>
            <w:shd w:val="clear" w:color="000000" w:fill="D9D9D9"/>
            <w:vAlign w:val="center"/>
            <w:hideMark/>
          </w:tcPr>
          <w:p w14:paraId="1655431D" w14:textId="77777777" w:rsidR="00D54DE0" w:rsidRPr="00D54DE0" w:rsidRDefault="00D54DE0" w:rsidP="00D54DE0">
            <w:pPr>
              <w:spacing w:after="0" w:line="240" w:lineRule="auto"/>
              <w:jc w:val="center"/>
              <w:rPr>
                <w:rFonts w:ascii="Calibri" w:eastAsia="Times New Roman" w:hAnsi="Calibri" w:cs="Calibri"/>
                <w:sz w:val="22"/>
                <w:lang w:val="en-US"/>
              </w:rPr>
            </w:pPr>
            <w:r w:rsidRPr="00D54DE0">
              <w:rPr>
                <w:rFonts w:ascii="Calibri" w:eastAsia="Times New Roman" w:hAnsi="Calibri" w:cs="Calibri"/>
                <w:sz w:val="22"/>
                <w:lang w:val="en-US"/>
              </w:rPr>
              <w:t> </w:t>
            </w:r>
          </w:p>
        </w:tc>
        <w:tc>
          <w:tcPr>
            <w:tcW w:w="847" w:type="dxa"/>
            <w:tcBorders>
              <w:top w:val="single" w:sz="4" w:space="0" w:color="FFFFFF"/>
              <w:left w:val="nil"/>
              <w:bottom w:val="single" w:sz="18" w:space="0" w:color="4F81BD" w:themeColor="accent1"/>
              <w:right w:val="nil"/>
            </w:tcBorders>
            <w:shd w:val="clear" w:color="000000" w:fill="D9D9D9"/>
            <w:vAlign w:val="center"/>
            <w:hideMark/>
          </w:tcPr>
          <w:p w14:paraId="5FFC681B" w14:textId="77777777" w:rsidR="00D54DE0" w:rsidRPr="00D54DE0" w:rsidRDefault="00D54DE0" w:rsidP="00D54DE0">
            <w:pPr>
              <w:spacing w:after="0" w:line="240" w:lineRule="auto"/>
              <w:jc w:val="center"/>
              <w:rPr>
                <w:rFonts w:ascii="Calibri" w:eastAsia="Times New Roman" w:hAnsi="Calibri" w:cs="Calibri"/>
                <w:sz w:val="22"/>
                <w:lang w:val="en-US"/>
              </w:rPr>
            </w:pPr>
            <w:r w:rsidRPr="00D54DE0">
              <w:rPr>
                <w:rFonts w:ascii="Calibri" w:eastAsia="Times New Roman" w:hAnsi="Calibri" w:cs="Calibri"/>
                <w:sz w:val="22"/>
                <w:lang w:val="en-US"/>
              </w:rPr>
              <w:t> </w:t>
            </w:r>
          </w:p>
        </w:tc>
      </w:tr>
    </w:tbl>
    <w:p w14:paraId="4108A1CB" w14:textId="77777777" w:rsidR="002F5E3F" w:rsidRDefault="00D54DE0" w:rsidP="00D54DE0">
      <w:pPr>
        <w:spacing w:before="240" w:after="120"/>
        <w:rPr>
          <w:lang w:val="en-US"/>
        </w:rPr>
      </w:pPr>
      <w:r>
        <w:rPr>
          <w:lang w:val="en-US"/>
        </w:rPr>
        <w:t>I</w:t>
      </w:r>
      <w:r w:rsidR="002F5E3F">
        <w:rPr>
          <w:lang w:val="en-US"/>
        </w:rPr>
        <w:t xml:space="preserve">n the loan facility, which mainly concerns the granting of loans through the commercial banks and International Financial Institutions for the implementation of investment projects in 5 strategic pillars by private businesses, 628 loan agreements had been signed until mid-April 2026, with a total private investment plans budget of €21.58 billion (out of which: €9.60 billion RRF loans, €7.03 billion bank loans and €4.95 billion investors’ own resources). </w:t>
      </w:r>
    </w:p>
    <w:p w14:paraId="0333D087" w14:textId="77777777" w:rsidR="002F5E3F" w:rsidRDefault="002F5E3F" w:rsidP="002F5E3F">
      <w:pPr>
        <w:rPr>
          <w:lang w:val="en-US"/>
        </w:rPr>
      </w:pPr>
      <w:r>
        <w:rPr>
          <w:lang w:val="en-US"/>
        </w:rPr>
        <w:t>Moreover, Greece has allocated an amount of up to €0.8 b</w:t>
      </w:r>
      <w:r w:rsidR="00DA2262">
        <w:rPr>
          <w:lang w:val="en-US"/>
        </w:rPr>
        <w:t>illio</w:t>
      </w:r>
      <w:r>
        <w:rPr>
          <w:lang w:val="en-US"/>
        </w:rPr>
        <w:t xml:space="preserve">n of RRF loans to the European Investment Fund for the implementation of selected guarantee instruments under the Member State Compartment of InvestEU. So far, the InvestEU Investment Committee has approved investment operations amounting to €0.5 </w:t>
      </w:r>
      <w:r w:rsidR="00DA2262">
        <w:rPr>
          <w:lang w:val="en-US"/>
        </w:rPr>
        <w:t>billion</w:t>
      </w:r>
      <w:r>
        <w:rPr>
          <w:lang w:val="en-US"/>
        </w:rPr>
        <w:t xml:space="preserve"> of the overall amount of financing targeted. It is worth mentioning that total mobilized funds/private investments under Invest EU stand at €3.21</w:t>
      </w:r>
      <w:r w:rsidR="0078535C">
        <w:rPr>
          <w:lang w:val="en-US"/>
        </w:rPr>
        <w:t xml:space="preserve"> </w:t>
      </w:r>
      <w:r>
        <w:rPr>
          <w:lang w:val="en-US"/>
        </w:rPr>
        <w:t>b</w:t>
      </w:r>
      <w:r w:rsidR="005D70F6">
        <w:rPr>
          <w:lang w:val="en-US"/>
        </w:rPr>
        <w:t>illio</w:t>
      </w:r>
      <w:r>
        <w:rPr>
          <w:lang w:val="en-US"/>
        </w:rPr>
        <w:t>n. Guarantee products are now available for the Greek SMEs providing them access to investment loans and working capital.</w:t>
      </w:r>
    </w:p>
    <w:p w14:paraId="75D36E1B" w14:textId="77777777" w:rsidR="002F5E3F" w:rsidRDefault="002F5E3F" w:rsidP="002F5E3F">
      <w:pPr>
        <w:rPr>
          <w:lang w:val="en-US"/>
        </w:rPr>
      </w:pPr>
      <w:r>
        <w:rPr>
          <w:lang w:val="en-US"/>
        </w:rPr>
        <w:t>Furthermore, Greece has allocated the amount of €0.6 b</w:t>
      </w:r>
      <w:r w:rsidR="00DA2262">
        <w:rPr>
          <w:lang w:val="en-US"/>
        </w:rPr>
        <w:t>illio</w:t>
      </w:r>
      <w:r>
        <w:rPr>
          <w:lang w:val="en-US"/>
        </w:rPr>
        <w:t>n under the equity platform and so far, the Hellenic Development Bank of Investments have entered into legal financing agreements with funds for €0.5 b</w:t>
      </w:r>
      <w:r w:rsidR="00DA2262">
        <w:rPr>
          <w:lang w:val="en-US"/>
        </w:rPr>
        <w:t>illio</w:t>
      </w:r>
      <w:r>
        <w:rPr>
          <w:lang w:val="en-US"/>
        </w:rPr>
        <w:t>n of the equity support (incl. management fees), whilst total mobilized funds/private investments under Equity platform stand at €0.98 b</w:t>
      </w:r>
      <w:r w:rsidR="00DA2262">
        <w:rPr>
          <w:lang w:val="en-US"/>
        </w:rPr>
        <w:t>illio</w:t>
      </w:r>
      <w:r>
        <w:rPr>
          <w:lang w:val="en-US"/>
        </w:rPr>
        <w:t>n.</w:t>
      </w:r>
    </w:p>
    <w:p w14:paraId="4B340250" w14:textId="7CE78BB5" w:rsidR="00BE5CAF" w:rsidRDefault="002F5E3F" w:rsidP="002F5E3F">
      <w:pPr>
        <w:rPr>
          <w:lang w:val="en-US"/>
        </w:rPr>
      </w:pPr>
      <w:r>
        <w:rPr>
          <w:lang w:val="en-US"/>
        </w:rPr>
        <w:t>Following the latest revision of Greece’s NRRP in December 2025, the financial instruments component has been enriched further with two new measures, the “Capital injection into the Hellenic Development Bank” with a budget of €2</w:t>
      </w:r>
      <w:r w:rsidR="00DA2262">
        <w:rPr>
          <w:lang w:val="en-US"/>
        </w:rPr>
        <w:t xml:space="preserve"> </w:t>
      </w:r>
      <w:r>
        <w:rPr>
          <w:lang w:val="en-US"/>
        </w:rPr>
        <w:t>b</w:t>
      </w:r>
      <w:r w:rsidR="00DA2262">
        <w:rPr>
          <w:lang w:val="en-US"/>
        </w:rPr>
        <w:t>illio</w:t>
      </w:r>
      <w:r>
        <w:rPr>
          <w:lang w:val="en-US"/>
        </w:rPr>
        <w:t>n which aims at supporting the growth potential of the Greek economy</w:t>
      </w:r>
      <w:r w:rsidR="0078535C" w:rsidRPr="0051581C">
        <w:rPr>
          <w:lang w:val="en-US"/>
        </w:rPr>
        <w:t>,</w:t>
      </w:r>
      <w:r>
        <w:rPr>
          <w:lang w:val="en-US"/>
        </w:rPr>
        <w:t xml:space="preserve"> by structurally adjusting the level of public support available to address market failures and inefficiencies within the economy</w:t>
      </w:r>
      <w:r w:rsidR="0078535C" w:rsidRPr="0078535C">
        <w:rPr>
          <w:lang w:val="en-US"/>
        </w:rPr>
        <w:t>,</w:t>
      </w:r>
      <w:r>
        <w:rPr>
          <w:lang w:val="en-US"/>
        </w:rPr>
        <w:t xml:space="preserve"> and the reform “Pillar assessment of the Hellenic Development Bank”. Additionally, the </w:t>
      </w:r>
      <w:r w:rsidR="0078535C">
        <w:rPr>
          <w:lang w:val="en-US"/>
        </w:rPr>
        <w:t xml:space="preserve">budget </w:t>
      </w:r>
      <w:r w:rsidR="00C11939">
        <w:rPr>
          <w:lang w:val="en-US"/>
        </w:rPr>
        <w:t>of the</w:t>
      </w:r>
      <w:r w:rsidR="0078535C" w:rsidRPr="0078535C">
        <w:rPr>
          <w:lang w:val="en-US"/>
        </w:rPr>
        <w:t xml:space="preserve"> </w:t>
      </w:r>
      <w:r>
        <w:rPr>
          <w:lang w:val="en-US"/>
        </w:rPr>
        <w:t xml:space="preserve">"Upgrade My </w:t>
      </w:r>
      <w:r>
        <w:rPr>
          <w:lang w:val="en-US"/>
        </w:rPr>
        <w:lastRenderedPageBreak/>
        <w:t xml:space="preserve">Home" measure has been </w:t>
      </w:r>
      <w:r w:rsidR="002B1310">
        <w:rPr>
          <w:lang w:val="en-US"/>
        </w:rPr>
        <w:t xml:space="preserve">up </w:t>
      </w:r>
      <w:r>
        <w:rPr>
          <w:lang w:val="en-US"/>
        </w:rPr>
        <w:t>to €60</w:t>
      </w:r>
      <w:r w:rsidR="005D70F6">
        <w:rPr>
          <w:lang w:val="en-US"/>
        </w:rPr>
        <w:t xml:space="preserve"> </w:t>
      </w:r>
      <w:r>
        <w:rPr>
          <w:lang w:val="en-US"/>
        </w:rPr>
        <w:t>m</w:t>
      </w:r>
      <w:r w:rsidR="005D70F6">
        <w:rPr>
          <w:lang w:val="en-US"/>
        </w:rPr>
        <w:t>illio</w:t>
      </w:r>
      <w:r>
        <w:rPr>
          <w:lang w:val="en-US"/>
        </w:rPr>
        <w:t>n</w:t>
      </w:r>
      <w:r w:rsidR="00C11939">
        <w:rPr>
          <w:lang w:val="en-US"/>
        </w:rPr>
        <w:t>,</w:t>
      </w:r>
      <w:r>
        <w:rPr>
          <w:lang w:val="en-US"/>
        </w:rPr>
        <w:t xml:space="preserve"> whilst the </w:t>
      </w:r>
      <w:r w:rsidR="00C11939">
        <w:rPr>
          <w:lang w:val="en-US"/>
        </w:rPr>
        <w:t xml:space="preserve">budget of the </w:t>
      </w:r>
      <w:r>
        <w:rPr>
          <w:lang w:val="en-US"/>
        </w:rPr>
        <w:t>“My Home II" measure remained at €1 b</w:t>
      </w:r>
      <w:r w:rsidR="00DA2262">
        <w:rPr>
          <w:lang w:val="en-US"/>
        </w:rPr>
        <w:t>illio</w:t>
      </w:r>
      <w:r>
        <w:rPr>
          <w:lang w:val="en-US"/>
        </w:rPr>
        <w:t>n RRF funds, thus the total budget of loan measures to individuals stands at €1.06 b</w:t>
      </w:r>
      <w:r w:rsidR="00DA2262">
        <w:rPr>
          <w:lang w:val="en-US"/>
        </w:rPr>
        <w:t>illio</w:t>
      </w:r>
      <w:r>
        <w:rPr>
          <w:lang w:val="en-US"/>
        </w:rPr>
        <w:t>n. So far (mid-April 2026), RRF loans contracted amount to €582 m</w:t>
      </w:r>
      <w:r w:rsidR="00DA2262">
        <w:rPr>
          <w:lang w:val="en-US"/>
        </w:rPr>
        <w:t>illio</w:t>
      </w:r>
      <w:r>
        <w:rPr>
          <w:lang w:val="en-US"/>
        </w:rPr>
        <w:t>n (incl. management fees) under “My Home II" measure and at €56 m</w:t>
      </w:r>
      <w:r w:rsidR="00DA2262">
        <w:rPr>
          <w:lang w:val="en-US"/>
        </w:rPr>
        <w:t>illio</w:t>
      </w:r>
      <w:r>
        <w:rPr>
          <w:lang w:val="en-US"/>
        </w:rPr>
        <w:t>n (incl. management fees) under "Upgrade My Home" measure, whilst total mobilized funds/private investments in the housing sector amount at €1.61 b</w:t>
      </w:r>
      <w:r w:rsidR="00DA2262">
        <w:rPr>
          <w:lang w:val="en-US"/>
        </w:rPr>
        <w:t>illio</w:t>
      </w:r>
      <w:r>
        <w:rPr>
          <w:lang w:val="en-US"/>
        </w:rPr>
        <w:t>n. Thus, so far, the €11.2 b</w:t>
      </w:r>
      <w:r w:rsidR="00DA2262">
        <w:rPr>
          <w:lang w:val="en-US"/>
        </w:rPr>
        <w:t>illio</w:t>
      </w:r>
      <w:r>
        <w:rPr>
          <w:lang w:val="en-US"/>
        </w:rPr>
        <w:t xml:space="preserve">n of RRF funds </w:t>
      </w:r>
      <w:r w:rsidR="00043D85">
        <w:rPr>
          <w:lang w:val="en-US"/>
        </w:rPr>
        <w:t>—</w:t>
      </w:r>
      <w:r>
        <w:rPr>
          <w:lang w:val="en-US"/>
        </w:rPr>
        <w:t>as loans or guarantees</w:t>
      </w:r>
      <w:r w:rsidR="00043D85">
        <w:rPr>
          <w:lang w:val="en-US"/>
        </w:rPr>
        <w:t>—</w:t>
      </w:r>
      <w:r>
        <w:rPr>
          <w:lang w:val="en-US"/>
        </w:rPr>
        <w:t xml:space="preserve"> have mobilized private investments of €27.4 b</w:t>
      </w:r>
      <w:r w:rsidR="00DA2262">
        <w:rPr>
          <w:lang w:val="en-US"/>
        </w:rPr>
        <w:t>illio</w:t>
      </w:r>
      <w:r>
        <w:rPr>
          <w:lang w:val="en-US"/>
        </w:rPr>
        <w:t xml:space="preserve">n or 11% of 2025 GDP (provision market prices).  </w:t>
      </w:r>
    </w:p>
    <w:p w14:paraId="25499540" w14:textId="3D7B9365" w:rsidR="002F5E3F" w:rsidRDefault="00DA2262" w:rsidP="00DA2262">
      <w:pPr>
        <w:pStyle w:val="Caption"/>
      </w:pPr>
      <w:bookmarkStart w:id="32" w:name="_Toc211355102"/>
      <w:bookmarkStart w:id="33" w:name="_Toc211249685"/>
      <w:bookmarkStart w:id="34" w:name="_Toc228374162"/>
      <w:r>
        <w:t xml:space="preserve">Table </w:t>
      </w:r>
      <w:r w:rsidR="00B6443E">
        <w:fldChar w:fldCharType="begin"/>
      </w:r>
      <w:r>
        <w:instrText xml:space="preserve"> SEQ Table \* ARABIC </w:instrText>
      </w:r>
      <w:r w:rsidR="00B6443E">
        <w:fldChar w:fldCharType="separate"/>
      </w:r>
      <w:r w:rsidR="000B61F1">
        <w:rPr>
          <w:noProof/>
        </w:rPr>
        <w:t>8</w:t>
      </w:r>
      <w:r w:rsidR="00B6443E">
        <w:fldChar w:fldCharType="end"/>
      </w:r>
      <w:r w:rsidRPr="00DA2262">
        <w:t xml:space="preserve"> |</w:t>
      </w:r>
      <w:r w:rsidR="002F5E3F" w:rsidRPr="00DA2262">
        <w:t xml:space="preserve"> </w:t>
      </w:r>
      <w:r w:rsidR="002F5E3F">
        <w:t xml:space="preserve">RRF loans </w:t>
      </w:r>
      <w:r w:rsidRPr="00DA2262">
        <w:t xml:space="preserve">                                                                                </w:t>
      </w:r>
      <w:r w:rsidR="002F5E3F">
        <w:rPr>
          <w:b w:val="0"/>
        </w:rPr>
        <w:t>(% of GDP)</w:t>
      </w:r>
      <w:bookmarkEnd w:id="32"/>
      <w:bookmarkEnd w:id="33"/>
      <w:bookmarkEnd w:id="34"/>
    </w:p>
    <w:tbl>
      <w:tblPr>
        <w:tblW w:w="8902" w:type="dxa"/>
        <w:jc w:val="center"/>
        <w:tblLook w:val="04A0" w:firstRow="1" w:lastRow="0" w:firstColumn="1" w:lastColumn="0" w:noHBand="0" w:noVBand="1"/>
      </w:tblPr>
      <w:tblGrid>
        <w:gridCol w:w="3418"/>
        <w:gridCol w:w="914"/>
        <w:gridCol w:w="914"/>
        <w:gridCol w:w="914"/>
        <w:gridCol w:w="914"/>
        <w:gridCol w:w="914"/>
        <w:gridCol w:w="914"/>
      </w:tblGrid>
      <w:tr w:rsidR="00D54DE0" w:rsidRPr="00D54DE0" w14:paraId="51EFBDD8" w14:textId="77777777" w:rsidTr="00924C7C">
        <w:trPr>
          <w:trHeight w:val="337"/>
          <w:jc w:val="center"/>
        </w:trPr>
        <w:tc>
          <w:tcPr>
            <w:tcW w:w="3760" w:type="dxa"/>
            <w:tcBorders>
              <w:top w:val="nil"/>
              <w:left w:val="nil"/>
              <w:bottom w:val="nil"/>
              <w:right w:val="nil"/>
            </w:tcBorders>
            <w:shd w:val="clear" w:color="000000" w:fill="BFBFBF"/>
            <w:vAlign w:val="center"/>
            <w:hideMark/>
          </w:tcPr>
          <w:p w14:paraId="12EF7818" w14:textId="77777777" w:rsidR="00D54DE0" w:rsidRPr="00703C4C" w:rsidRDefault="00D54DE0" w:rsidP="00D54DE0">
            <w:pPr>
              <w:spacing w:after="0" w:line="240" w:lineRule="auto"/>
              <w:jc w:val="center"/>
              <w:rPr>
                <w:rFonts w:ascii="Arial" w:eastAsia="Times New Roman" w:hAnsi="Arial" w:cs="Arial"/>
                <w:b/>
                <w:bCs/>
                <w:color w:val="000000"/>
                <w:sz w:val="20"/>
                <w:szCs w:val="20"/>
                <w:lang w:val="en-US"/>
              </w:rPr>
            </w:pPr>
            <w:r w:rsidRPr="00703C4C">
              <w:rPr>
                <w:rFonts w:ascii="Arial" w:eastAsia="Times New Roman" w:hAnsi="Arial" w:cs="Arial"/>
                <w:b/>
                <w:bCs/>
                <w:color w:val="000000"/>
                <w:sz w:val="20"/>
                <w:szCs w:val="20"/>
                <w:lang w:val="en-US"/>
              </w:rPr>
              <w:t> </w:t>
            </w:r>
          </w:p>
        </w:tc>
        <w:tc>
          <w:tcPr>
            <w:tcW w:w="960" w:type="dxa"/>
            <w:tcBorders>
              <w:top w:val="nil"/>
              <w:left w:val="nil"/>
              <w:bottom w:val="nil"/>
              <w:right w:val="nil"/>
            </w:tcBorders>
            <w:shd w:val="clear" w:color="000000" w:fill="BFBFBF"/>
            <w:vAlign w:val="center"/>
            <w:hideMark/>
          </w:tcPr>
          <w:p w14:paraId="07DEDAE8" w14:textId="77777777" w:rsidR="00D54DE0" w:rsidRPr="00D54DE0" w:rsidRDefault="00D54DE0" w:rsidP="00D54DE0">
            <w:pPr>
              <w:spacing w:after="0" w:line="240" w:lineRule="auto"/>
              <w:jc w:val="center"/>
              <w:rPr>
                <w:rFonts w:ascii="Arial" w:eastAsia="Times New Roman" w:hAnsi="Arial" w:cs="Arial"/>
                <w:b/>
                <w:bCs/>
                <w:color w:val="000000"/>
                <w:sz w:val="20"/>
                <w:szCs w:val="20"/>
              </w:rPr>
            </w:pPr>
            <w:r w:rsidRPr="00D54DE0">
              <w:rPr>
                <w:rFonts w:ascii="Arial" w:eastAsia="Times New Roman" w:hAnsi="Arial" w:cs="Arial"/>
                <w:b/>
                <w:bCs/>
                <w:color w:val="000000"/>
                <w:sz w:val="20"/>
                <w:szCs w:val="20"/>
              </w:rPr>
              <w:t>2021</w:t>
            </w:r>
          </w:p>
        </w:tc>
        <w:tc>
          <w:tcPr>
            <w:tcW w:w="960" w:type="dxa"/>
            <w:tcBorders>
              <w:top w:val="nil"/>
              <w:left w:val="nil"/>
              <w:bottom w:val="nil"/>
              <w:right w:val="nil"/>
            </w:tcBorders>
            <w:shd w:val="clear" w:color="000000" w:fill="BFBFBF"/>
            <w:vAlign w:val="center"/>
            <w:hideMark/>
          </w:tcPr>
          <w:p w14:paraId="0B80B3E0" w14:textId="77777777" w:rsidR="00D54DE0" w:rsidRPr="00D54DE0" w:rsidRDefault="00D54DE0" w:rsidP="00D54DE0">
            <w:pPr>
              <w:spacing w:after="0" w:line="240" w:lineRule="auto"/>
              <w:jc w:val="center"/>
              <w:rPr>
                <w:rFonts w:ascii="Arial" w:eastAsia="Times New Roman" w:hAnsi="Arial" w:cs="Arial"/>
                <w:b/>
                <w:bCs/>
                <w:color w:val="000000"/>
                <w:sz w:val="20"/>
                <w:szCs w:val="20"/>
              </w:rPr>
            </w:pPr>
            <w:r w:rsidRPr="00D54DE0">
              <w:rPr>
                <w:rFonts w:ascii="Arial" w:eastAsia="Times New Roman" w:hAnsi="Arial" w:cs="Arial"/>
                <w:b/>
                <w:bCs/>
                <w:color w:val="000000"/>
                <w:sz w:val="20"/>
                <w:szCs w:val="20"/>
              </w:rPr>
              <w:t>2022</w:t>
            </w:r>
          </w:p>
        </w:tc>
        <w:tc>
          <w:tcPr>
            <w:tcW w:w="960" w:type="dxa"/>
            <w:tcBorders>
              <w:top w:val="nil"/>
              <w:left w:val="nil"/>
              <w:bottom w:val="nil"/>
              <w:right w:val="nil"/>
            </w:tcBorders>
            <w:shd w:val="clear" w:color="000000" w:fill="BFBFBF"/>
            <w:vAlign w:val="center"/>
            <w:hideMark/>
          </w:tcPr>
          <w:p w14:paraId="638157B0" w14:textId="77777777" w:rsidR="00D54DE0" w:rsidRPr="00D54DE0" w:rsidRDefault="00D54DE0" w:rsidP="00D54DE0">
            <w:pPr>
              <w:spacing w:after="0" w:line="240" w:lineRule="auto"/>
              <w:jc w:val="center"/>
              <w:rPr>
                <w:rFonts w:ascii="Arial" w:eastAsia="Times New Roman" w:hAnsi="Arial" w:cs="Arial"/>
                <w:b/>
                <w:bCs/>
                <w:color w:val="000000"/>
                <w:sz w:val="20"/>
                <w:szCs w:val="20"/>
              </w:rPr>
            </w:pPr>
            <w:r w:rsidRPr="00D54DE0">
              <w:rPr>
                <w:rFonts w:ascii="Arial" w:eastAsia="Times New Roman" w:hAnsi="Arial" w:cs="Arial"/>
                <w:b/>
                <w:bCs/>
                <w:color w:val="000000"/>
                <w:sz w:val="20"/>
                <w:szCs w:val="20"/>
              </w:rPr>
              <w:t>2023</w:t>
            </w:r>
          </w:p>
        </w:tc>
        <w:tc>
          <w:tcPr>
            <w:tcW w:w="960" w:type="dxa"/>
            <w:tcBorders>
              <w:top w:val="nil"/>
              <w:left w:val="nil"/>
              <w:bottom w:val="nil"/>
              <w:right w:val="nil"/>
            </w:tcBorders>
            <w:shd w:val="clear" w:color="000000" w:fill="BFBFBF"/>
            <w:vAlign w:val="center"/>
            <w:hideMark/>
          </w:tcPr>
          <w:p w14:paraId="740DE76E" w14:textId="77777777" w:rsidR="00D54DE0" w:rsidRPr="00D54DE0" w:rsidRDefault="00D54DE0" w:rsidP="00D54DE0">
            <w:pPr>
              <w:spacing w:after="0" w:line="240" w:lineRule="auto"/>
              <w:jc w:val="center"/>
              <w:rPr>
                <w:rFonts w:ascii="Arial" w:eastAsia="Times New Roman" w:hAnsi="Arial" w:cs="Arial"/>
                <w:b/>
                <w:bCs/>
                <w:color w:val="000000"/>
                <w:sz w:val="20"/>
                <w:szCs w:val="20"/>
              </w:rPr>
            </w:pPr>
            <w:r w:rsidRPr="00D54DE0">
              <w:rPr>
                <w:rFonts w:ascii="Arial" w:eastAsia="Times New Roman" w:hAnsi="Arial" w:cs="Arial"/>
                <w:b/>
                <w:bCs/>
                <w:color w:val="000000"/>
                <w:sz w:val="20"/>
                <w:szCs w:val="20"/>
              </w:rPr>
              <w:t>2024</w:t>
            </w:r>
          </w:p>
        </w:tc>
        <w:tc>
          <w:tcPr>
            <w:tcW w:w="960" w:type="dxa"/>
            <w:tcBorders>
              <w:top w:val="nil"/>
              <w:left w:val="nil"/>
              <w:bottom w:val="nil"/>
              <w:right w:val="nil"/>
            </w:tcBorders>
            <w:shd w:val="clear" w:color="000000" w:fill="BFBFBF"/>
            <w:vAlign w:val="center"/>
            <w:hideMark/>
          </w:tcPr>
          <w:p w14:paraId="547467C3" w14:textId="77777777" w:rsidR="00D54DE0" w:rsidRPr="00D54DE0" w:rsidRDefault="00D54DE0" w:rsidP="00D54DE0">
            <w:pPr>
              <w:spacing w:after="0" w:line="240" w:lineRule="auto"/>
              <w:jc w:val="center"/>
              <w:rPr>
                <w:rFonts w:ascii="Arial" w:eastAsia="Times New Roman" w:hAnsi="Arial" w:cs="Arial"/>
                <w:b/>
                <w:bCs/>
                <w:color w:val="000000"/>
                <w:sz w:val="20"/>
                <w:szCs w:val="20"/>
              </w:rPr>
            </w:pPr>
            <w:r w:rsidRPr="00D54DE0">
              <w:rPr>
                <w:rFonts w:ascii="Arial" w:eastAsia="Times New Roman" w:hAnsi="Arial" w:cs="Arial"/>
                <w:b/>
                <w:bCs/>
                <w:color w:val="000000"/>
                <w:sz w:val="20"/>
                <w:szCs w:val="20"/>
              </w:rPr>
              <w:t>2025</w:t>
            </w:r>
          </w:p>
        </w:tc>
        <w:tc>
          <w:tcPr>
            <w:tcW w:w="960" w:type="dxa"/>
            <w:tcBorders>
              <w:top w:val="nil"/>
              <w:left w:val="nil"/>
              <w:bottom w:val="nil"/>
              <w:right w:val="nil"/>
            </w:tcBorders>
            <w:shd w:val="clear" w:color="000000" w:fill="BFBFBF"/>
            <w:vAlign w:val="center"/>
            <w:hideMark/>
          </w:tcPr>
          <w:p w14:paraId="10BD86F9" w14:textId="77777777" w:rsidR="00D54DE0" w:rsidRPr="00D54DE0" w:rsidRDefault="00D54DE0" w:rsidP="00D54DE0">
            <w:pPr>
              <w:spacing w:after="0" w:line="240" w:lineRule="auto"/>
              <w:jc w:val="center"/>
              <w:rPr>
                <w:rFonts w:ascii="Arial" w:eastAsia="Times New Roman" w:hAnsi="Arial" w:cs="Arial"/>
                <w:b/>
                <w:bCs/>
                <w:color w:val="000000"/>
                <w:sz w:val="20"/>
                <w:szCs w:val="20"/>
              </w:rPr>
            </w:pPr>
            <w:r w:rsidRPr="00D54DE0">
              <w:rPr>
                <w:rFonts w:ascii="Arial" w:eastAsia="Times New Roman" w:hAnsi="Arial" w:cs="Arial"/>
                <w:b/>
                <w:bCs/>
                <w:color w:val="000000"/>
                <w:sz w:val="20"/>
                <w:szCs w:val="20"/>
              </w:rPr>
              <w:t>2026</w:t>
            </w:r>
          </w:p>
        </w:tc>
      </w:tr>
      <w:tr w:rsidR="00D54DE0" w:rsidRPr="00D54DE0" w14:paraId="22B50D97" w14:textId="77777777" w:rsidTr="005A04FE">
        <w:trPr>
          <w:trHeight w:val="289"/>
          <w:jc w:val="center"/>
        </w:trPr>
        <w:tc>
          <w:tcPr>
            <w:tcW w:w="3760" w:type="dxa"/>
            <w:tcBorders>
              <w:top w:val="single" w:sz="4" w:space="0" w:color="FFFFFF"/>
              <w:left w:val="nil"/>
              <w:bottom w:val="single" w:sz="4" w:space="0" w:color="FFFFFF"/>
              <w:right w:val="nil"/>
            </w:tcBorders>
            <w:shd w:val="clear" w:color="auto" w:fill="B8CCE4" w:themeFill="accent1" w:themeFillTint="66"/>
            <w:vAlign w:val="center"/>
            <w:hideMark/>
          </w:tcPr>
          <w:p w14:paraId="7552FAEE" w14:textId="77777777" w:rsidR="00D54DE0" w:rsidRPr="00D54DE0" w:rsidRDefault="00D54DE0" w:rsidP="00D54DE0">
            <w:pPr>
              <w:spacing w:after="0" w:line="240" w:lineRule="auto"/>
              <w:jc w:val="left"/>
              <w:rPr>
                <w:rFonts w:ascii="Calibri" w:eastAsia="Times New Roman" w:hAnsi="Calibri" w:cs="Calibri"/>
                <w:b/>
                <w:bCs/>
                <w:sz w:val="22"/>
              </w:rPr>
            </w:pPr>
            <w:r w:rsidRPr="00D54DE0">
              <w:rPr>
                <w:rFonts w:ascii="Calibri" w:eastAsia="Times New Roman" w:hAnsi="Calibri" w:cs="Calibri"/>
                <w:b/>
                <w:bCs/>
                <w:sz w:val="22"/>
              </w:rPr>
              <w:t>Revenue from RRF loans</w:t>
            </w:r>
          </w:p>
        </w:tc>
        <w:tc>
          <w:tcPr>
            <w:tcW w:w="960" w:type="dxa"/>
            <w:tcBorders>
              <w:top w:val="single" w:sz="4" w:space="0" w:color="FFFFFF"/>
              <w:left w:val="nil"/>
              <w:bottom w:val="single" w:sz="4" w:space="0" w:color="FFFFFF"/>
              <w:right w:val="nil"/>
            </w:tcBorders>
            <w:shd w:val="clear" w:color="auto" w:fill="B8CCE4" w:themeFill="accent1" w:themeFillTint="66"/>
            <w:vAlign w:val="center"/>
            <w:hideMark/>
          </w:tcPr>
          <w:p w14:paraId="0B717925" w14:textId="77777777" w:rsidR="00D54DE0" w:rsidRPr="00D54DE0" w:rsidRDefault="00D54DE0" w:rsidP="00D54DE0">
            <w:pPr>
              <w:spacing w:after="0" w:line="240" w:lineRule="auto"/>
              <w:jc w:val="left"/>
              <w:rPr>
                <w:rFonts w:ascii="Calibri" w:eastAsia="Times New Roman" w:hAnsi="Calibri" w:cs="Calibri"/>
                <w:sz w:val="22"/>
              </w:rPr>
            </w:pPr>
            <w:r w:rsidRPr="00D54DE0">
              <w:rPr>
                <w:rFonts w:ascii="Calibri" w:eastAsia="Times New Roman" w:hAnsi="Calibri" w:cs="Calibri"/>
                <w:sz w:val="22"/>
              </w:rPr>
              <w:t> </w:t>
            </w:r>
          </w:p>
        </w:tc>
        <w:tc>
          <w:tcPr>
            <w:tcW w:w="960" w:type="dxa"/>
            <w:tcBorders>
              <w:top w:val="single" w:sz="4" w:space="0" w:color="FFFFFF"/>
              <w:left w:val="nil"/>
              <w:bottom w:val="single" w:sz="4" w:space="0" w:color="FFFFFF"/>
              <w:right w:val="nil"/>
            </w:tcBorders>
            <w:shd w:val="clear" w:color="auto" w:fill="B8CCE4" w:themeFill="accent1" w:themeFillTint="66"/>
            <w:vAlign w:val="center"/>
            <w:hideMark/>
          </w:tcPr>
          <w:p w14:paraId="1B413D83" w14:textId="77777777" w:rsidR="00D54DE0" w:rsidRPr="00D54DE0" w:rsidRDefault="00D54DE0" w:rsidP="00D54DE0">
            <w:pPr>
              <w:spacing w:after="0" w:line="240" w:lineRule="auto"/>
              <w:jc w:val="left"/>
              <w:rPr>
                <w:rFonts w:ascii="Calibri" w:eastAsia="Times New Roman" w:hAnsi="Calibri" w:cs="Calibri"/>
                <w:sz w:val="22"/>
              </w:rPr>
            </w:pPr>
            <w:r w:rsidRPr="00D54DE0">
              <w:rPr>
                <w:rFonts w:ascii="Calibri" w:eastAsia="Times New Roman" w:hAnsi="Calibri" w:cs="Calibri"/>
                <w:sz w:val="22"/>
              </w:rPr>
              <w:t> </w:t>
            </w:r>
          </w:p>
        </w:tc>
        <w:tc>
          <w:tcPr>
            <w:tcW w:w="960" w:type="dxa"/>
            <w:tcBorders>
              <w:top w:val="single" w:sz="4" w:space="0" w:color="FFFFFF"/>
              <w:left w:val="nil"/>
              <w:bottom w:val="single" w:sz="4" w:space="0" w:color="FFFFFF"/>
              <w:right w:val="nil"/>
            </w:tcBorders>
            <w:shd w:val="clear" w:color="auto" w:fill="B8CCE4" w:themeFill="accent1" w:themeFillTint="66"/>
            <w:vAlign w:val="center"/>
            <w:hideMark/>
          </w:tcPr>
          <w:p w14:paraId="30E17F7E" w14:textId="77777777" w:rsidR="00D54DE0" w:rsidRPr="00D54DE0" w:rsidRDefault="00D54DE0" w:rsidP="00D54DE0">
            <w:pPr>
              <w:spacing w:after="0" w:line="240" w:lineRule="auto"/>
              <w:jc w:val="left"/>
              <w:rPr>
                <w:rFonts w:ascii="Calibri" w:eastAsia="Times New Roman" w:hAnsi="Calibri" w:cs="Calibri"/>
                <w:sz w:val="22"/>
              </w:rPr>
            </w:pPr>
            <w:r w:rsidRPr="00D54DE0">
              <w:rPr>
                <w:rFonts w:ascii="Calibri" w:eastAsia="Times New Roman" w:hAnsi="Calibri" w:cs="Calibri"/>
                <w:sz w:val="22"/>
              </w:rPr>
              <w:t> </w:t>
            </w:r>
          </w:p>
        </w:tc>
        <w:tc>
          <w:tcPr>
            <w:tcW w:w="960" w:type="dxa"/>
            <w:tcBorders>
              <w:top w:val="single" w:sz="4" w:space="0" w:color="FFFFFF"/>
              <w:left w:val="nil"/>
              <w:bottom w:val="single" w:sz="4" w:space="0" w:color="FFFFFF"/>
              <w:right w:val="nil"/>
            </w:tcBorders>
            <w:shd w:val="clear" w:color="auto" w:fill="B8CCE4" w:themeFill="accent1" w:themeFillTint="66"/>
            <w:vAlign w:val="center"/>
            <w:hideMark/>
          </w:tcPr>
          <w:p w14:paraId="55E4C164" w14:textId="77777777" w:rsidR="00D54DE0" w:rsidRPr="00D54DE0" w:rsidRDefault="00D54DE0" w:rsidP="00D54DE0">
            <w:pPr>
              <w:spacing w:after="0" w:line="240" w:lineRule="auto"/>
              <w:jc w:val="left"/>
              <w:rPr>
                <w:rFonts w:ascii="Calibri" w:eastAsia="Times New Roman" w:hAnsi="Calibri" w:cs="Calibri"/>
                <w:sz w:val="22"/>
              </w:rPr>
            </w:pPr>
            <w:r w:rsidRPr="00D54DE0">
              <w:rPr>
                <w:rFonts w:ascii="Calibri" w:eastAsia="Times New Roman" w:hAnsi="Calibri" w:cs="Calibri"/>
                <w:sz w:val="22"/>
              </w:rPr>
              <w:t> </w:t>
            </w:r>
          </w:p>
        </w:tc>
        <w:tc>
          <w:tcPr>
            <w:tcW w:w="960" w:type="dxa"/>
            <w:tcBorders>
              <w:top w:val="single" w:sz="4" w:space="0" w:color="FFFFFF"/>
              <w:left w:val="nil"/>
              <w:bottom w:val="single" w:sz="4" w:space="0" w:color="FFFFFF"/>
              <w:right w:val="nil"/>
            </w:tcBorders>
            <w:shd w:val="clear" w:color="auto" w:fill="B8CCE4" w:themeFill="accent1" w:themeFillTint="66"/>
            <w:vAlign w:val="center"/>
            <w:hideMark/>
          </w:tcPr>
          <w:p w14:paraId="43DBF125" w14:textId="77777777" w:rsidR="00D54DE0" w:rsidRPr="00D54DE0" w:rsidRDefault="00D54DE0" w:rsidP="00D54DE0">
            <w:pPr>
              <w:spacing w:after="0" w:line="240" w:lineRule="auto"/>
              <w:jc w:val="left"/>
              <w:rPr>
                <w:rFonts w:ascii="Calibri" w:eastAsia="Times New Roman" w:hAnsi="Calibri" w:cs="Calibri"/>
                <w:sz w:val="22"/>
              </w:rPr>
            </w:pPr>
            <w:r w:rsidRPr="00D54DE0">
              <w:rPr>
                <w:rFonts w:ascii="Calibri" w:eastAsia="Times New Roman" w:hAnsi="Calibri" w:cs="Calibri"/>
                <w:sz w:val="22"/>
              </w:rPr>
              <w:t> </w:t>
            </w:r>
          </w:p>
        </w:tc>
        <w:tc>
          <w:tcPr>
            <w:tcW w:w="960" w:type="dxa"/>
            <w:tcBorders>
              <w:top w:val="single" w:sz="4" w:space="0" w:color="FFFFFF"/>
              <w:left w:val="nil"/>
              <w:bottom w:val="single" w:sz="4" w:space="0" w:color="FFFFFF"/>
              <w:right w:val="nil"/>
            </w:tcBorders>
            <w:shd w:val="clear" w:color="auto" w:fill="B8CCE4" w:themeFill="accent1" w:themeFillTint="66"/>
            <w:vAlign w:val="center"/>
            <w:hideMark/>
          </w:tcPr>
          <w:p w14:paraId="67BEEDC8" w14:textId="77777777" w:rsidR="00D54DE0" w:rsidRPr="00D54DE0" w:rsidRDefault="00D54DE0" w:rsidP="00D54DE0">
            <w:pPr>
              <w:spacing w:after="0" w:line="240" w:lineRule="auto"/>
              <w:jc w:val="left"/>
              <w:rPr>
                <w:rFonts w:ascii="Calibri" w:eastAsia="Times New Roman" w:hAnsi="Calibri" w:cs="Calibri"/>
                <w:sz w:val="22"/>
              </w:rPr>
            </w:pPr>
            <w:r w:rsidRPr="00D54DE0">
              <w:rPr>
                <w:rFonts w:ascii="Calibri" w:eastAsia="Times New Roman" w:hAnsi="Calibri" w:cs="Calibri"/>
                <w:sz w:val="22"/>
              </w:rPr>
              <w:t> </w:t>
            </w:r>
          </w:p>
        </w:tc>
      </w:tr>
      <w:tr w:rsidR="00D54DE0" w:rsidRPr="00D54DE0" w14:paraId="75C9754E" w14:textId="77777777" w:rsidTr="00D54DE0">
        <w:trPr>
          <w:trHeight w:val="170"/>
          <w:jc w:val="center"/>
        </w:trPr>
        <w:tc>
          <w:tcPr>
            <w:tcW w:w="3760" w:type="dxa"/>
            <w:tcBorders>
              <w:top w:val="nil"/>
              <w:left w:val="nil"/>
              <w:bottom w:val="single" w:sz="4" w:space="0" w:color="FFFFFF"/>
              <w:right w:val="nil"/>
            </w:tcBorders>
            <w:shd w:val="clear" w:color="000000" w:fill="F2F2F2"/>
            <w:vAlign w:val="center"/>
            <w:hideMark/>
          </w:tcPr>
          <w:p w14:paraId="16D71DF8" w14:textId="77777777" w:rsidR="00D54DE0" w:rsidRPr="00D54DE0" w:rsidRDefault="00D54DE0" w:rsidP="00D54DE0">
            <w:pPr>
              <w:spacing w:after="0" w:line="240" w:lineRule="auto"/>
              <w:jc w:val="left"/>
              <w:rPr>
                <w:rFonts w:ascii="Calibri" w:eastAsia="Times New Roman" w:hAnsi="Calibri" w:cs="Calibri"/>
                <w:sz w:val="22"/>
                <w:lang w:val="en-US"/>
              </w:rPr>
            </w:pPr>
            <w:r w:rsidRPr="00D54DE0">
              <w:rPr>
                <w:rFonts w:ascii="Calibri" w:eastAsia="Times New Roman" w:hAnsi="Calibri" w:cs="Calibri"/>
                <w:sz w:val="22"/>
                <w:lang w:val="en-US"/>
              </w:rPr>
              <w:t xml:space="preserve">1. Disbursements of RRF loans </w:t>
            </w:r>
            <w:r w:rsidR="001F1D94">
              <w:rPr>
                <w:rFonts w:ascii="Calibri" w:eastAsia="Times New Roman" w:hAnsi="Calibri" w:cs="Calibri"/>
                <w:sz w:val="22"/>
                <w:lang w:val="en-US"/>
              </w:rPr>
              <w:br/>
            </w:r>
            <w:r w:rsidRPr="00D54DE0">
              <w:rPr>
                <w:rFonts w:ascii="Calibri" w:eastAsia="Times New Roman" w:hAnsi="Calibri" w:cs="Calibri"/>
                <w:sz w:val="22"/>
                <w:lang w:val="en-US"/>
              </w:rPr>
              <w:t>from EU</w:t>
            </w:r>
          </w:p>
        </w:tc>
        <w:tc>
          <w:tcPr>
            <w:tcW w:w="960" w:type="dxa"/>
            <w:tcBorders>
              <w:top w:val="nil"/>
              <w:left w:val="nil"/>
              <w:bottom w:val="single" w:sz="4" w:space="0" w:color="FFFFFF"/>
              <w:right w:val="nil"/>
            </w:tcBorders>
            <w:shd w:val="clear" w:color="000000" w:fill="F2F2F2"/>
            <w:vAlign w:val="center"/>
            <w:hideMark/>
          </w:tcPr>
          <w:p w14:paraId="55A56AD7"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0.9</w:t>
            </w:r>
          </w:p>
        </w:tc>
        <w:tc>
          <w:tcPr>
            <w:tcW w:w="960" w:type="dxa"/>
            <w:tcBorders>
              <w:top w:val="nil"/>
              <w:left w:val="nil"/>
              <w:bottom w:val="single" w:sz="4" w:space="0" w:color="FFFFFF"/>
              <w:right w:val="nil"/>
            </w:tcBorders>
            <w:shd w:val="clear" w:color="000000" w:fill="F2F2F2"/>
            <w:vAlign w:val="center"/>
            <w:hideMark/>
          </w:tcPr>
          <w:p w14:paraId="46009957"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0.9</w:t>
            </w:r>
          </w:p>
        </w:tc>
        <w:tc>
          <w:tcPr>
            <w:tcW w:w="960" w:type="dxa"/>
            <w:tcBorders>
              <w:top w:val="nil"/>
              <w:left w:val="nil"/>
              <w:bottom w:val="single" w:sz="4" w:space="0" w:color="FFFFFF"/>
              <w:right w:val="nil"/>
            </w:tcBorders>
            <w:shd w:val="clear" w:color="000000" w:fill="F2F2F2"/>
            <w:vAlign w:val="center"/>
            <w:hideMark/>
          </w:tcPr>
          <w:p w14:paraId="20077347"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1.7</w:t>
            </w:r>
          </w:p>
        </w:tc>
        <w:tc>
          <w:tcPr>
            <w:tcW w:w="960" w:type="dxa"/>
            <w:tcBorders>
              <w:top w:val="nil"/>
              <w:left w:val="nil"/>
              <w:bottom w:val="single" w:sz="4" w:space="0" w:color="FFFFFF"/>
              <w:right w:val="nil"/>
            </w:tcBorders>
            <w:shd w:val="clear" w:color="000000" w:fill="F2F2F2"/>
            <w:vAlign w:val="center"/>
            <w:hideMark/>
          </w:tcPr>
          <w:p w14:paraId="58DE2802"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1.0</w:t>
            </w:r>
          </w:p>
        </w:tc>
        <w:tc>
          <w:tcPr>
            <w:tcW w:w="960" w:type="dxa"/>
            <w:tcBorders>
              <w:top w:val="nil"/>
              <w:left w:val="nil"/>
              <w:bottom w:val="single" w:sz="4" w:space="0" w:color="FFFFFF"/>
              <w:right w:val="nil"/>
            </w:tcBorders>
            <w:shd w:val="clear" w:color="000000" w:fill="F2F2F2"/>
            <w:vAlign w:val="center"/>
            <w:hideMark/>
          </w:tcPr>
          <w:p w14:paraId="5DB1BDED"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0.7</w:t>
            </w:r>
          </w:p>
        </w:tc>
        <w:tc>
          <w:tcPr>
            <w:tcW w:w="960" w:type="dxa"/>
            <w:tcBorders>
              <w:top w:val="nil"/>
              <w:left w:val="nil"/>
              <w:bottom w:val="single" w:sz="4" w:space="0" w:color="FFFFFF"/>
              <w:right w:val="nil"/>
            </w:tcBorders>
            <w:shd w:val="clear" w:color="000000" w:fill="F2F2F2"/>
            <w:vAlign w:val="center"/>
            <w:hideMark/>
          </w:tcPr>
          <w:p w14:paraId="06D007D7"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2.4</w:t>
            </w:r>
          </w:p>
        </w:tc>
      </w:tr>
      <w:tr w:rsidR="00D54DE0" w:rsidRPr="00605642" w14:paraId="7C12415F" w14:textId="77777777" w:rsidTr="00D54DE0">
        <w:trPr>
          <w:trHeight w:val="170"/>
          <w:jc w:val="center"/>
        </w:trPr>
        <w:tc>
          <w:tcPr>
            <w:tcW w:w="3760" w:type="dxa"/>
            <w:tcBorders>
              <w:top w:val="nil"/>
              <w:left w:val="nil"/>
              <w:bottom w:val="single" w:sz="4" w:space="0" w:color="FFFFFF"/>
              <w:right w:val="nil"/>
            </w:tcBorders>
            <w:shd w:val="clear" w:color="000000" w:fill="D9D9D9"/>
            <w:vAlign w:val="center"/>
            <w:hideMark/>
          </w:tcPr>
          <w:p w14:paraId="4CA62600" w14:textId="77777777" w:rsidR="00D54DE0" w:rsidRPr="00D54DE0" w:rsidRDefault="00D54DE0" w:rsidP="00D54DE0">
            <w:pPr>
              <w:spacing w:after="0" w:line="240" w:lineRule="auto"/>
              <w:jc w:val="left"/>
              <w:rPr>
                <w:rFonts w:ascii="Calibri" w:eastAsia="Times New Roman" w:hAnsi="Calibri" w:cs="Calibri"/>
                <w:sz w:val="22"/>
                <w:lang w:val="en-US"/>
              </w:rPr>
            </w:pPr>
            <w:r w:rsidRPr="00D54DE0">
              <w:rPr>
                <w:rFonts w:ascii="Calibri" w:eastAsia="Times New Roman" w:hAnsi="Calibri" w:cs="Calibri"/>
                <w:sz w:val="22"/>
                <w:lang w:val="en-US"/>
              </w:rPr>
              <w:t>2. Repayment of RRF loans to EU</w:t>
            </w:r>
          </w:p>
        </w:tc>
        <w:tc>
          <w:tcPr>
            <w:tcW w:w="960" w:type="dxa"/>
            <w:tcBorders>
              <w:top w:val="nil"/>
              <w:left w:val="nil"/>
              <w:bottom w:val="single" w:sz="4" w:space="0" w:color="FFFFFF"/>
              <w:right w:val="nil"/>
            </w:tcBorders>
            <w:shd w:val="clear" w:color="000000" w:fill="D9D9D9"/>
            <w:vAlign w:val="center"/>
            <w:hideMark/>
          </w:tcPr>
          <w:p w14:paraId="1D0CA0CC" w14:textId="77777777" w:rsidR="00D54DE0" w:rsidRPr="00D54DE0" w:rsidRDefault="00D54DE0" w:rsidP="00D54DE0">
            <w:pPr>
              <w:spacing w:after="0" w:line="240" w:lineRule="auto"/>
              <w:jc w:val="center"/>
              <w:rPr>
                <w:rFonts w:ascii="Calibri" w:eastAsia="Times New Roman" w:hAnsi="Calibri" w:cs="Calibri"/>
                <w:sz w:val="22"/>
                <w:lang w:val="en-US"/>
              </w:rPr>
            </w:pPr>
            <w:r w:rsidRPr="00D54DE0">
              <w:rPr>
                <w:rFonts w:ascii="Calibri" w:eastAsia="Times New Roman" w:hAnsi="Calibri" w:cs="Calibri"/>
                <w:sz w:val="22"/>
                <w:lang w:val="en-US"/>
              </w:rPr>
              <w:t> </w:t>
            </w:r>
          </w:p>
        </w:tc>
        <w:tc>
          <w:tcPr>
            <w:tcW w:w="960" w:type="dxa"/>
            <w:tcBorders>
              <w:top w:val="nil"/>
              <w:left w:val="nil"/>
              <w:bottom w:val="single" w:sz="4" w:space="0" w:color="FFFFFF"/>
              <w:right w:val="nil"/>
            </w:tcBorders>
            <w:shd w:val="clear" w:color="000000" w:fill="D9D9D9"/>
            <w:vAlign w:val="center"/>
            <w:hideMark/>
          </w:tcPr>
          <w:p w14:paraId="088180F0" w14:textId="77777777" w:rsidR="00D54DE0" w:rsidRPr="00D54DE0" w:rsidRDefault="00D54DE0" w:rsidP="00D54DE0">
            <w:pPr>
              <w:spacing w:after="0" w:line="240" w:lineRule="auto"/>
              <w:jc w:val="center"/>
              <w:rPr>
                <w:rFonts w:ascii="Calibri" w:eastAsia="Times New Roman" w:hAnsi="Calibri" w:cs="Calibri"/>
                <w:sz w:val="22"/>
                <w:lang w:val="en-US"/>
              </w:rPr>
            </w:pPr>
            <w:r w:rsidRPr="00D54DE0">
              <w:rPr>
                <w:rFonts w:ascii="Calibri" w:eastAsia="Times New Roman" w:hAnsi="Calibri" w:cs="Calibri"/>
                <w:sz w:val="22"/>
                <w:lang w:val="en-US"/>
              </w:rPr>
              <w:t> </w:t>
            </w:r>
          </w:p>
        </w:tc>
        <w:tc>
          <w:tcPr>
            <w:tcW w:w="960" w:type="dxa"/>
            <w:tcBorders>
              <w:top w:val="nil"/>
              <w:left w:val="nil"/>
              <w:bottom w:val="single" w:sz="4" w:space="0" w:color="FFFFFF"/>
              <w:right w:val="nil"/>
            </w:tcBorders>
            <w:shd w:val="clear" w:color="000000" w:fill="D9D9D9"/>
            <w:vAlign w:val="center"/>
            <w:hideMark/>
          </w:tcPr>
          <w:p w14:paraId="6B3C2DF5" w14:textId="77777777" w:rsidR="00D54DE0" w:rsidRPr="00D54DE0" w:rsidRDefault="00D54DE0" w:rsidP="00D54DE0">
            <w:pPr>
              <w:spacing w:after="0" w:line="240" w:lineRule="auto"/>
              <w:jc w:val="center"/>
              <w:rPr>
                <w:rFonts w:ascii="Calibri" w:eastAsia="Times New Roman" w:hAnsi="Calibri" w:cs="Calibri"/>
                <w:sz w:val="22"/>
                <w:lang w:val="en-US"/>
              </w:rPr>
            </w:pPr>
            <w:r w:rsidRPr="00D54DE0">
              <w:rPr>
                <w:rFonts w:ascii="Calibri" w:eastAsia="Times New Roman" w:hAnsi="Calibri" w:cs="Calibri"/>
                <w:sz w:val="22"/>
                <w:lang w:val="en-US"/>
              </w:rPr>
              <w:t> </w:t>
            </w:r>
          </w:p>
        </w:tc>
        <w:tc>
          <w:tcPr>
            <w:tcW w:w="960" w:type="dxa"/>
            <w:tcBorders>
              <w:top w:val="nil"/>
              <w:left w:val="nil"/>
              <w:bottom w:val="single" w:sz="4" w:space="0" w:color="FFFFFF"/>
              <w:right w:val="nil"/>
            </w:tcBorders>
            <w:shd w:val="clear" w:color="000000" w:fill="D9D9D9"/>
            <w:vAlign w:val="center"/>
            <w:hideMark/>
          </w:tcPr>
          <w:p w14:paraId="7EBC07BC" w14:textId="77777777" w:rsidR="00D54DE0" w:rsidRPr="00D54DE0" w:rsidRDefault="00D54DE0" w:rsidP="00D54DE0">
            <w:pPr>
              <w:spacing w:after="0" w:line="240" w:lineRule="auto"/>
              <w:jc w:val="center"/>
              <w:rPr>
                <w:rFonts w:ascii="Calibri" w:eastAsia="Times New Roman" w:hAnsi="Calibri" w:cs="Calibri"/>
                <w:sz w:val="22"/>
                <w:lang w:val="en-US"/>
              </w:rPr>
            </w:pPr>
            <w:r w:rsidRPr="00D54DE0">
              <w:rPr>
                <w:rFonts w:ascii="Calibri" w:eastAsia="Times New Roman" w:hAnsi="Calibri" w:cs="Calibri"/>
                <w:sz w:val="22"/>
                <w:lang w:val="en-US"/>
              </w:rPr>
              <w:t> </w:t>
            </w:r>
          </w:p>
        </w:tc>
        <w:tc>
          <w:tcPr>
            <w:tcW w:w="960" w:type="dxa"/>
            <w:tcBorders>
              <w:top w:val="nil"/>
              <w:left w:val="nil"/>
              <w:bottom w:val="single" w:sz="4" w:space="0" w:color="FFFFFF"/>
              <w:right w:val="nil"/>
            </w:tcBorders>
            <w:shd w:val="clear" w:color="000000" w:fill="D9D9D9"/>
            <w:vAlign w:val="center"/>
            <w:hideMark/>
          </w:tcPr>
          <w:p w14:paraId="0E81C1B1" w14:textId="77777777" w:rsidR="00D54DE0" w:rsidRPr="00D54DE0" w:rsidRDefault="00D54DE0" w:rsidP="00D54DE0">
            <w:pPr>
              <w:spacing w:after="0" w:line="240" w:lineRule="auto"/>
              <w:jc w:val="center"/>
              <w:rPr>
                <w:rFonts w:ascii="Calibri" w:eastAsia="Times New Roman" w:hAnsi="Calibri" w:cs="Calibri"/>
                <w:sz w:val="22"/>
                <w:lang w:val="en-US"/>
              </w:rPr>
            </w:pPr>
            <w:r w:rsidRPr="00D54DE0">
              <w:rPr>
                <w:rFonts w:ascii="Calibri" w:eastAsia="Times New Roman" w:hAnsi="Calibri" w:cs="Calibri"/>
                <w:sz w:val="22"/>
                <w:lang w:val="en-US"/>
              </w:rPr>
              <w:t> </w:t>
            </w:r>
          </w:p>
        </w:tc>
        <w:tc>
          <w:tcPr>
            <w:tcW w:w="960" w:type="dxa"/>
            <w:tcBorders>
              <w:top w:val="nil"/>
              <w:left w:val="nil"/>
              <w:bottom w:val="single" w:sz="4" w:space="0" w:color="FFFFFF"/>
              <w:right w:val="nil"/>
            </w:tcBorders>
            <w:shd w:val="clear" w:color="000000" w:fill="D9D9D9"/>
            <w:vAlign w:val="center"/>
            <w:hideMark/>
          </w:tcPr>
          <w:p w14:paraId="22F069A9" w14:textId="77777777" w:rsidR="00D54DE0" w:rsidRPr="00D54DE0" w:rsidRDefault="00D54DE0" w:rsidP="00D54DE0">
            <w:pPr>
              <w:spacing w:after="0" w:line="240" w:lineRule="auto"/>
              <w:jc w:val="center"/>
              <w:rPr>
                <w:rFonts w:ascii="Calibri" w:eastAsia="Times New Roman" w:hAnsi="Calibri" w:cs="Calibri"/>
                <w:sz w:val="22"/>
                <w:lang w:val="en-US"/>
              </w:rPr>
            </w:pPr>
            <w:r w:rsidRPr="00D54DE0">
              <w:rPr>
                <w:rFonts w:ascii="Calibri" w:eastAsia="Times New Roman" w:hAnsi="Calibri" w:cs="Calibri"/>
                <w:sz w:val="22"/>
                <w:lang w:val="en-US"/>
              </w:rPr>
              <w:t> </w:t>
            </w:r>
          </w:p>
        </w:tc>
      </w:tr>
      <w:tr w:rsidR="00D54DE0" w:rsidRPr="00605642" w14:paraId="442C1905" w14:textId="77777777" w:rsidTr="001F1D94">
        <w:trPr>
          <w:trHeight w:val="170"/>
          <w:jc w:val="center"/>
        </w:trPr>
        <w:tc>
          <w:tcPr>
            <w:tcW w:w="3760" w:type="dxa"/>
            <w:tcBorders>
              <w:top w:val="nil"/>
              <w:left w:val="nil"/>
              <w:bottom w:val="single" w:sz="4" w:space="0" w:color="FFFFFF"/>
              <w:right w:val="nil"/>
            </w:tcBorders>
            <w:shd w:val="clear" w:color="auto" w:fill="B8CCE4" w:themeFill="accent1" w:themeFillTint="66"/>
            <w:vAlign w:val="center"/>
            <w:hideMark/>
          </w:tcPr>
          <w:p w14:paraId="6362D691" w14:textId="77777777" w:rsidR="00D54DE0" w:rsidRPr="00D54DE0" w:rsidRDefault="00D54DE0" w:rsidP="00D54DE0">
            <w:pPr>
              <w:spacing w:after="0" w:line="240" w:lineRule="auto"/>
              <w:jc w:val="left"/>
              <w:rPr>
                <w:rFonts w:ascii="Calibri" w:eastAsia="Times New Roman" w:hAnsi="Calibri" w:cs="Calibri"/>
                <w:b/>
                <w:bCs/>
                <w:sz w:val="22"/>
                <w:lang w:val="en-US"/>
              </w:rPr>
            </w:pPr>
            <w:r w:rsidRPr="00D54DE0">
              <w:rPr>
                <w:rFonts w:ascii="Calibri" w:eastAsia="Times New Roman" w:hAnsi="Calibri" w:cs="Calibri"/>
                <w:b/>
                <w:bCs/>
                <w:sz w:val="22"/>
                <w:lang w:val="en-US"/>
              </w:rPr>
              <w:t>Expenditure financed by RRF loans</w:t>
            </w:r>
          </w:p>
        </w:tc>
        <w:tc>
          <w:tcPr>
            <w:tcW w:w="5760" w:type="dxa"/>
            <w:gridSpan w:val="6"/>
            <w:tcBorders>
              <w:top w:val="single" w:sz="4" w:space="0" w:color="FFFFFF"/>
              <w:left w:val="nil"/>
              <w:bottom w:val="single" w:sz="4" w:space="0" w:color="FFFFFF"/>
              <w:right w:val="nil"/>
            </w:tcBorders>
            <w:shd w:val="clear" w:color="auto" w:fill="B8CCE4" w:themeFill="accent1" w:themeFillTint="66"/>
            <w:vAlign w:val="center"/>
            <w:hideMark/>
          </w:tcPr>
          <w:p w14:paraId="61CE58A8" w14:textId="77777777" w:rsidR="00D54DE0" w:rsidRPr="00D54DE0" w:rsidRDefault="00D54DE0" w:rsidP="00D54DE0">
            <w:pPr>
              <w:spacing w:after="0" w:line="240" w:lineRule="auto"/>
              <w:jc w:val="center"/>
              <w:rPr>
                <w:rFonts w:ascii="Calibri" w:eastAsia="Times New Roman" w:hAnsi="Calibri" w:cs="Calibri"/>
                <w:sz w:val="22"/>
                <w:lang w:val="en-US"/>
              </w:rPr>
            </w:pPr>
            <w:r w:rsidRPr="00D54DE0">
              <w:rPr>
                <w:rFonts w:ascii="Calibri" w:eastAsia="Times New Roman" w:hAnsi="Calibri" w:cs="Calibri"/>
                <w:sz w:val="22"/>
                <w:lang w:val="en-US"/>
              </w:rPr>
              <w:t> </w:t>
            </w:r>
          </w:p>
        </w:tc>
      </w:tr>
      <w:tr w:rsidR="00D54DE0" w:rsidRPr="00D54DE0" w14:paraId="50BB03ED" w14:textId="77777777" w:rsidTr="00D54DE0">
        <w:trPr>
          <w:trHeight w:val="170"/>
          <w:jc w:val="center"/>
        </w:trPr>
        <w:tc>
          <w:tcPr>
            <w:tcW w:w="3760" w:type="dxa"/>
            <w:tcBorders>
              <w:top w:val="nil"/>
              <w:left w:val="nil"/>
              <w:bottom w:val="single" w:sz="4" w:space="0" w:color="FFFFFF"/>
              <w:right w:val="nil"/>
            </w:tcBorders>
            <w:shd w:val="clear" w:color="000000" w:fill="F2F2F2"/>
            <w:vAlign w:val="center"/>
            <w:hideMark/>
          </w:tcPr>
          <w:p w14:paraId="6AC8B58C" w14:textId="77777777" w:rsidR="00D54DE0" w:rsidRPr="00D54DE0" w:rsidRDefault="00D54DE0" w:rsidP="00D54DE0">
            <w:pPr>
              <w:spacing w:after="0" w:line="240" w:lineRule="auto"/>
              <w:jc w:val="left"/>
              <w:rPr>
                <w:rFonts w:ascii="Calibri" w:eastAsia="Times New Roman" w:hAnsi="Calibri" w:cs="Calibri"/>
                <w:sz w:val="22"/>
              </w:rPr>
            </w:pPr>
            <w:r w:rsidRPr="00D54DE0">
              <w:rPr>
                <w:rFonts w:ascii="Calibri" w:eastAsia="Times New Roman" w:hAnsi="Calibri" w:cs="Calibri"/>
                <w:sz w:val="22"/>
              </w:rPr>
              <w:t>3. Total current expenditure</w:t>
            </w:r>
          </w:p>
        </w:tc>
        <w:tc>
          <w:tcPr>
            <w:tcW w:w="960" w:type="dxa"/>
            <w:tcBorders>
              <w:top w:val="nil"/>
              <w:left w:val="nil"/>
              <w:bottom w:val="single" w:sz="4" w:space="0" w:color="FFFFFF"/>
              <w:right w:val="nil"/>
            </w:tcBorders>
            <w:shd w:val="clear" w:color="000000" w:fill="F2F2F2"/>
            <w:vAlign w:val="center"/>
            <w:hideMark/>
          </w:tcPr>
          <w:p w14:paraId="30E9A8CE"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0.0</w:t>
            </w:r>
          </w:p>
        </w:tc>
        <w:tc>
          <w:tcPr>
            <w:tcW w:w="960" w:type="dxa"/>
            <w:tcBorders>
              <w:top w:val="nil"/>
              <w:left w:val="nil"/>
              <w:bottom w:val="single" w:sz="4" w:space="0" w:color="FFFFFF"/>
              <w:right w:val="nil"/>
            </w:tcBorders>
            <w:shd w:val="clear" w:color="000000" w:fill="F2F2F2"/>
            <w:vAlign w:val="center"/>
            <w:hideMark/>
          </w:tcPr>
          <w:p w14:paraId="0EFDC4E0"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0.0</w:t>
            </w:r>
          </w:p>
        </w:tc>
        <w:tc>
          <w:tcPr>
            <w:tcW w:w="960" w:type="dxa"/>
            <w:tcBorders>
              <w:top w:val="nil"/>
              <w:left w:val="nil"/>
              <w:bottom w:val="single" w:sz="4" w:space="0" w:color="FFFFFF"/>
              <w:right w:val="nil"/>
            </w:tcBorders>
            <w:shd w:val="clear" w:color="000000" w:fill="F2F2F2"/>
            <w:vAlign w:val="center"/>
            <w:hideMark/>
          </w:tcPr>
          <w:p w14:paraId="38767747"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0.0</w:t>
            </w:r>
          </w:p>
        </w:tc>
        <w:tc>
          <w:tcPr>
            <w:tcW w:w="960" w:type="dxa"/>
            <w:tcBorders>
              <w:top w:val="nil"/>
              <w:left w:val="nil"/>
              <w:bottom w:val="single" w:sz="4" w:space="0" w:color="FFFFFF"/>
              <w:right w:val="nil"/>
            </w:tcBorders>
            <w:shd w:val="clear" w:color="000000" w:fill="F2F2F2"/>
            <w:vAlign w:val="center"/>
            <w:hideMark/>
          </w:tcPr>
          <w:p w14:paraId="33CAB796"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0.0</w:t>
            </w:r>
          </w:p>
        </w:tc>
        <w:tc>
          <w:tcPr>
            <w:tcW w:w="960" w:type="dxa"/>
            <w:tcBorders>
              <w:top w:val="nil"/>
              <w:left w:val="nil"/>
              <w:bottom w:val="single" w:sz="4" w:space="0" w:color="FFFFFF"/>
              <w:right w:val="nil"/>
            </w:tcBorders>
            <w:shd w:val="clear" w:color="000000" w:fill="F2F2F2"/>
            <w:vAlign w:val="center"/>
            <w:hideMark/>
          </w:tcPr>
          <w:p w14:paraId="02F1B257"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0.0</w:t>
            </w:r>
          </w:p>
        </w:tc>
        <w:tc>
          <w:tcPr>
            <w:tcW w:w="960" w:type="dxa"/>
            <w:tcBorders>
              <w:top w:val="nil"/>
              <w:left w:val="nil"/>
              <w:bottom w:val="single" w:sz="4" w:space="0" w:color="FFFFFF"/>
              <w:right w:val="nil"/>
            </w:tcBorders>
            <w:shd w:val="clear" w:color="000000" w:fill="F2F2F2"/>
            <w:vAlign w:val="center"/>
            <w:hideMark/>
          </w:tcPr>
          <w:p w14:paraId="0D53539A"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0.0</w:t>
            </w:r>
          </w:p>
        </w:tc>
      </w:tr>
      <w:tr w:rsidR="00D54DE0" w:rsidRPr="00D54DE0" w14:paraId="50BA180B" w14:textId="77777777" w:rsidTr="00D54DE0">
        <w:trPr>
          <w:trHeight w:val="170"/>
          <w:jc w:val="center"/>
        </w:trPr>
        <w:tc>
          <w:tcPr>
            <w:tcW w:w="3760" w:type="dxa"/>
            <w:tcBorders>
              <w:top w:val="nil"/>
              <w:left w:val="nil"/>
              <w:bottom w:val="single" w:sz="4" w:space="0" w:color="FFFFFF"/>
              <w:right w:val="nil"/>
            </w:tcBorders>
            <w:shd w:val="clear" w:color="000000" w:fill="D9D9D9"/>
            <w:vAlign w:val="center"/>
            <w:hideMark/>
          </w:tcPr>
          <w:p w14:paraId="319288C9" w14:textId="77777777" w:rsidR="00D54DE0" w:rsidRPr="00D54DE0" w:rsidRDefault="00D54DE0" w:rsidP="00D54DE0">
            <w:pPr>
              <w:spacing w:after="0" w:line="240" w:lineRule="auto"/>
              <w:jc w:val="left"/>
              <w:rPr>
                <w:rFonts w:ascii="Calibri" w:eastAsia="Times New Roman" w:hAnsi="Calibri" w:cs="Calibri"/>
                <w:sz w:val="22"/>
              </w:rPr>
            </w:pPr>
            <w:r w:rsidRPr="00D54DE0">
              <w:rPr>
                <w:rFonts w:ascii="Calibri" w:eastAsia="Times New Roman" w:hAnsi="Calibri" w:cs="Calibri"/>
                <w:sz w:val="22"/>
              </w:rPr>
              <w:t>4. Gross fixed capital formation</w:t>
            </w:r>
          </w:p>
        </w:tc>
        <w:tc>
          <w:tcPr>
            <w:tcW w:w="960" w:type="dxa"/>
            <w:tcBorders>
              <w:top w:val="nil"/>
              <w:left w:val="nil"/>
              <w:bottom w:val="single" w:sz="4" w:space="0" w:color="FFFFFF"/>
              <w:right w:val="nil"/>
            </w:tcBorders>
            <w:shd w:val="clear" w:color="000000" w:fill="D9D9D9"/>
            <w:vAlign w:val="center"/>
            <w:hideMark/>
          </w:tcPr>
          <w:p w14:paraId="5D964E93"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 </w:t>
            </w:r>
          </w:p>
        </w:tc>
        <w:tc>
          <w:tcPr>
            <w:tcW w:w="960" w:type="dxa"/>
            <w:tcBorders>
              <w:top w:val="nil"/>
              <w:left w:val="nil"/>
              <w:bottom w:val="single" w:sz="4" w:space="0" w:color="FFFFFF"/>
              <w:right w:val="nil"/>
            </w:tcBorders>
            <w:shd w:val="clear" w:color="000000" w:fill="D9D9D9"/>
            <w:vAlign w:val="center"/>
            <w:hideMark/>
          </w:tcPr>
          <w:p w14:paraId="6A514926"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 </w:t>
            </w:r>
          </w:p>
        </w:tc>
        <w:tc>
          <w:tcPr>
            <w:tcW w:w="960" w:type="dxa"/>
            <w:tcBorders>
              <w:top w:val="nil"/>
              <w:left w:val="nil"/>
              <w:bottom w:val="single" w:sz="4" w:space="0" w:color="FFFFFF"/>
              <w:right w:val="nil"/>
            </w:tcBorders>
            <w:shd w:val="clear" w:color="000000" w:fill="D9D9D9"/>
            <w:vAlign w:val="center"/>
            <w:hideMark/>
          </w:tcPr>
          <w:p w14:paraId="4B701849"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 </w:t>
            </w:r>
          </w:p>
        </w:tc>
        <w:tc>
          <w:tcPr>
            <w:tcW w:w="960" w:type="dxa"/>
            <w:tcBorders>
              <w:top w:val="nil"/>
              <w:left w:val="nil"/>
              <w:bottom w:val="single" w:sz="4" w:space="0" w:color="FFFFFF"/>
              <w:right w:val="nil"/>
            </w:tcBorders>
            <w:shd w:val="clear" w:color="000000" w:fill="D9D9D9"/>
            <w:vAlign w:val="center"/>
            <w:hideMark/>
          </w:tcPr>
          <w:p w14:paraId="26608E6D"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 </w:t>
            </w:r>
          </w:p>
        </w:tc>
        <w:tc>
          <w:tcPr>
            <w:tcW w:w="960" w:type="dxa"/>
            <w:tcBorders>
              <w:top w:val="nil"/>
              <w:left w:val="nil"/>
              <w:bottom w:val="single" w:sz="4" w:space="0" w:color="FFFFFF"/>
              <w:right w:val="nil"/>
            </w:tcBorders>
            <w:shd w:val="clear" w:color="000000" w:fill="D9D9D9"/>
            <w:vAlign w:val="center"/>
            <w:hideMark/>
          </w:tcPr>
          <w:p w14:paraId="6144A045"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 </w:t>
            </w:r>
          </w:p>
        </w:tc>
        <w:tc>
          <w:tcPr>
            <w:tcW w:w="960" w:type="dxa"/>
            <w:tcBorders>
              <w:top w:val="nil"/>
              <w:left w:val="nil"/>
              <w:bottom w:val="single" w:sz="4" w:space="0" w:color="FFFFFF"/>
              <w:right w:val="nil"/>
            </w:tcBorders>
            <w:shd w:val="clear" w:color="000000" w:fill="D9D9D9"/>
            <w:vAlign w:val="center"/>
            <w:hideMark/>
          </w:tcPr>
          <w:p w14:paraId="20C56B82"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 </w:t>
            </w:r>
          </w:p>
        </w:tc>
      </w:tr>
      <w:tr w:rsidR="00D54DE0" w:rsidRPr="00D54DE0" w14:paraId="604522BA" w14:textId="77777777" w:rsidTr="00D54DE0">
        <w:trPr>
          <w:trHeight w:val="170"/>
          <w:jc w:val="center"/>
        </w:trPr>
        <w:tc>
          <w:tcPr>
            <w:tcW w:w="3760" w:type="dxa"/>
            <w:tcBorders>
              <w:top w:val="nil"/>
              <w:left w:val="nil"/>
              <w:bottom w:val="single" w:sz="4" w:space="0" w:color="FFFFFF"/>
              <w:right w:val="nil"/>
            </w:tcBorders>
            <w:shd w:val="clear" w:color="000000" w:fill="F2F2F2"/>
            <w:vAlign w:val="center"/>
            <w:hideMark/>
          </w:tcPr>
          <w:p w14:paraId="0E393238" w14:textId="77777777" w:rsidR="00D54DE0" w:rsidRPr="00D54DE0" w:rsidRDefault="00D54DE0" w:rsidP="00D54DE0">
            <w:pPr>
              <w:spacing w:after="0" w:line="240" w:lineRule="auto"/>
              <w:jc w:val="left"/>
              <w:rPr>
                <w:rFonts w:ascii="Calibri" w:eastAsia="Times New Roman" w:hAnsi="Calibri" w:cs="Calibri"/>
                <w:sz w:val="22"/>
              </w:rPr>
            </w:pPr>
            <w:r w:rsidRPr="00D54DE0">
              <w:rPr>
                <w:rFonts w:ascii="Calibri" w:eastAsia="Times New Roman" w:hAnsi="Calibri" w:cs="Calibri"/>
                <w:sz w:val="22"/>
              </w:rPr>
              <w:t>5. Other capital expenditure</w:t>
            </w:r>
          </w:p>
        </w:tc>
        <w:tc>
          <w:tcPr>
            <w:tcW w:w="960" w:type="dxa"/>
            <w:tcBorders>
              <w:top w:val="nil"/>
              <w:left w:val="nil"/>
              <w:bottom w:val="single" w:sz="4" w:space="0" w:color="FFFFFF"/>
              <w:right w:val="nil"/>
            </w:tcBorders>
            <w:shd w:val="clear" w:color="000000" w:fill="F2F2F2"/>
            <w:vAlign w:val="center"/>
            <w:hideMark/>
          </w:tcPr>
          <w:p w14:paraId="4348481D"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 </w:t>
            </w:r>
          </w:p>
        </w:tc>
        <w:tc>
          <w:tcPr>
            <w:tcW w:w="960" w:type="dxa"/>
            <w:tcBorders>
              <w:top w:val="nil"/>
              <w:left w:val="nil"/>
              <w:bottom w:val="single" w:sz="4" w:space="0" w:color="FFFFFF"/>
              <w:right w:val="nil"/>
            </w:tcBorders>
            <w:shd w:val="clear" w:color="000000" w:fill="F2F2F2"/>
            <w:vAlign w:val="center"/>
            <w:hideMark/>
          </w:tcPr>
          <w:p w14:paraId="47035C19"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 </w:t>
            </w:r>
          </w:p>
        </w:tc>
        <w:tc>
          <w:tcPr>
            <w:tcW w:w="960" w:type="dxa"/>
            <w:tcBorders>
              <w:top w:val="nil"/>
              <w:left w:val="nil"/>
              <w:bottom w:val="single" w:sz="4" w:space="0" w:color="FFFFFF"/>
              <w:right w:val="nil"/>
            </w:tcBorders>
            <w:shd w:val="clear" w:color="000000" w:fill="F2F2F2"/>
            <w:vAlign w:val="center"/>
            <w:hideMark/>
          </w:tcPr>
          <w:p w14:paraId="66F10392"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 </w:t>
            </w:r>
          </w:p>
        </w:tc>
        <w:tc>
          <w:tcPr>
            <w:tcW w:w="960" w:type="dxa"/>
            <w:tcBorders>
              <w:top w:val="nil"/>
              <w:left w:val="nil"/>
              <w:bottom w:val="single" w:sz="4" w:space="0" w:color="FFFFFF"/>
              <w:right w:val="nil"/>
            </w:tcBorders>
            <w:shd w:val="clear" w:color="000000" w:fill="F2F2F2"/>
            <w:vAlign w:val="center"/>
            <w:hideMark/>
          </w:tcPr>
          <w:p w14:paraId="4722E5BC"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 </w:t>
            </w:r>
          </w:p>
        </w:tc>
        <w:tc>
          <w:tcPr>
            <w:tcW w:w="960" w:type="dxa"/>
            <w:tcBorders>
              <w:top w:val="nil"/>
              <w:left w:val="nil"/>
              <w:bottom w:val="single" w:sz="4" w:space="0" w:color="FFFFFF"/>
              <w:right w:val="nil"/>
            </w:tcBorders>
            <w:shd w:val="clear" w:color="000000" w:fill="F2F2F2"/>
            <w:vAlign w:val="center"/>
            <w:hideMark/>
          </w:tcPr>
          <w:p w14:paraId="20D43424"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 </w:t>
            </w:r>
          </w:p>
        </w:tc>
        <w:tc>
          <w:tcPr>
            <w:tcW w:w="960" w:type="dxa"/>
            <w:tcBorders>
              <w:top w:val="nil"/>
              <w:left w:val="nil"/>
              <w:bottom w:val="single" w:sz="4" w:space="0" w:color="FFFFFF"/>
              <w:right w:val="nil"/>
            </w:tcBorders>
            <w:shd w:val="clear" w:color="000000" w:fill="F2F2F2"/>
            <w:vAlign w:val="center"/>
            <w:hideMark/>
          </w:tcPr>
          <w:p w14:paraId="07E11090"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 </w:t>
            </w:r>
          </w:p>
        </w:tc>
      </w:tr>
      <w:tr w:rsidR="00D54DE0" w:rsidRPr="00D54DE0" w14:paraId="65C918D1" w14:textId="77777777" w:rsidTr="00D54DE0">
        <w:trPr>
          <w:trHeight w:val="170"/>
          <w:jc w:val="center"/>
        </w:trPr>
        <w:tc>
          <w:tcPr>
            <w:tcW w:w="3760" w:type="dxa"/>
            <w:tcBorders>
              <w:top w:val="nil"/>
              <w:left w:val="nil"/>
              <w:bottom w:val="single" w:sz="4" w:space="0" w:color="FFFFFF"/>
              <w:right w:val="nil"/>
            </w:tcBorders>
            <w:shd w:val="clear" w:color="000000" w:fill="D9D9D9"/>
            <w:vAlign w:val="center"/>
            <w:hideMark/>
          </w:tcPr>
          <w:p w14:paraId="57521F2C" w14:textId="77777777" w:rsidR="00D54DE0" w:rsidRPr="00D54DE0" w:rsidRDefault="00D54DE0" w:rsidP="00D54DE0">
            <w:pPr>
              <w:spacing w:after="0" w:line="240" w:lineRule="auto"/>
              <w:jc w:val="left"/>
              <w:rPr>
                <w:rFonts w:ascii="Calibri" w:eastAsia="Times New Roman" w:hAnsi="Calibri" w:cs="Calibri"/>
                <w:sz w:val="22"/>
              </w:rPr>
            </w:pPr>
            <w:r w:rsidRPr="00D54DE0">
              <w:rPr>
                <w:rFonts w:ascii="Calibri" w:eastAsia="Times New Roman" w:hAnsi="Calibri" w:cs="Calibri"/>
                <w:sz w:val="22"/>
              </w:rPr>
              <w:t>6. Total capital expenditure (4+5)</w:t>
            </w:r>
          </w:p>
        </w:tc>
        <w:tc>
          <w:tcPr>
            <w:tcW w:w="960" w:type="dxa"/>
            <w:tcBorders>
              <w:top w:val="nil"/>
              <w:left w:val="nil"/>
              <w:bottom w:val="single" w:sz="4" w:space="0" w:color="FFFFFF"/>
              <w:right w:val="nil"/>
            </w:tcBorders>
            <w:shd w:val="clear" w:color="000000" w:fill="D9D9D9"/>
            <w:vAlign w:val="center"/>
            <w:hideMark/>
          </w:tcPr>
          <w:p w14:paraId="0482C084"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 </w:t>
            </w:r>
          </w:p>
        </w:tc>
        <w:tc>
          <w:tcPr>
            <w:tcW w:w="960" w:type="dxa"/>
            <w:tcBorders>
              <w:top w:val="nil"/>
              <w:left w:val="nil"/>
              <w:bottom w:val="single" w:sz="4" w:space="0" w:color="FFFFFF"/>
              <w:right w:val="nil"/>
            </w:tcBorders>
            <w:shd w:val="clear" w:color="000000" w:fill="D9D9D9"/>
            <w:vAlign w:val="center"/>
            <w:hideMark/>
          </w:tcPr>
          <w:p w14:paraId="27204027"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 </w:t>
            </w:r>
          </w:p>
        </w:tc>
        <w:tc>
          <w:tcPr>
            <w:tcW w:w="960" w:type="dxa"/>
            <w:tcBorders>
              <w:top w:val="nil"/>
              <w:left w:val="nil"/>
              <w:bottom w:val="single" w:sz="4" w:space="0" w:color="FFFFFF"/>
              <w:right w:val="nil"/>
            </w:tcBorders>
            <w:shd w:val="clear" w:color="000000" w:fill="D9D9D9"/>
            <w:vAlign w:val="center"/>
            <w:hideMark/>
          </w:tcPr>
          <w:p w14:paraId="1B49D47D"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 </w:t>
            </w:r>
          </w:p>
        </w:tc>
        <w:tc>
          <w:tcPr>
            <w:tcW w:w="960" w:type="dxa"/>
            <w:tcBorders>
              <w:top w:val="nil"/>
              <w:left w:val="nil"/>
              <w:bottom w:val="single" w:sz="4" w:space="0" w:color="FFFFFF"/>
              <w:right w:val="nil"/>
            </w:tcBorders>
            <w:shd w:val="clear" w:color="000000" w:fill="D9D9D9"/>
            <w:vAlign w:val="center"/>
            <w:hideMark/>
          </w:tcPr>
          <w:p w14:paraId="7A697B59"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 </w:t>
            </w:r>
          </w:p>
        </w:tc>
        <w:tc>
          <w:tcPr>
            <w:tcW w:w="960" w:type="dxa"/>
            <w:tcBorders>
              <w:top w:val="nil"/>
              <w:left w:val="nil"/>
              <w:bottom w:val="single" w:sz="4" w:space="0" w:color="FFFFFF"/>
              <w:right w:val="nil"/>
            </w:tcBorders>
            <w:shd w:val="clear" w:color="000000" w:fill="D9D9D9"/>
            <w:vAlign w:val="center"/>
            <w:hideMark/>
          </w:tcPr>
          <w:p w14:paraId="3BAE1186"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 </w:t>
            </w:r>
          </w:p>
        </w:tc>
        <w:tc>
          <w:tcPr>
            <w:tcW w:w="960" w:type="dxa"/>
            <w:tcBorders>
              <w:top w:val="nil"/>
              <w:left w:val="nil"/>
              <w:bottom w:val="single" w:sz="4" w:space="0" w:color="FFFFFF"/>
              <w:right w:val="nil"/>
            </w:tcBorders>
            <w:shd w:val="clear" w:color="000000" w:fill="D9D9D9"/>
            <w:vAlign w:val="center"/>
            <w:hideMark/>
          </w:tcPr>
          <w:p w14:paraId="1FE315D4"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 </w:t>
            </w:r>
          </w:p>
        </w:tc>
      </w:tr>
      <w:tr w:rsidR="00D54DE0" w:rsidRPr="00605642" w14:paraId="6290087C" w14:textId="77777777" w:rsidTr="001F1D94">
        <w:trPr>
          <w:trHeight w:val="170"/>
          <w:jc w:val="center"/>
        </w:trPr>
        <w:tc>
          <w:tcPr>
            <w:tcW w:w="3760" w:type="dxa"/>
            <w:tcBorders>
              <w:top w:val="nil"/>
              <w:left w:val="nil"/>
              <w:bottom w:val="single" w:sz="4" w:space="0" w:color="FFFFFF"/>
              <w:right w:val="nil"/>
            </w:tcBorders>
            <w:shd w:val="clear" w:color="auto" w:fill="B8CCE4" w:themeFill="accent1" w:themeFillTint="66"/>
            <w:vAlign w:val="center"/>
            <w:hideMark/>
          </w:tcPr>
          <w:p w14:paraId="6EC9E99B" w14:textId="77777777" w:rsidR="00D54DE0" w:rsidRPr="00D54DE0" w:rsidRDefault="00D54DE0" w:rsidP="00D54DE0">
            <w:pPr>
              <w:spacing w:after="0" w:line="240" w:lineRule="auto"/>
              <w:jc w:val="left"/>
              <w:rPr>
                <w:rFonts w:ascii="Calibri" w:eastAsia="Times New Roman" w:hAnsi="Calibri" w:cs="Calibri"/>
                <w:b/>
                <w:bCs/>
                <w:sz w:val="22"/>
                <w:lang w:val="en-US"/>
              </w:rPr>
            </w:pPr>
            <w:r w:rsidRPr="00D54DE0">
              <w:rPr>
                <w:rFonts w:ascii="Calibri" w:eastAsia="Times New Roman" w:hAnsi="Calibri" w:cs="Calibri"/>
                <w:b/>
                <w:bCs/>
                <w:sz w:val="22"/>
                <w:lang w:val="en-US"/>
              </w:rPr>
              <w:t>Other costs financed by RRF loans</w:t>
            </w:r>
          </w:p>
        </w:tc>
        <w:tc>
          <w:tcPr>
            <w:tcW w:w="960" w:type="dxa"/>
            <w:tcBorders>
              <w:top w:val="nil"/>
              <w:left w:val="nil"/>
              <w:bottom w:val="single" w:sz="4" w:space="0" w:color="FFFFFF"/>
              <w:right w:val="nil"/>
            </w:tcBorders>
            <w:shd w:val="clear" w:color="auto" w:fill="B8CCE4" w:themeFill="accent1" w:themeFillTint="66"/>
            <w:vAlign w:val="center"/>
            <w:hideMark/>
          </w:tcPr>
          <w:p w14:paraId="5313DDC9" w14:textId="77777777" w:rsidR="00D54DE0" w:rsidRPr="00D54DE0" w:rsidRDefault="00D54DE0" w:rsidP="00D54DE0">
            <w:pPr>
              <w:spacing w:after="0" w:line="240" w:lineRule="auto"/>
              <w:jc w:val="left"/>
              <w:rPr>
                <w:rFonts w:ascii="Calibri" w:eastAsia="Times New Roman" w:hAnsi="Calibri" w:cs="Calibri"/>
                <w:sz w:val="22"/>
                <w:lang w:val="en-US"/>
              </w:rPr>
            </w:pPr>
            <w:r w:rsidRPr="00D54DE0">
              <w:rPr>
                <w:rFonts w:ascii="Calibri" w:eastAsia="Times New Roman" w:hAnsi="Calibri" w:cs="Calibri"/>
                <w:sz w:val="22"/>
                <w:lang w:val="en-US"/>
              </w:rPr>
              <w:t> </w:t>
            </w:r>
          </w:p>
        </w:tc>
        <w:tc>
          <w:tcPr>
            <w:tcW w:w="960" w:type="dxa"/>
            <w:tcBorders>
              <w:top w:val="nil"/>
              <w:left w:val="nil"/>
              <w:bottom w:val="single" w:sz="4" w:space="0" w:color="FFFFFF"/>
              <w:right w:val="nil"/>
            </w:tcBorders>
            <w:shd w:val="clear" w:color="auto" w:fill="B8CCE4" w:themeFill="accent1" w:themeFillTint="66"/>
            <w:vAlign w:val="center"/>
            <w:hideMark/>
          </w:tcPr>
          <w:p w14:paraId="3C30593D" w14:textId="77777777" w:rsidR="00D54DE0" w:rsidRPr="00D54DE0" w:rsidRDefault="00D54DE0" w:rsidP="00D54DE0">
            <w:pPr>
              <w:spacing w:after="0" w:line="240" w:lineRule="auto"/>
              <w:jc w:val="left"/>
              <w:rPr>
                <w:rFonts w:ascii="Calibri" w:eastAsia="Times New Roman" w:hAnsi="Calibri" w:cs="Calibri"/>
                <w:sz w:val="22"/>
                <w:lang w:val="en-US"/>
              </w:rPr>
            </w:pPr>
            <w:r w:rsidRPr="00D54DE0">
              <w:rPr>
                <w:rFonts w:ascii="Calibri" w:eastAsia="Times New Roman" w:hAnsi="Calibri" w:cs="Calibri"/>
                <w:sz w:val="22"/>
                <w:lang w:val="en-US"/>
              </w:rPr>
              <w:t> </w:t>
            </w:r>
          </w:p>
        </w:tc>
        <w:tc>
          <w:tcPr>
            <w:tcW w:w="960" w:type="dxa"/>
            <w:tcBorders>
              <w:top w:val="nil"/>
              <w:left w:val="nil"/>
              <w:bottom w:val="single" w:sz="4" w:space="0" w:color="FFFFFF"/>
              <w:right w:val="nil"/>
            </w:tcBorders>
            <w:shd w:val="clear" w:color="auto" w:fill="B8CCE4" w:themeFill="accent1" w:themeFillTint="66"/>
            <w:vAlign w:val="center"/>
            <w:hideMark/>
          </w:tcPr>
          <w:p w14:paraId="25DC3E3F" w14:textId="77777777" w:rsidR="00D54DE0" w:rsidRPr="00D54DE0" w:rsidRDefault="00D54DE0" w:rsidP="00D54DE0">
            <w:pPr>
              <w:spacing w:after="0" w:line="240" w:lineRule="auto"/>
              <w:jc w:val="left"/>
              <w:rPr>
                <w:rFonts w:ascii="Calibri" w:eastAsia="Times New Roman" w:hAnsi="Calibri" w:cs="Calibri"/>
                <w:sz w:val="22"/>
                <w:lang w:val="en-US"/>
              </w:rPr>
            </w:pPr>
            <w:r w:rsidRPr="00D54DE0">
              <w:rPr>
                <w:rFonts w:ascii="Calibri" w:eastAsia="Times New Roman" w:hAnsi="Calibri" w:cs="Calibri"/>
                <w:sz w:val="22"/>
                <w:lang w:val="en-US"/>
              </w:rPr>
              <w:t> </w:t>
            </w:r>
          </w:p>
        </w:tc>
        <w:tc>
          <w:tcPr>
            <w:tcW w:w="960" w:type="dxa"/>
            <w:tcBorders>
              <w:top w:val="nil"/>
              <w:left w:val="nil"/>
              <w:bottom w:val="single" w:sz="4" w:space="0" w:color="FFFFFF"/>
              <w:right w:val="nil"/>
            </w:tcBorders>
            <w:shd w:val="clear" w:color="auto" w:fill="B8CCE4" w:themeFill="accent1" w:themeFillTint="66"/>
            <w:vAlign w:val="center"/>
            <w:hideMark/>
          </w:tcPr>
          <w:p w14:paraId="0D4CBC80" w14:textId="77777777" w:rsidR="00D54DE0" w:rsidRPr="00D54DE0" w:rsidRDefault="00D54DE0" w:rsidP="00D54DE0">
            <w:pPr>
              <w:spacing w:after="0" w:line="240" w:lineRule="auto"/>
              <w:jc w:val="left"/>
              <w:rPr>
                <w:rFonts w:ascii="Calibri" w:eastAsia="Times New Roman" w:hAnsi="Calibri" w:cs="Calibri"/>
                <w:sz w:val="22"/>
                <w:lang w:val="en-US"/>
              </w:rPr>
            </w:pPr>
            <w:r w:rsidRPr="00D54DE0">
              <w:rPr>
                <w:rFonts w:ascii="Calibri" w:eastAsia="Times New Roman" w:hAnsi="Calibri" w:cs="Calibri"/>
                <w:sz w:val="22"/>
                <w:lang w:val="en-US"/>
              </w:rPr>
              <w:t> </w:t>
            </w:r>
          </w:p>
        </w:tc>
        <w:tc>
          <w:tcPr>
            <w:tcW w:w="960" w:type="dxa"/>
            <w:tcBorders>
              <w:top w:val="nil"/>
              <w:left w:val="nil"/>
              <w:bottom w:val="single" w:sz="4" w:space="0" w:color="FFFFFF"/>
              <w:right w:val="nil"/>
            </w:tcBorders>
            <w:shd w:val="clear" w:color="auto" w:fill="B8CCE4" w:themeFill="accent1" w:themeFillTint="66"/>
            <w:vAlign w:val="center"/>
            <w:hideMark/>
          </w:tcPr>
          <w:p w14:paraId="53E82429" w14:textId="77777777" w:rsidR="00D54DE0" w:rsidRPr="00D54DE0" w:rsidRDefault="00D54DE0" w:rsidP="00D54DE0">
            <w:pPr>
              <w:spacing w:after="0" w:line="240" w:lineRule="auto"/>
              <w:jc w:val="left"/>
              <w:rPr>
                <w:rFonts w:ascii="Calibri" w:eastAsia="Times New Roman" w:hAnsi="Calibri" w:cs="Calibri"/>
                <w:sz w:val="22"/>
                <w:lang w:val="en-US"/>
              </w:rPr>
            </w:pPr>
            <w:r w:rsidRPr="00D54DE0">
              <w:rPr>
                <w:rFonts w:ascii="Calibri" w:eastAsia="Times New Roman" w:hAnsi="Calibri" w:cs="Calibri"/>
                <w:sz w:val="22"/>
                <w:lang w:val="en-US"/>
              </w:rPr>
              <w:t> </w:t>
            </w:r>
          </w:p>
        </w:tc>
        <w:tc>
          <w:tcPr>
            <w:tcW w:w="960" w:type="dxa"/>
            <w:tcBorders>
              <w:top w:val="nil"/>
              <w:left w:val="nil"/>
              <w:bottom w:val="single" w:sz="4" w:space="0" w:color="FFFFFF"/>
              <w:right w:val="nil"/>
            </w:tcBorders>
            <w:shd w:val="clear" w:color="auto" w:fill="B8CCE4" w:themeFill="accent1" w:themeFillTint="66"/>
            <w:vAlign w:val="center"/>
            <w:hideMark/>
          </w:tcPr>
          <w:p w14:paraId="0BC01270" w14:textId="77777777" w:rsidR="00D54DE0" w:rsidRPr="00D54DE0" w:rsidRDefault="00D54DE0" w:rsidP="00D54DE0">
            <w:pPr>
              <w:spacing w:after="0" w:line="240" w:lineRule="auto"/>
              <w:jc w:val="left"/>
              <w:rPr>
                <w:rFonts w:ascii="Calibri" w:eastAsia="Times New Roman" w:hAnsi="Calibri" w:cs="Calibri"/>
                <w:sz w:val="22"/>
                <w:lang w:val="en-US"/>
              </w:rPr>
            </w:pPr>
            <w:r w:rsidRPr="00D54DE0">
              <w:rPr>
                <w:rFonts w:ascii="Calibri" w:eastAsia="Times New Roman" w:hAnsi="Calibri" w:cs="Calibri"/>
                <w:sz w:val="22"/>
                <w:lang w:val="en-US"/>
              </w:rPr>
              <w:t> </w:t>
            </w:r>
          </w:p>
        </w:tc>
      </w:tr>
      <w:tr w:rsidR="00D54DE0" w:rsidRPr="00D54DE0" w14:paraId="1DABF6F6" w14:textId="77777777" w:rsidTr="00D54DE0">
        <w:trPr>
          <w:trHeight w:val="170"/>
          <w:jc w:val="center"/>
        </w:trPr>
        <w:tc>
          <w:tcPr>
            <w:tcW w:w="3760" w:type="dxa"/>
            <w:tcBorders>
              <w:top w:val="nil"/>
              <w:left w:val="nil"/>
              <w:bottom w:val="single" w:sz="4" w:space="0" w:color="FFFFFF"/>
              <w:right w:val="nil"/>
            </w:tcBorders>
            <w:shd w:val="clear" w:color="000000" w:fill="F2F2F2"/>
            <w:vAlign w:val="center"/>
            <w:hideMark/>
          </w:tcPr>
          <w:p w14:paraId="4AA266EC" w14:textId="77777777" w:rsidR="00D54DE0" w:rsidRPr="00D54DE0" w:rsidRDefault="00D54DE0" w:rsidP="00D54DE0">
            <w:pPr>
              <w:spacing w:after="0" w:line="240" w:lineRule="auto"/>
              <w:jc w:val="left"/>
              <w:rPr>
                <w:rFonts w:ascii="Calibri" w:eastAsia="Times New Roman" w:hAnsi="Calibri" w:cs="Calibri"/>
                <w:sz w:val="22"/>
              </w:rPr>
            </w:pPr>
            <w:r w:rsidRPr="00D54DE0">
              <w:rPr>
                <w:rFonts w:ascii="Calibri" w:eastAsia="Times New Roman" w:hAnsi="Calibri" w:cs="Calibri"/>
                <w:sz w:val="22"/>
              </w:rPr>
              <w:t>7. Reduction in tax revenue</w:t>
            </w:r>
          </w:p>
        </w:tc>
        <w:tc>
          <w:tcPr>
            <w:tcW w:w="960" w:type="dxa"/>
            <w:tcBorders>
              <w:top w:val="nil"/>
              <w:left w:val="nil"/>
              <w:bottom w:val="single" w:sz="4" w:space="0" w:color="FFFFFF"/>
              <w:right w:val="nil"/>
            </w:tcBorders>
            <w:shd w:val="clear" w:color="000000" w:fill="F2F2F2"/>
            <w:vAlign w:val="center"/>
            <w:hideMark/>
          </w:tcPr>
          <w:p w14:paraId="53533876"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 </w:t>
            </w:r>
          </w:p>
        </w:tc>
        <w:tc>
          <w:tcPr>
            <w:tcW w:w="960" w:type="dxa"/>
            <w:tcBorders>
              <w:top w:val="nil"/>
              <w:left w:val="nil"/>
              <w:bottom w:val="single" w:sz="4" w:space="0" w:color="FFFFFF"/>
              <w:right w:val="nil"/>
            </w:tcBorders>
            <w:shd w:val="clear" w:color="000000" w:fill="F2F2F2"/>
            <w:vAlign w:val="center"/>
            <w:hideMark/>
          </w:tcPr>
          <w:p w14:paraId="3AA9E0B5"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 </w:t>
            </w:r>
          </w:p>
        </w:tc>
        <w:tc>
          <w:tcPr>
            <w:tcW w:w="960" w:type="dxa"/>
            <w:tcBorders>
              <w:top w:val="nil"/>
              <w:left w:val="nil"/>
              <w:bottom w:val="single" w:sz="4" w:space="0" w:color="FFFFFF"/>
              <w:right w:val="nil"/>
            </w:tcBorders>
            <w:shd w:val="clear" w:color="000000" w:fill="F2F2F2"/>
            <w:vAlign w:val="center"/>
            <w:hideMark/>
          </w:tcPr>
          <w:p w14:paraId="221E516E"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 </w:t>
            </w:r>
          </w:p>
        </w:tc>
        <w:tc>
          <w:tcPr>
            <w:tcW w:w="960" w:type="dxa"/>
            <w:tcBorders>
              <w:top w:val="nil"/>
              <w:left w:val="nil"/>
              <w:bottom w:val="single" w:sz="4" w:space="0" w:color="FFFFFF"/>
              <w:right w:val="nil"/>
            </w:tcBorders>
            <w:shd w:val="clear" w:color="000000" w:fill="F2F2F2"/>
            <w:vAlign w:val="center"/>
            <w:hideMark/>
          </w:tcPr>
          <w:p w14:paraId="00269BFE"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 </w:t>
            </w:r>
          </w:p>
        </w:tc>
        <w:tc>
          <w:tcPr>
            <w:tcW w:w="960" w:type="dxa"/>
            <w:tcBorders>
              <w:top w:val="nil"/>
              <w:left w:val="nil"/>
              <w:bottom w:val="single" w:sz="4" w:space="0" w:color="FFFFFF"/>
              <w:right w:val="nil"/>
            </w:tcBorders>
            <w:shd w:val="clear" w:color="000000" w:fill="F2F2F2"/>
            <w:vAlign w:val="center"/>
            <w:hideMark/>
          </w:tcPr>
          <w:p w14:paraId="643B0722"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 </w:t>
            </w:r>
          </w:p>
        </w:tc>
        <w:tc>
          <w:tcPr>
            <w:tcW w:w="960" w:type="dxa"/>
            <w:tcBorders>
              <w:top w:val="nil"/>
              <w:left w:val="nil"/>
              <w:bottom w:val="single" w:sz="4" w:space="0" w:color="FFFFFF"/>
              <w:right w:val="nil"/>
            </w:tcBorders>
            <w:shd w:val="clear" w:color="000000" w:fill="F2F2F2"/>
            <w:vAlign w:val="center"/>
            <w:hideMark/>
          </w:tcPr>
          <w:p w14:paraId="478D9578"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 </w:t>
            </w:r>
          </w:p>
        </w:tc>
      </w:tr>
      <w:tr w:rsidR="00D54DE0" w:rsidRPr="00605642" w14:paraId="773FB0D1" w14:textId="77777777" w:rsidTr="001F1D94">
        <w:trPr>
          <w:trHeight w:val="170"/>
          <w:jc w:val="center"/>
        </w:trPr>
        <w:tc>
          <w:tcPr>
            <w:tcW w:w="3760" w:type="dxa"/>
            <w:tcBorders>
              <w:top w:val="nil"/>
              <w:left w:val="nil"/>
              <w:bottom w:val="single" w:sz="4" w:space="0" w:color="FFFFFF"/>
              <w:right w:val="nil"/>
            </w:tcBorders>
            <w:shd w:val="clear" w:color="000000" w:fill="D9D9D9"/>
            <w:vAlign w:val="center"/>
            <w:hideMark/>
          </w:tcPr>
          <w:p w14:paraId="692DF117" w14:textId="77777777" w:rsidR="00D54DE0" w:rsidRPr="00D54DE0" w:rsidRDefault="00D54DE0" w:rsidP="00D54DE0">
            <w:pPr>
              <w:spacing w:after="0" w:line="240" w:lineRule="auto"/>
              <w:jc w:val="left"/>
              <w:rPr>
                <w:rFonts w:ascii="Calibri" w:eastAsia="Times New Roman" w:hAnsi="Calibri" w:cs="Calibri"/>
                <w:sz w:val="22"/>
                <w:lang w:val="en-US"/>
              </w:rPr>
            </w:pPr>
            <w:r w:rsidRPr="00D54DE0">
              <w:rPr>
                <w:rFonts w:ascii="Calibri" w:eastAsia="Times New Roman" w:hAnsi="Calibri" w:cs="Calibri"/>
                <w:sz w:val="22"/>
                <w:lang w:val="en-US"/>
              </w:rPr>
              <w:t xml:space="preserve">8. Other costs with impact </w:t>
            </w:r>
            <w:r w:rsidR="001F1D94">
              <w:rPr>
                <w:rFonts w:ascii="Calibri" w:eastAsia="Times New Roman" w:hAnsi="Calibri" w:cs="Calibri"/>
                <w:sz w:val="22"/>
                <w:lang w:val="en-US"/>
              </w:rPr>
              <w:br/>
            </w:r>
            <w:r w:rsidRPr="00D54DE0">
              <w:rPr>
                <w:rFonts w:ascii="Calibri" w:eastAsia="Times New Roman" w:hAnsi="Calibri" w:cs="Calibri"/>
                <w:sz w:val="22"/>
                <w:lang w:val="en-US"/>
              </w:rPr>
              <w:t>on revenue</w:t>
            </w:r>
          </w:p>
        </w:tc>
        <w:tc>
          <w:tcPr>
            <w:tcW w:w="960" w:type="dxa"/>
            <w:tcBorders>
              <w:top w:val="nil"/>
              <w:left w:val="nil"/>
              <w:bottom w:val="single" w:sz="4" w:space="0" w:color="FFFFFF"/>
              <w:right w:val="nil"/>
            </w:tcBorders>
            <w:shd w:val="clear" w:color="000000" w:fill="D9D9D9"/>
            <w:vAlign w:val="center"/>
            <w:hideMark/>
          </w:tcPr>
          <w:p w14:paraId="2286E243" w14:textId="77777777" w:rsidR="00D54DE0" w:rsidRPr="00D54DE0" w:rsidRDefault="00D54DE0" w:rsidP="00D54DE0">
            <w:pPr>
              <w:spacing w:after="0" w:line="240" w:lineRule="auto"/>
              <w:jc w:val="center"/>
              <w:rPr>
                <w:rFonts w:ascii="Calibri" w:eastAsia="Times New Roman" w:hAnsi="Calibri" w:cs="Calibri"/>
                <w:sz w:val="22"/>
                <w:lang w:val="en-US"/>
              </w:rPr>
            </w:pPr>
            <w:r w:rsidRPr="00D54DE0">
              <w:rPr>
                <w:rFonts w:ascii="Calibri" w:eastAsia="Times New Roman" w:hAnsi="Calibri" w:cs="Calibri"/>
                <w:sz w:val="22"/>
                <w:lang w:val="en-US"/>
              </w:rPr>
              <w:t> </w:t>
            </w:r>
          </w:p>
        </w:tc>
        <w:tc>
          <w:tcPr>
            <w:tcW w:w="960" w:type="dxa"/>
            <w:tcBorders>
              <w:top w:val="nil"/>
              <w:left w:val="nil"/>
              <w:bottom w:val="single" w:sz="4" w:space="0" w:color="FFFFFF"/>
              <w:right w:val="nil"/>
            </w:tcBorders>
            <w:shd w:val="clear" w:color="000000" w:fill="D9D9D9"/>
            <w:vAlign w:val="center"/>
            <w:hideMark/>
          </w:tcPr>
          <w:p w14:paraId="2BA2F530" w14:textId="77777777" w:rsidR="00D54DE0" w:rsidRPr="00D54DE0" w:rsidRDefault="00D54DE0" w:rsidP="00D54DE0">
            <w:pPr>
              <w:spacing w:after="0" w:line="240" w:lineRule="auto"/>
              <w:jc w:val="center"/>
              <w:rPr>
                <w:rFonts w:ascii="Calibri" w:eastAsia="Times New Roman" w:hAnsi="Calibri" w:cs="Calibri"/>
                <w:sz w:val="22"/>
                <w:lang w:val="en-US"/>
              </w:rPr>
            </w:pPr>
            <w:r w:rsidRPr="00D54DE0">
              <w:rPr>
                <w:rFonts w:ascii="Calibri" w:eastAsia="Times New Roman" w:hAnsi="Calibri" w:cs="Calibri"/>
                <w:sz w:val="22"/>
                <w:lang w:val="en-US"/>
              </w:rPr>
              <w:t> </w:t>
            </w:r>
          </w:p>
        </w:tc>
        <w:tc>
          <w:tcPr>
            <w:tcW w:w="960" w:type="dxa"/>
            <w:tcBorders>
              <w:top w:val="nil"/>
              <w:left w:val="nil"/>
              <w:bottom w:val="single" w:sz="4" w:space="0" w:color="FFFFFF"/>
              <w:right w:val="nil"/>
            </w:tcBorders>
            <w:shd w:val="clear" w:color="000000" w:fill="D9D9D9"/>
            <w:vAlign w:val="center"/>
            <w:hideMark/>
          </w:tcPr>
          <w:p w14:paraId="25A50BE7" w14:textId="77777777" w:rsidR="00D54DE0" w:rsidRPr="00D54DE0" w:rsidRDefault="00D54DE0" w:rsidP="00D54DE0">
            <w:pPr>
              <w:spacing w:after="0" w:line="240" w:lineRule="auto"/>
              <w:jc w:val="center"/>
              <w:rPr>
                <w:rFonts w:ascii="Calibri" w:eastAsia="Times New Roman" w:hAnsi="Calibri" w:cs="Calibri"/>
                <w:sz w:val="22"/>
                <w:lang w:val="en-US"/>
              </w:rPr>
            </w:pPr>
            <w:r w:rsidRPr="00D54DE0">
              <w:rPr>
                <w:rFonts w:ascii="Calibri" w:eastAsia="Times New Roman" w:hAnsi="Calibri" w:cs="Calibri"/>
                <w:sz w:val="22"/>
                <w:lang w:val="en-US"/>
              </w:rPr>
              <w:t> </w:t>
            </w:r>
          </w:p>
        </w:tc>
        <w:tc>
          <w:tcPr>
            <w:tcW w:w="960" w:type="dxa"/>
            <w:tcBorders>
              <w:top w:val="nil"/>
              <w:left w:val="nil"/>
              <w:bottom w:val="single" w:sz="4" w:space="0" w:color="FFFFFF"/>
              <w:right w:val="nil"/>
            </w:tcBorders>
            <w:shd w:val="clear" w:color="000000" w:fill="D9D9D9"/>
            <w:vAlign w:val="center"/>
            <w:hideMark/>
          </w:tcPr>
          <w:p w14:paraId="47C6721C" w14:textId="77777777" w:rsidR="00D54DE0" w:rsidRPr="00D54DE0" w:rsidRDefault="00D54DE0" w:rsidP="00D54DE0">
            <w:pPr>
              <w:spacing w:after="0" w:line="240" w:lineRule="auto"/>
              <w:jc w:val="center"/>
              <w:rPr>
                <w:rFonts w:ascii="Calibri" w:eastAsia="Times New Roman" w:hAnsi="Calibri" w:cs="Calibri"/>
                <w:sz w:val="22"/>
                <w:lang w:val="en-US"/>
              </w:rPr>
            </w:pPr>
            <w:r w:rsidRPr="00D54DE0">
              <w:rPr>
                <w:rFonts w:ascii="Calibri" w:eastAsia="Times New Roman" w:hAnsi="Calibri" w:cs="Calibri"/>
                <w:sz w:val="22"/>
                <w:lang w:val="en-US"/>
              </w:rPr>
              <w:t> </w:t>
            </w:r>
          </w:p>
        </w:tc>
        <w:tc>
          <w:tcPr>
            <w:tcW w:w="960" w:type="dxa"/>
            <w:tcBorders>
              <w:top w:val="nil"/>
              <w:left w:val="nil"/>
              <w:bottom w:val="single" w:sz="4" w:space="0" w:color="FFFFFF"/>
              <w:right w:val="nil"/>
            </w:tcBorders>
            <w:shd w:val="clear" w:color="000000" w:fill="D9D9D9"/>
            <w:vAlign w:val="center"/>
            <w:hideMark/>
          </w:tcPr>
          <w:p w14:paraId="23148A2B" w14:textId="77777777" w:rsidR="00D54DE0" w:rsidRPr="00D54DE0" w:rsidRDefault="00D54DE0" w:rsidP="00D54DE0">
            <w:pPr>
              <w:spacing w:after="0" w:line="240" w:lineRule="auto"/>
              <w:jc w:val="center"/>
              <w:rPr>
                <w:rFonts w:ascii="Calibri" w:eastAsia="Times New Roman" w:hAnsi="Calibri" w:cs="Calibri"/>
                <w:sz w:val="22"/>
                <w:lang w:val="en-US"/>
              </w:rPr>
            </w:pPr>
            <w:r w:rsidRPr="00D54DE0">
              <w:rPr>
                <w:rFonts w:ascii="Calibri" w:eastAsia="Times New Roman" w:hAnsi="Calibri" w:cs="Calibri"/>
                <w:sz w:val="22"/>
                <w:lang w:val="en-US"/>
              </w:rPr>
              <w:t> </w:t>
            </w:r>
          </w:p>
        </w:tc>
        <w:tc>
          <w:tcPr>
            <w:tcW w:w="960" w:type="dxa"/>
            <w:tcBorders>
              <w:top w:val="nil"/>
              <w:left w:val="nil"/>
              <w:bottom w:val="single" w:sz="4" w:space="0" w:color="FFFFFF"/>
              <w:right w:val="nil"/>
            </w:tcBorders>
            <w:shd w:val="clear" w:color="000000" w:fill="D9D9D9"/>
            <w:vAlign w:val="center"/>
            <w:hideMark/>
          </w:tcPr>
          <w:p w14:paraId="66055FF9" w14:textId="77777777" w:rsidR="00D54DE0" w:rsidRPr="00D54DE0" w:rsidRDefault="00D54DE0" w:rsidP="00D54DE0">
            <w:pPr>
              <w:spacing w:after="0" w:line="240" w:lineRule="auto"/>
              <w:jc w:val="center"/>
              <w:rPr>
                <w:rFonts w:ascii="Calibri" w:eastAsia="Times New Roman" w:hAnsi="Calibri" w:cs="Calibri"/>
                <w:sz w:val="22"/>
                <w:lang w:val="en-US"/>
              </w:rPr>
            </w:pPr>
            <w:r w:rsidRPr="00D54DE0">
              <w:rPr>
                <w:rFonts w:ascii="Calibri" w:eastAsia="Times New Roman" w:hAnsi="Calibri" w:cs="Calibri"/>
                <w:sz w:val="22"/>
                <w:lang w:val="en-US"/>
              </w:rPr>
              <w:t> </w:t>
            </w:r>
          </w:p>
        </w:tc>
      </w:tr>
      <w:tr w:rsidR="00D54DE0" w:rsidRPr="00D54DE0" w14:paraId="0819F8CF" w14:textId="77777777" w:rsidTr="001F1D94">
        <w:trPr>
          <w:trHeight w:val="170"/>
          <w:jc w:val="center"/>
        </w:trPr>
        <w:tc>
          <w:tcPr>
            <w:tcW w:w="3760" w:type="dxa"/>
            <w:tcBorders>
              <w:top w:val="single" w:sz="4" w:space="0" w:color="FFFFFF"/>
              <w:left w:val="nil"/>
              <w:bottom w:val="single" w:sz="18" w:space="0" w:color="4F81BD" w:themeColor="accent1"/>
              <w:right w:val="nil"/>
            </w:tcBorders>
            <w:shd w:val="clear" w:color="000000" w:fill="F2F2F2"/>
            <w:vAlign w:val="center"/>
            <w:hideMark/>
          </w:tcPr>
          <w:p w14:paraId="616F2834" w14:textId="77777777" w:rsidR="00D54DE0" w:rsidRPr="00D54DE0" w:rsidRDefault="00D54DE0" w:rsidP="00D54DE0">
            <w:pPr>
              <w:spacing w:after="0" w:line="240" w:lineRule="auto"/>
              <w:jc w:val="left"/>
              <w:rPr>
                <w:rFonts w:ascii="Calibri" w:eastAsia="Times New Roman" w:hAnsi="Calibri" w:cs="Calibri"/>
                <w:sz w:val="22"/>
              </w:rPr>
            </w:pPr>
            <w:r w:rsidRPr="00D54DE0">
              <w:rPr>
                <w:rFonts w:ascii="Calibri" w:eastAsia="Times New Roman" w:hAnsi="Calibri" w:cs="Calibri"/>
                <w:sz w:val="22"/>
              </w:rPr>
              <w:t>9. Financial transactions</w:t>
            </w:r>
          </w:p>
        </w:tc>
        <w:tc>
          <w:tcPr>
            <w:tcW w:w="960" w:type="dxa"/>
            <w:tcBorders>
              <w:top w:val="single" w:sz="4" w:space="0" w:color="FFFFFF"/>
              <w:left w:val="nil"/>
              <w:bottom w:val="single" w:sz="18" w:space="0" w:color="4F81BD" w:themeColor="accent1"/>
              <w:right w:val="nil"/>
            </w:tcBorders>
            <w:shd w:val="clear" w:color="000000" w:fill="F2F2F2"/>
            <w:vAlign w:val="center"/>
            <w:hideMark/>
          </w:tcPr>
          <w:p w14:paraId="00662A7C"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0.0</w:t>
            </w:r>
          </w:p>
        </w:tc>
        <w:tc>
          <w:tcPr>
            <w:tcW w:w="960" w:type="dxa"/>
            <w:tcBorders>
              <w:top w:val="single" w:sz="4" w:space="0" w:color="FFFFFF"/>
              <w:left w:val="nil"/>
              <w:bottom w:val="single" w:sz="18" w:space="0" w:color="4F81BD" w:themeColor="accent1"/>
              <w:right w:val="nil"/>
            </w:tcBorders>
            <w:shd w:val="clear" w:color="000000" w:fill="F2F2F2"/>
            <w:vAlign w:val="center"/>
            <w:hideMark/>
          </w:tcPr>
          <w:p w14:paraId="6A78977C"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0.1</w:t>
            </w:r>
          </w:p>
        </w:tc>
        <w:tc>
          <w:tcPr>
            <w:tcW w:w="960" w:type="dxa"/>
            <w:tcBorders>
              <w:top w:val="single" w:sz="4" w:space="0" w:color="FFFFFF"/>
              <w:left w:val="nil"/>
              <w:bottom w:val="single" w:sz="18" w:space="0" w:color="4F81BD" w:themeColor="accent1"/>
              <w:right w:val="nil"/>
            </w:tcBorders>
            <w:shd w:val="clear" w:color="000000" w:fill="F2F2F2"/>
            <w:vAlign w:val="center"/>
            <w:hideMark/>
          </w:tcPr>
          <w:p w14:paraId="2F5851FB"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0.4</w:t>
            </w:r>
          </w:p>
        </w:tc>
        <w:tc>
          <w:tcPr>
            <w:tcW w:w="960" w:type="dxa"/>
            <w:tcBorders>
              <w:top w:val="single" w:sz="4" w:space="0" w:color="FFFFFF"/>
              <w:left w:val="nil"/>
              <w:bottom w:val="single" w:sz="18" w:space="0" w:color="4F81BD" w:themeColor="accent1"/>
              <w:right w:val="nil"/>
            </w:tcBorders>
            <w:shd w:val="clear" w:color="000000" w:fill="F2F2F2"/>
            <w:vAlign w:val="center"/>
            <w:hideMark/>
          </w:tcPr>
          <w:p w14:paraId="6A4DDB8E"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0.7</w:t>
            </w:r>
          </w:p>
        </w:tc>
        <w:tc>
          <w:tcPr>
            <w:tcW w:w="960" w:type="dxa"/>
            <w:tcBorders>
              <w:top w:val="single" w:sz="4" w:space="0" w:color="FFFFFF"/>
              <w:left w:val="nil"/>
              <w:bottom w:val="single" w:sz="18" w:space="0" w:color="4F81BD" w:themeColor="accent1"/>
              <w:right w:val="nil"/>
            </w:tcBorders>
            <w:shd w:val="clear" w:color="000000" w:fill="F2F2F2"/>
            <w:vAlign w:val="center"/>
            <w:hideMark/>
          </w:tcPr>
          <w:p w14:paraId="47ECBA77"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1.1</w:t>
            </w:r>
          </w:p>
        </w:tc>
        <w:tc>
          <w:tcPr>
            <w:tcW w:w="960" w:type="dxa"/>
            <w:tcBorders>
              <w:top w:val="single" w:sz="4" w:space="0" w:color="FFFFFF"/>
              <w:left w:val="nil"/>
              <w:bottom w:val="single" w:sz="18" w:space="0" w:color="4F81BD" w:themeColor="accent1"/>
              <w:right w:val="nil"/>
            </w:tcBorders>
            <w:shd w:val="clear" w:color="000000" w:fill="F2F2F2"/>
            <w:vAlign w:val="center"/>
            <w:hideMark/>
          </w:tcPr>
          <w:p w14:paraId="5FBA45F0" w14:textId="77777777" w:rsidR="00D54DE0" w:rsidRPr="00D54DE0" w:rsidRDefault="00D54DE0" w:rsidP="00D54DE0">
            <w:pPr>
              <w:spacing w:after="0" w:line="240" w:lineRule="auto"/>
              <w:jc w:val="center"/>
              <w:rPr>
                <w:rFonts w:ascii="Calibri" w:eastAsia="Times New Roman" w:hAnsi="Calibri" w:cs="Calibri"/>
                <w:sz w:val="22"/>
              </w:rPr>
            </w:pPr>
            <w:r w:rsidRPr="00D54DE0">
              <w:rPr>
                <w:rFonts w:ascii="Calibri" w:eastAsia="Times New Roman" w:hAnsi="Calibri" w:cs="Calibri"/>
                <w:sz w:val="22"/>
              </w:rPr>
              <w:t>1.5</w:t>
            </w:r>
          </w:p>
        </w:tc>
      </w:tr>
    </w:tbl>
    <w:p w14:paraId="676AD0E6" w14:textId="77777777" w:rsidR="002F5E3F" w:rsidRDefault="002F5E3F" w:rsidP="002F5E3F">
      <w:pPr>
        <w:rPr>
          <w:rFonts w:ascii="Calibri" w:hAnsi="Calibri"/>
          <w:lang w:val="en-US"/>
        </w:rPr>
      </w:pPr>
    </w:p>
    <w:p w14:paraId="61F0E867" w14:textId="77777777" w:rsidR="004607FE" w:rsidRDefault="004607FE">
      <w:pPr>
        <w:spacing w:after="200" w:line="276" w:lineRule="auto"/>
        <w:jc w:val="left"/>
        <w:rPr>
          <w:rFonts w:ascii="Calibri Light" w:eastAsiaTheme="majorEastAsia" w:hAnsi="Calibri Light" w:cstheme="majorBidi"/>
          <w:b/>
          <w:bCs/>
          <w:color w:val="4F81BD" w:themeColor="accent1"/>
          <w:w w:val="90"/>
          <w:sz w:val="48"/>
          <w:szCs w:val="28"/>
          <w:lang w:val="en-US"/>
        </w:rPr>
      </w:pPr>
      <w:bookmarkStart w:id="35" w:name="_Toc228279084"/>
      <w:r>
        <w:rPr>
          <w:lang w:val="en-US"/>
        </w:rPr>
        <w:br w:type="page"/>
      </w:r>
    </w:p>
    <w:p w14:paraId="07DCEE23" w14:textId="71AF021C" w:rsidR="00726977" w:rsidRDefault="00FE7B7E" w:rsidP="005E55CC">
      <w:pPr>
        <w:pStyle w:val="Heading1"/>
        <w:numPr>
          <w:ilvl w:val="0"/>
          <w:numId w:val="2"/>
        </w:numPr>
        <w:spacing w:after="720"/>
        <w:ind w:hanging="720"/>
      </w:pPr>
      <w:r>
        <w:rPr>
          <w:lang w:val="en-US"/>
        </w:rPr>
        <w:lastRenderedPageBreak/>
        <w:t>Reforms &amp; investments</w:t>
      </w:r>
      <w:bookmarkEnd w:id="35"/>
    </w:p>
    <w:p w14:paraId="41A85B61" w14:textId="77777777" w:rsidR="00451CC2" w:rsidRPr="00A746D8" w:rsidRDefault="00A746D8" w:rsidP="00A746D8">
      <w:pPr>
        <w:pStyle w:val="Heading2"/>
        <w:pBdr>
          <w:bottom w:val="single" w:sz="4" w:space="1" w:color="4F81BD" w:themeColor="accent1"/>
        </w:pBdr>
        <w:rPr>
          <w:rFonts w:eastAsia="Calibri"/>
          <w:sz w:val="36"/>
          <w:lang w:val="en-US"/>
        </w:rPr>
      </w:pPr>
      <w:bookmarkStart w:id="36" w:name="_heading=h.jpl0kl7l4ob" w:colFirst="0" w:colLast="0"/>
      <w:bookmarkStart w:id="37" w:name="_Toc227932492"/>
      <w:bookmarkStart w:id="38" w:name="_Toc228279085"/>
      <w:bookmarkEnd w:id="36"/>
      <w:r w:rsidRPr="00A746D8">
        <w:rPr>
          <w:rFonts w:eastAsia="Calibri"/>
          <w:sz w:val="36"/>
          <w:lang w:val="en-US"/>
        </w:rPr>
        <w:t>Ministry of Economy and Finance</w:t>
      </w:r>
      <w:bookmarkEnd w:id="37"/>
      <w:bookmarkEnd w:id="38"/>
    </w:p>
    <w:tbl>
      <w:tblPr>
        <w:tblW w:w="8902" w:type="dxa"/>
        <w:jc w:val="center"/>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Layout w:type="fixed"/>
        <w:tblLook w:val="0400" w:firstRow="0" w:lastRow="0" w:firstColumn="0" w:lastColumn="0" w:noHBand="0" w:noVBand="1"/>
      </w:tblPr>
      <w:tblGrid>
        <w:gridCol w:w="2744"/>
        <w:gridCol w:w="1201"/>
        <w:gridCol w:w="1228"/>
        <w:gridCol w:w="1932"/>
        <w:gridCol w:w="1797"/>
      </w:tblGrid>
      <w:tr w:rsidR="00451CC2" w:rsidRPr="00A746D8" w14:paraId="671E4B06" w14:textId="77777777" w:rsidTr="007A373B">
        <w:trPr>
          <w:trHeight w:val="227"/>
          <w:jc w:val="center"/>
        </w:trPr>
        <w:tc>
          <w:tcPr>
            <w:tcW w:w="2744" w:type="dxa"/>
            <w:shd w:val="clear" w:color="auto" w:fill="CFE2F3"/>
            <w:vAlign w:val="center"/>
          </w:tcPr>
          <w:p w14:paraId="72C66796" w14:textId="77777777" w:rsidR="00451CC2" w:rsidRPr="00A746D8" w:rsidRDefault="00451CC2" w:rsidP="00A746D8">
            <w:pPr>
              <w:pStyle w:val="Tabletext"/>
              <w:rPr>
                <w:rFonts w:eastAsia="Calibri"/>
                <w:b/>
              </w:rPr>
            </w:pPr>
            <w:r w:rsidRPr="00A746D8">
              <w:rPr>
                <w:rFonts w:eastAsia="Calibri"/>
                <w:b/>
              </w:rPr>
              <w:t>REFORM / INVESTMENT</w:t>
            </w:r>
          </w:p>
        </w:tc>
        <w:tc>
          <w:tcPr>
            <w:tcW w:w="1201" w:type="dxa"/>
            <w:shd w:val="clear" w:color="auto" w:fill="CFE2F3"/>
            <w:vAlign w:val="center"/>
          </w:tcPr>
          <w:p w14:paraId="4080CD0B" w14:textId="77777777" w:rsidR="00451CC2" w:rsidRPr="00A746D8" w:rsidRDefault="00451CC2" w:rsidP="00A746D8">
            <w:pPr>
              <w:pStyle w:val="Tabletext"/>
              <w:rPr>
                <w:rFonts w:eastAsia="Calibri"/>
                <w:b/>
              </w:rPr>
            </w:pPr>
            <w:r w:rsidRPr="00A746D8">
              <w:rPr>
                <w:rFonts w:eastAsia="Calibri"/>
                <w:b/>
              </w:rPr>
              <w:t xml:space="preserve">RRF / MFF </w:t>
            </w:r>
          </w:p>
        </w:tc>
        <w:tc>
          <w:tcPr>
            <w:tcW w:w="1228" w:type="dxa"/>
            <w:shd w:val="clear" w:color="auto" w:fill="CFE2F3"/>
            <w:vAlign w:val="center"/>
          </w:tcPr>
          <w:p w14:paraId="2846FA09" w14:textId="77777777" w:rsidR="00451CC2" w:rsidRPr="00A746D8" w:rsidRDefault="00451CC2" w:rsidP="00A746D8">
            <w:pPr>
              <w:pStyle w:val="Tabletext"/>
              <w:rPr>
                <w:rFonts w:eastAsia="Calibri"/>
                <w:b/>
              </w:rPr>
            </w:pPr>
            <w:r w:rsidRPr="00A746D8">
              <w:rPr>
                <w:rFonts w:eastAsia="Calibri"/>
                <w:b/>
              </w:rPr>
              <w:t xml:space="preserve">CSR </w:t>
            </w:r>
          </w:p>
        </w:tc>
        <w:tc>
          <w:tcPr>
            <w:tcW w:w="1932" w:type="dxa"/>
            <w:shd w:val="clear" w:color="auto" w:fill="CFE2F3"/>
            <w:vAlign w:val="center"/>
          </w:tcPr>
          <w:p w14:paraId="45F2F958" w14:textId="77777777" w:rsidR="00451CC2" w:rsidRPr="00A746D8" w:rsidRDefault="00451CC2" w:rsidP="00A746D8">
            <w:pPr>
              <w:pStyle w:val="Tabletext"/>
              <w:rPr>
                <w:rFonts w:eastAsia="Calibri"/>
                <w:b/>
              </w:rPr>
            </w:pPr>
            <w:r w:rsidRPr="00A746D8">
              <w:rPr>
                <w:rFonts w:eastAsia="Calibri"/>
                <w:b/>
              </w:rPr>
              <w:t>COMMON PRIORITIES</w:t>
            </w:r>
          </w:p>
        </w:tc>
        <w:tc>
          <w:tcPr>
            <w:tcW w:w="1797" w:type="dxa"/>
            <w:shd w:val="clear" w:color="auto" w:fill="CFE2F3"/>
            <w:vAlign w:val="center"/>
          </w:tcPr>
          <w:p w14:paraId="15548927" w14:textId="77777777" w:rsidR="00451CC2" w:rsidRPr="00A746D8" w:rsidRDefault="00451CC2" w:rsidP="00A746D8">
            <w:pPr>
              <w:pStyle w:val="Tabletext"/>
              <w:rPr>
                <w:rFonts w:eastAsia="Calibri"/>
                <w:b/>
              </w:rPr>
            </w:pPr>
            <w:r w:rsidRPr="00A746D8">
              <w:rPr>
                <w:rFonts w:eastAsia="Calibri"/>
                <w:b/>
              </w:rPr>
              <w:t>On-track status</w:t>
            </w:r>
          </w:p>
        </w:tc>
      </w:tr>
      <w:tr w:rsidR="00451CC2" w14:paraId="301B7D15" w14:textId="77777777" w:rsidTr="007A373B">
        <w:trPr>
          <w:trHeight w:val="227"/>
          <w:jc w:val="center"/>
        </w:trPr>
        <w:tc>
          <w:tcPr>
            <w:tcW w:w="2744" w:type="dxa"/>
            <w:tcMar>
              <w:left w:w="45" w:type="dxa"/>
              <w:right w:w="45" w:type="dxa"/>
            </w:tcMar>
            <w:vAlign w:val="center"/>
          </w:tcPr>
          <w:p w14:paraId="10310551" w14:textId="77777777" w:rsidR="00451CC2" w:rsidRPr="00451CC2" w:rsidRDefault="00540671" w:rsidP="00A746D8">
            <w:pPr>
              <w:pStyle w:val="Tabletext"/>
              <w:rPr>
                <w:rFonts w:eastAsia="Calibri"/>
              </w:rPr>
            </w:pPr>
            <w:r w:rsidRPr="00540671">
              <w:rPr>
                <w:rFonts w:eastAsia="Calibri"/>
                <w:b/>
              </w:rPr>
              <w:t>REFORM 1:</w:t>
            </w:r>
            <w:r w:rsidR="00451CC2" w:rsidRPr="00451CC2">
              <w:rPr>
                <w:rFonts w:eastAsia="Calibri"/>
              </w:rPr>
              <w:t xml:space="preserve"> Online cash registers &amp; POS</w:t>
            </w:r>
          </w:p>
        </w:tc>
        <w:tc>
          <w:tcPr>
            <w:tcW w:w="1201" w:type="dxa"/>
            <w:tcMar>
              <w:left w:w="45" w:type="dxa"/>
              <w:right w:w="45" w:type="dxa"/>
            </w:tcMar>
            <w:vAlign w:val="center"/>
          </w:tcPr>
          <w:p w14:paraId="43A5A9A0" w14:textId="77777777" w:rsidR="00451CC2" w:rsidRDefault="00451CC2" w:rsidP="00A746D8">
            <w:pPr>
              <w:pStyle w:val="Tabletext"/>
              <w:rPr>
                <w:rFonts w:eastAsia="Calibri"/>
                <w:sz w:val="20"/>
                <w:szCs w:val="20"/>
              </w:rPr>
            </w:pPr>
            <w:r>
              <w:rPr>
                <w:rFonts w:eastAsia="Calibri"/>
                <w:sz w:val="20"/>
                <w:szCs w:val="20"/>
              </w:rPr>
              <w:t>RRF 16614</w:t>
            </w:r>
          </w:p>
        </w:tc>
        <w:tc>
          <w:tcPr>
            <w:tcW w:w="1228" w:type="dxa"/>
            <w:tcMar>
              <w:left w:w="45" w:type="dxa"/>
              <w:right w:w="45" w:type="dxa"/>
            </w:tcMar>
            <w:vAlign w:val="center"/>
          </w:tcPr>
          <w:p w14:paraId="4569379E" w14:textId="77777777" w:rsidR="00451CC2" w:rsidRPr="00451CC2" w:rsidRDefault="00451CC2" w:rsidP="00A746D8">
            <w:pPr>
              <w:pStyle w:val="Tabletext"/>
              <w:rPr>
                <w:rFonts w:eastAsia="Calibri"/>
                <w:sz w:val="20"/>
                <w:szCs w:val="20"/>
              </w:rPr>
            </w:pPr>
            <w:r w:rsidRPr="00451CC2">
              <w:rPr>
                <w:rFonts w:eastAsia="Calibri"/>
                <w:sz w:val="20"/>
                <w:szCs w:val="20"/>
              </w:rPr>
              <w:t>2025 CSR 1.3</w:t>
            </w:r>
          </w:p>
          <w:p w14:paraId="70876FBA" w14:textId="77777777" w:rsidR="00451CC2" w:rsidRPr="00451CC2" w:rsidRDefault="00451CC2" w:rsidP="00A746D8">
            <w:pPr>
              <w:pStyle w:val="Tabletext"/>
              <w:rPr>
                <w:rFonts w:eastAsia="Calibri"/>
                <w:sz w:val="20"/>
                <w:szCs w:val="20"/>
              </w:rPr>
            </w:pPr>
            <w:r w:rsidRPr="00451CC2">
              <w:rPr>
                <w:rFonts w:eastAsia="Calibri"/>
                <w:sz w:val="20"/>
                <w:szCs w:val="20"/>
              </w:rPr>
              <w:t>2025 CSR 1.4</w:t>
            </w:r>
          </w:p>
          <w:p w14:paraId="16D62FC7" w14:textId="77777777" w:rsidR="00451CC2" w:rsidRPr="00451CC2" w:rsidRDefault="00451CC2" w:rsidP="00A746D8">
            <w:pPr>
              <w:pStyle w:val="Tabletext"/>
              <w:rPr>
                <w:rFonts w:eastAsia="Calibri"/>
                <w:sz w:val="20"/>
                <w:szCs w:val="20"/>
              </w:rPr>
            </w:pPr>
            <w:r w:rsidRPr="00451CC2">
              <w:rPr>
                <w:rFonts w:eastAsia="Calibri"/>
                <w:sz w:val="20"/>
                <w:szCs w:val="20"/>
              </w:rPr>
              <w:t>2024 CSR 1.3</w:t>
            </w:r>
          </w:p>
          <w:p w14:paraId="31F3ACDA" w14:textId="77777777" w:rsidR="00451CC2" w:rsidRPr="00451CC2" w:rsidRDefault="00451CC2" w:rsidP="00A746D8">
            <w:pPr>
              <w:pStyle w:val="Tabletext"/>
              <w:rPr>
                <w:rFonts w:eastAsia="Calibri"/>
                <w:sz w:val="20"/>
                <w:szCs w:val="20"/>
              </w:rPr>
            </w:pPr>
            <w:r w:rsidRPr="00451CC2">
              <w:rPr>
                <w:rFonts w:eastAsia="Calibri"/>
                <w:sz w:val="20"/>
                <w:szCs w:val="20"/>
              </w:rPr>
              <w:t>2024 CSR 1.4</w:t>
            </w:r>
            <w:r w:rsidRPr="00451CC2">
              <w:rPr>
                <w:rFonts w:eastAsia="Calibri"/>
                <w:sz w:val="20"/>
                <w:szCs w:val="20"/>
              </w:rPr>
              <w:br/>
              <w:t>2023 CSR 1.6 2023 CSR 1.7 2023 CSR 1.8 2022 CSR 1.5</w:t>
            </w:r>
          </w:p>
          <w:p w14:paraId="6C3AEC94" w14:textId="77777777" w:rsidR="00451CC2" w:rsidRDefault="00451CC2" w:rsidP="00A746D8">
            <w:pPr>
              <w:pStyle w:val="Tabletext"/>
              <w:rPr>
                <w:rFonts w:eastAsia="Calibri"/>
                <w:sz w:val="20"/>
                <w:szCs w:val="20"/>
              </w:rPr>
            </w:pPr>
            <w:r>
              <w:rPr>
                <w:rFonts w:eastAsia="Calibri"/>
                <w:sz w:val="20"/>
                <w:szCs w:val="20"/>
              </w:rPr>
              <w:t>2020 CSR 1.1</w:t>
            </w:r>
          </w:p>
          <w:p w14:paraId="2B92CB40" w14:textId="77777777" w:rsidR="00451CC2" w:rsidRDefault="00451CC2" w:rsidP="00A746D8">
            <w:pPr>
              <w:pStyle w:val="Tabletext"/>
              <w:rPr>
                <w:rFonts w:eastAsia="Calibri"/>
                <w:sz w:val="20"/>
                <w:szCs w:val="20"/>
              </w:rPr>
            </w:pPr>
            <w:r>
              <w:rPr>
                <w:rFonts w:eastAsia="Calibri"/>
                <w:sz w:val="20"/>
                <w:szCs w:val="20"/>
              </w:rPr>
              <w:t>2020 CSR 3.1</w:t>
            </w:r>
          </w:p>
          <w:p w14:paraId="398C15DD" w14:textId="77777777" w:rsidR="00451CC2" w:rsidRDefault="00451CC2" w:rsidP="00A746D8">
            <w:pPr>
              <w:pStyle w:val="Tabletext"/>
              <w:rPr>
                <w:rFonts w:eastAsia="Calibri"/>
                <w:sz w:val="20"/>
                <w:szCs w:val="20"/>
              </w:rPr>
            </w:pPr>
            <w:r>
              <w:rPr>
                <w:rFonts w:eastAsia="Calibri"/>
                <w:sz w:val="20"/>
                <w:szCs w:val="20"/>
              </w:rPr>
              <w:t>2020 CSR 3.9 2019 CSR 2.3</w:t>
            </w:r>
          </w:p>
        </w:tc>
        <w:tc>
          <w:tcPr>
            <w:tcW w:w="1932" w:type="dxa"/>
            <w:tcMar>
              <w:left w:w="45" w:type="dxa"/>
              <w:right w:w="45" w:type="dxa"/>
            </w:tcMar>
            <w:vAlign w:val="center"/>
          </w:tcPr>
          <w:p w14:paraId="4E2FA14A" w14:textId="77777777" w:rsidR="00451CC2" w:rsidRPr="00451CC2" w:rsidRDefault="00451CC2" w:rsidP="00A746D8">
            <w:pPr>
              <w:pStyle w:val="Tabletext"/>
              <w:rPr>
                <w:rFonts w:eastAsia="Calibri"/>
                <w:sz w:val="20"/>
                <w:szCs w:val="20"/>
              </w:rPr>
            </w:pPr>
            <w:r w:rsidRPr="00451CC2">
              <w:rPr>
                <w:rFonts w:eastAsia="Calibri"/>
                <w:sz w:val="20"/>
                <w:szCs w:val="20"/>
              </w:rPr>
              <w:t>Social and Economic resilience &amp; Fair green and digital transition</w:t>
            </w:r>
          </w:p>
        </w:tc>
        <w:tc>
          <w:tcPr>
            <w:tcW w:w="1797" w:type="dxa"/>
            <w:tcMar>
              <w:left w:w="45" w:type="dxa"/>
              <w:right w:w="45" w:type="dxa"/>
            </w:tcMar>
            <w:vAlign w:val="center"/>
          </w:tcPr>
          <w:p w14:paraId="144B8434" w14:textId="77777777" w:rsidR="00451CC2" w:rsidRDefault="00451CC2" w:rsidP="00A746D8">
            <w:pPr>
              <w:pStyle w:val="Tabletext"/>
              <w:rPr>
                <w:rFonts w:eastAsia="Calibri"/>
                <w:sz w:val="20"/>
                <w:szCs w:val="20"/>
              </w:rPr>
            </w:pPr>
            <w:r>
              <w:rPr>
                <w:rFonts w:eastAsia="Calibri"/>
                <w:sz w:val="20"/>
                <w:szCs w:val="20"/>
              </w:rPr>
              <w:t>Completed</w:t>
            </w:r>
          </w:p>
        </w:tc>
      </w:tr>
      <w:tr w:rsidR="00451CC2" w14:paraId="023F2459" w14:textId="77777777" w:rsidTr="007A373B">
        <w:trPr>
          <w:trHeight w:val="227"/>
          <w:jc w:val="center"/>
        </w:trPr>
        <w:tc>
          <w:tcPr>
            <w:tcW w:w="2744" w:type="dxa"/>
            <w:tcMar>
              <w:left w:w="45" w:type="dxa"/>
              <w:right w:w="45" w:type="dxa"/>
            </w:tcMar>
            <w:vAlign w:val="center"/>
          </w:tcPr>
          <w:p w14:paraId="299A5F54" w14:textId="77777777" w:rsidR="00451CC2" w:rsidRPr="00451CC2" w:rsidRDefault="00540671" w:rsidP="00A746D8">
            <w:pPr>
              <w:pStyle w:val="Tabletext"/>
              <w:rPr>
                <w:rFonts w:eastAsia="Calibri"/>
              </w:rPr>
            </w:pPr>
            <w:r w:rsidRPr="00540671">
              <w:rPr>
                <w:rFonts w:eastAsia="Calibri"/>
                <w:b/>
              </w:rPr>
              <w:t>REFORM 2:</w:t>
            </w:r>
            <w:r w:rsidR="00451CC2" w:rsidRPr="00451CC2">
              <w:rPr>
                <w:rFonts w:eastAsia="Calibri"/>
              </w:rPr>
              <w:t xml:space="preserve"> Codification and simplification of tax legislation</w:t>
            </w:r>
          </w:p>
        </w:tc>
        <w:tc>
          <w:tcPr>
            <w:tcW w:w="1201" w:type="dxa"/>
            <w:tcMar>
              <w:left w:w="45" w:type="dxa"/>
              <w:right w:w="45" w:type="dxa"/>
            </w:tcMar>
            <w:vAlign w:val="center"/>
          </w:tcPr>
          <w:p w14:paraId="2247E50C" w14:textId="77777777" w:rsidR="00451CC2" w:rsidRDefault="00451CC2" w:rsidP="00A746D8">
            <w:pPr>
              <w:pStyle w:val="Tabletext"/>
              <w:rPr>
                <w:rFonts w:eastAsia="Calibri"/>
                <w:sz w:val="20"/>
                <w:szCs w:val="20"/>
              </w:rPr>
            </w:pPr>
            <w:r>
              <w:rPr>
                <w:rFonts w:eastAsia="Calibri"/>
                <w:sz w:val="20"/>
                <w:szCs w:val="20"/>
              </w:rPr>
              <w:t>RRF 16643</w:t>
            </w:r>
          </w:p>
        </w:tc>
        <w:tc>
          <w:tcPr>
            <w:tcW w:w="1228" w:type="dxa"/>
            <w:tcMar>
              <w:left w:w="45" w:type="dxa"/>
              <w:right w:w="45" w:type="dxa"/>
            </w:tcMar>
            <w:vAlign w:val="center"/>
          </w:tcPr>
          <w:p w14:paraId="3B2AB46F" w14:textId="77777777" w:rsidR="00451CC2" w:rsidRPr="00451CC2" w:rsidRDefault="00451CC2" w:rsidP="00A746D8">
            <w:pPr>
              <w:pStyle w:val="Tabletext"/>
              <w:rPr>
                <w:rFonts w:eastAsia="Calibri"/>
                <w:sz w:val="20"/>
                <w:szCs w:val="20"/>
              </w:rPr>
            </w:pPr>
            <w:r w:rsidRPr="00451CC2">
              <w:rPr>
                <w:rFonts w:eastAsia="Calibri"/>
                <w:sz w:val="20"/>
                <w:szCs w:val="20"/>
              </w:rPr>
              <w:t>2025 CSR 1.4</w:t>
            </w:r>
          </w:p>
          <w:p w14:paraId="7058CD34" w14:textId="77777777" w:rsidR="00451CC2" w:rsidRPr="00451CC2" w:rsidRDefault="00451CC2" w:rsidP="00A746D8">
            <w:pPr>
              <w:pStyle w:val="Tabletext"/>
              <w:rPr>
                <w:rFonts w:eastAsia="Calibri"/>
                <w:sz w:val="20"/>
                <w:szCs w:val="20"/>
              </w:rPr>
            </w:pPr>
            <w:r w:rsidRPr="00451CC2">
              <w:rPr>
                <w:rFonts w:eastAsia="Calibri"/>
                <w:sz w:val="20"/>
                <w:szCs w:val="20"/>
              </w:rPr>
              <w:t>2024 CSR 1.3</w:t>
            </w:r>
          </w:p>
          <w:p w14:paraId="19C53DA7" w14:textId="77777777" w:rsidR="00451CC2" w:rsidRPr="00451CC2" w:rsidRDefault="00451CC2" w:rsidP="00A746D8">
            <w:pPr>
              <w:pStyle w:val="Tabletext"/>
              <w:rPr>
                <w:rFonts w:eastAsia="Calibri"/>
                <w:sz w:val="20"/>
                <w:szCs w:val="20"/>
              </w:rPr>
            </w:pPr>
            <w:r w:rsidRPr="00451CC2">
              <w:rPr>
                <w:rFonts w:eastAsia="Calibri"/>
                <w:sz w:val="20"/>
                <w:szCs w:val="20"/>
              </w:rPr>
              <w:t xml:space="preserve">2023 CSR 1.7 </w:t>
            </w:r>
          </w:p>
          <w:p w14:paraId="3EDAE997" w14:textId="77777777" w:rsidR="00451CC2" w:rsidRPr="00451CC2" w:rsidRDefault="00451CC2" w:rsidP="00A746D8">
            <w:pPr>
              <w:pStyle w:val="Tabletext"/>
              <w:rPr>
                <w:rFonts w:eastAsia="Calibri"/>
                <w:sz w:val="20"/>
                <w:szCs w:val="20"/>
              </w:rPr>
            </w:pPr>
            <w:r w:rsidRPr="00451CC2">
              <w:rPr>
                <w:rFonts w:eastAsia="Calibri"/>
                <w:sz w:val="20"/>
                <w:szCs w:val="20"/>
              </w:rPr>
              <w:t>2020 CSR 1.1</w:t>
            </w:r>
          </w:p>
          <w:p w14:paraId="6F4008FD" w14:textId="77777777" w:rsidR="00451CC2" w:rsidRPr="00451CC2" w:rsidRDefault="00451CC2" w:rsidP="00A746D8">
            <w:pPr>
              <w:pStyle w:val="Tabletext"/>
              <w:rPr>
                <w:rFonts w:eastAsia="Calibri"/>
                <w:sz w:val="20"/>
                <w:szCs w:val="20"/>
              </w:rPr>
            </w:pPr>
            <w:r w:rsidRPr="00451CC2">
              <w:rPr>
                <w:rFonts w:eastAsia="Calibri"/>
                <w:sz w:val="20"/>
                <w:szCs w:val="20"/>
              </w:rPr>
              <w:t>2020 CSR 3.9</w:t>
            </w:r>
          </w:p>
          <w:p w14:paraId="06A5C887" w14:textId="77777777" w:rsidR="00451CC2" w:rsidRDefault="00451CC2" w:rsidP="00A746D8">
            <w:pPr>
              <w:pStyle w:val="Tabletext"/>
              <w:rPr>
                <w:rFonts w:eastAsia="Calibri"/>
                <w:sz w:val="20"/>
                <w:szCs w:val="20"/>
              </w:rPr>
            </w:pPr>
            <w:r>
              <w:rPr>
                <w:rFonts w:eastAsia="Calibri"/>
                <w:sz w:val="20"/>
                <w:szCs w:val="20"/>
              </w:rPr>
              <w:t xml:space="preserve">2020 CSR 4.1 </w:t>
            </w:r>
          </w:p>
          <w:p w14:paraId="210A84D6" w14:textId="77777777" w:rsidR="00451CC2" w:rsidRDefault="00451CC2" w:rsidP="00A746D8">
            <w:pPr>
              <w:pStyle w:val="Tabletext"/>
              <w:rPr>
                <w:rFonts w:eastAsia="Calibri"/>
                <w:sz w:val="20"/>
                <w:szCs w:val="20"/>
              </w:rPr>
            </w:pPr>
            <w:r>
              <w:rPr>
                <w:rFonts w:eastAsia="Calibri"/>
                <w:sz w:val="20"/>
                <w:szCs w:val="20"/>
              </w:rPr>
              <w:t>2019 CSR 1.1 2019 CSR 2.3</w:t>
            </w:r>
          </w:p>
        </w:tc>
        <w:tc>
          <w:tcPr>
            <w:tcW w:w="1932" w:type="dxa"/>
            <w:tcMar>
              <w:left w:w="45" w:type="dxa"/>
              <w:right w:w="45" w:type="dxa"/>
            </w:tcMar>
            <w:vAlign w:val="center"/>
          </w:tcPr>
          <w:p w14:paraId="2B96DC83" w14:textId="77777777" w:rsidR="00451CC2" w:rsidRDefault="00451CC2" w:rsidP="00A746D8">
            <w:pPr>
              <w:pStyle w:val="Tabletext"/>
              <w:rPr>
                <w:rFonts w:eastAsia="Calibri"/>
                <w:sz w:val="20"/>
                <w:szCs w:val="20"/>
              </w:rPr>
            </w:pPr>
            <w:r>
              <w:rPr>
                <w:rFonts w:eastAsia="Calibri"/>
                <w:sz w:val="20"/>
                <w:szCs w:val="20"/>
              </w:rPr>
              <w:t>Social and Economic resilience</w:t>
            </w:r>
          </w:p>
        </w:tc>
        <w:tc>
          <w:tcPr>
            <w:tcW w:w="1797" w:type="dxa"/>
            <w:tcMar>
              <w:left w:w="45" w:type="dxa"/>
              <w:right w:w="45" w:type="dxa"/>
            </w:tcMar>
            <w:vAlign w:val="center"/>
          </w:tcPr>
          <w:p w14:paraId="55964E1A" w14:textId="77777777" w:rsidR="00451CC2" w:rsidRDefault="00451CC2" w:rsidP="00A746D8">
            <w:pPr>
              <w:pStyle w:val="Tabletext"/>
              <w:rPr>
                <w:rFonts w:eastAsia="Calibri"/>
                <w:sz w:val="20"/>
                <w:szCs w:val="20"/>
              </w:rPr>
            </w:pPr>
            <w:r>
              <w:rPr>
                <w:rFonts w:eastAsia="Calibri"/>
                <w:sz w:val="20"/>
                <w:szCs w:val="20"/>
              </w:rPr>
              <w:t>On track</w:t>
            </w:r>
          </w:p>
        </w:tc>
      </w:tr>
      <w:tr w:rsidR="00451CC2" w14:paraId="780379AB" w14:textId="77777777" w:rsidTr="007A373B">
        <w:trPr>
          <w:trHeight w:val="227"/>
          <w:jc w:val="center"/>
        </w:trPr>
        <w:tc>
          <w:tcPr>
            <w:tcW w:w="2744" w:type="dxa"/>
            <w:tcMar>
              <w:left w:w="45" w:type="dxa"/>
              <w:right w:w="45" w:type="dxa"/>
            </w:tcMar>
            <w:vAlign w:val="center"/>
          </w:tcPr>
          <w:p w14:paraId="4B622932" w14:textId="77777777" w:rsidR="00451CC2" w:rsidRDefault="00540671" w:rsidP="00A746D8">
            <w:pPr>
              <w:pStyle w:val="Tabletext"/>
              <w:rPr>
                <w:rFonts w:eastAsia="Calibri"/>
              </w:rPr>
            </w:pPr>
            <w:r w:rsidRPr="00540671">
              <w:rPr>
                <w:rFonts w:eastAsia="Calibri"/>
                <w:b/>
              </w:rPr>
              <w:t>REFORM 3:</w:t>
            </w:r>
            <w:r w:rsidR="00451CC2">
              <w:rPr>
                <w:rFonts w:eastAsia="Calibri"/>
              </w:rPr>
              <w:t xml:space="preserve"> Accounting reform </w:t>
            </w:r>
          </w:p>
        </w:tc>
        <w:tc>
          <w:tcPr>
            <w:tcW w:w="1201" w:type="dxa"/>
            <w:tcMar>
              <w:left w:w="45" w:type="dxa"/>
              <w:right w:w="45" w:type="dxa"/>
            </w:tcMar>
            <w:vAlign w:val="center"/>
          </w:tcPr>
          <w:p w14:paraId="0FD34C38" w14:textId="77777777" w:rsidR="00451CC2" w:rsidRDefault="00451CC2" w:rsidP="00A746D8">
            <w:pPr>
              <w:pStyle w:val="Tabletext"/>
              <w:rPr>
                <w:rFonts w:eastAsia="Calibri"/>
                <w:sz w:val="20"/>
                <w:szCs w:val="20"/>
              </w:rPr>
            </w:pPr>
            <w:r>
              <w:rPr>
                <w:rFonts w:eastAsia="Calibri"/>
                <w:sz w:val="20"/>
                <w:szCs w:val="20"/>
              </w:rPr>
              <w:t>RRF 16974</w:t>
            </w:r>
          </w:p>
        </w:tc>
        <w:tc>
          <w:tcPr>
            <w:tcW w:w="1228" w:type="dxa"/>
            <w:tcMar>
              <w:left w:w="45" w:type="dxa"/>
              <w:right w:w="45" w:type="dxa"/>
            </w:tcMar>
            <w:vAlign w:val="center"/>
          </w:tcPr>
          <w:p w14:paraId="381FBDC9" w14:textId="77777777" w:rsidR="00451CC2" w:rsidRPr="00451CC2" w:rsidRDefault="00451CC2" w:rsidP="00A746D8">
            <w:pPr>
              <w:pStyle w:val="Tabletext"/>
              <w:rPr>
                <w:rFonts w:eastAsia="Calibri"/>
                <w:sz w:val="20"/>
                <w:szCs w:val="20"/>
              </w:rPr>
            </w:pPr>
            <w:r w:rsidRPr="00451CC2">
              <w:rPr>
                <w:rFonts w:eastAsia="Calibri"/>
                <w:sz w:val="20"/>
                <w:szCs w:val="20"/>
              </w:rPr>
              <w:t>2020 CSR 1.1 2020 CSR 3.9 2020 CSR 3.8 2019 CSR 2.3 2019 CSR 2.6</w:t>
            </w:r>
          </w:p>
        </w:tc>
        <w:tc>
          <w:tcPr>
            <w:tcW w:w="1932" w:type="dxa"/>
            <w:tcMar>
              <w:left w:w="45" w:type="dxa"/>
              <w:right w:w="45" w:type="dxa"/>
            </w:tcMar>
            <w:vAlign w:val="center"/>
          </w:tcPr>
          <w:p w14:paraId="34C09FC3" w14:textId="77777777" w:rsidR="00451CC2" w:rsidRDefault="00451CC2" w:rsidP="00A746D8">
            <w:pPr>
              <w:pStyle w:val="Tabletext"/>
              <w:rPr>
                <w:rFonts w:eastAsia="Calibri"/>
                <w:sz w:val="20"/>
                <w:szCs w:val="20"/>
              </w:rPr>
            </w:pPr>
            <w:r>
              <w:rPr>
                <w:rFonts w:eastAsia="Calibri"/>
                <w:sz w:val="20"/>
                <w:szCs w:val="20"/>
              </w:rPr>
              <w:t>Social and Economic resilience</w:t>
            </w:r>
          </w:p>
        </w:tc>
        <w:tc>
          <w:tcPr>
            <w:tcW w:w="1797" w:type="dxa"/>
            <w:tcMar>
              <w:left w:w="45" w:type="dxa"/>
              <w:right w:w="45" w:type="dxa"/>
            </w:tcMar>
            <w:vAlign w:val="center"/>
          </w:tcPr>
          <w:p w14:paraId="5CBDCA37" w14:textId="77777777" w:rsidR="00451CC2" w:rsidRDefault="00451CC2" w:rsidP="00A746D8">
            <w:pPr>
              <w:pStyle w:val="Tabletext"/>
              <w:rPr>
                <w:rFonts w:eastAsia="Calibri"/>
                <w:sz w:val="20"/>
                <w:szCs w:val="20"/>
              </w:rPr>
            </w:pPr>
            <w:r>
              <w:rPr>
                <w:rFonts w:eastAsia="Calibri"/>
                <w:sz w:val="20"/>
                <w:szCs w:val="20"/>
              </w:rPr>
              <w:t>On track</w:t>
            </w:r>
          </w:p>
        </w:tc>
      </w:tr>
      <w:tr w:rsidR="00451CC2" w14:paraId="08B1C225" w14:textId="77777777" w:rsidTr="007A373B">
        <w:trPr>
          <w:trHeight w:val="227"/>
          <w:jc w:val="center"/>
        </w:trPr>
        <w:tc>
          <w:tcPr>
            <w:tcW w:w="2744" w:type="dxa"/>
            <w:tcMar>
              <w:left w:w="45" w:type="dxa"/>
              <w:right w:w="45" w:type="dxa"/>
            </w:tcMar>
            <w:vAlign w:val="center"/>
          </w:tcPr>
          <w:p w14:paraId="385F7F38" w14:textId="77777777" w:rsidR="00451CC2" w:rsidRPr="00451CC2" w:rsidRDefault="00540671" w:rsidP="00A746D8">
            <w:pPr>
              <w:pStyle w:val="Tabletext"/>
              <w:rPr>
                <w:rFonts w:eastAsia="Calibri"/>
              </w:rPr>
            </w:pPr>
            <w:r w:rsidRPr="00540671">
              <w:rPr>
                <w:rFonts w:eastAsia="Calibri"/>
                <w:b/>
              </w:rPr>
              <w:t>REFORM 4:</w:t>
            </w:r>
            <w:r w:rsidR="00451CC2" w:rsidRPr="00451CC2">
              <w:rPr>
                <w:rFonts w:eastAsia="Calibri"/>
              </w:rPr>
              <w:t xml:space="preserve"> Modifications to Greece’s tax policy framework</w:t>
            </w:r>
          </w:p>
        </w:tc>
        <w:tc>
          <w:tcPr>
            <w:tcW w:w="1201" w:type="dxa"/>
            <w:tcMar>
              <w:left w:w="45" w:type="dxa"/>
              <w:right w:w="45" w:type="dxa"/>
            </w:tcMar>
            <w:vAlign w:val="center"/>
          </w:tcPr>
          <w:p w14:paraId="42A068FA" w14:textId="77777777" w:rsidR="00451CC2" w:rsidRDefault="00451CC2" w:rsidP="00A746D8">
            <w:pPr>
              <w:pStyle w:val="Tabletext"/>
              <w:rPr>
                <w:rFonts w:eastAsia="Calibri"/>
                <w:sz w:val="20"/>
                <w:szCs w:val="20"/>
              </w:rPr>
            </w:pPr>
            <w:r>
              <w:rPr>
                <w:rFonts w:eastAsia="Calibri"/>
                <w:sz w:val="20"/>
                <w:szCs w:val="20"/>
              </w:rPr>
              <w:t>RRF 16985</w:t>
            </w:r>
          </w:p>
        </w:tc>
        <w:tc>
          <w:tcPr>
            <w:tcW w:w="1228" w:type="dxa"/>
            <w:tcMar>
              <w:left w:w="45" w:type="dxa"/>
              <w:right w:w="45" w:type="dxa"/>
            </w:tcMar>
            <w:vAlign w:val="center"/>
          </w:tcPr>
          <w:p w14:paraId="1EE80C4C" w14:textId="77777777" w:rsidR="00451CC2" w:rsidRPr="00451CC2" w:rsidRDefault="00451CC2" w:rsidP="00A746D8">
            <w:pPr>
              <w:pStyle w:val="Tabletext"/>
              <w:rPr>
                <w:rFonts w:eastAsia="Calibri"/>
                <w:sz w:val="20"/>
                <w:szCs w:val="20"/>
              </w:rPr>
            </w:pPr>
            <w:r w:rsidRPr="00451CC2">
              <w:rPr>
                <w:rFonts w:eastAsia="Calibri"/>
                <w:sz w:val="20"/>
                <w:szCs w:val="20"/>
              </w:rPr>
              <w:t>2025 CSR 1.4</w:t>
            </w:r>
          </w:p>
          <w:p w14:paraId="472C9268" w14:textId="77777777" w:rsidR="00451CC2" w:rsidRPr="00451CC2" w:rsidRDefault="00451CC2" w:rsidP="00A746D8">
            <w:pPr>
              <w:pStyle w:val="Tabletext"/>
              <w:rPr>
                <w:rFonts w:eastAsia="Calibri"/>
                <w:sz w:val="20"/>
                <w:szCs w:val="20"/>
              </w:rPr>
            </w:pPr>
            <w:r w:rsidRPr="00451CC2">
              <w:rPr>
                <w:rFonts w:eastAsia="Calibri"/>
                <w:sz w:val="20"/>
                <w:szCs w:val="20"/>
              </w:rPr>
              <w:t>2025 CSR 1.3</w:t>
            </w:r>
          </w:p>
          <w:p w14:paraId="13F96E9C" w14:textId="77777777" w:rsidR="00451CC2" w:rsidRPr="00451CC2" w:rsidRDefault="00451CC2" w:rsidP="00A746D8">
            <w:pPr>
              <w:pStyle w:val="Tabletext"/>
              <w:rPr>
                <w:rFonts w:eastAsia="Calibri"/>
                <w:sz w:val="20"/>
                <w:szCs w:val="20"/>
              </w:rPr>
            </w:pPr>
            <w:r w:rsidRPr="00451CC2">
              <w:rPr>
                <w:rFonts w:eastAsia="Calibri"/>
                <w:sz w:val="20"/>
                <w:szCs w:val="20"/>
              </w:rPr>
              <w:t>2024 CSR 1.3</w:t>
            </w:r>
          </w:p>
          <w:p w14:paraId="63150D71" w14:textId="77777777" w:rsidR="00451CC2" w:rsidRPr="00451CC2" w:rsidRDefault="00451CC2" w:rsidP="00A746D8">
            <w:pPr>
              <w:pStyle w:val="Tabletext"/>
              <w:rPr>
                <w:rFonts w:eastAsia="Calibri"/>
                <w:sz w:val="20"/>
                <w:szCs w:val="20"/>
              </w:rPr>
            </w:pPr>
            <w:r w:rsidRPr="00451CC2">
              <w:rPr>
                <w:rFonts w:eastAsia="Calibri"/>
                <w:sz w:val="20"/>
                <w:szCs w:val="20"/>
              </w:rPr>
              <w:t>2024 CSR 1.4 2023.CSR 1.6 2023 CSR 1.8 2023 CSR 1.7 2022 CSR 1.5 2020 CSR 3.9</w:t>
            </w:r>
          </w:p>
          <w:p w14:paraId="39B19FC9" w14:textId="77777777" w:rsidR="00451CC2" w:rsidRDefault="00451CC2" w:rsidP="00A746D8">
            <w:pPr>
              <w:pStyle w:val="Tabletext"/>
              <w:rPr>
                <w:rFonts w:eastAsia="Calibri"/>
                <w:sz w:val="20"/>
                <w:szCs w:val="20"/>
              </w:rPr>
            </w:pPr>
            <w:r>
              <w:rPr>
                <w:rFonts w:eastAsia="Calibri"/>
                <w:sz w:val="20"/>
                <w:szCs w:val="20"/>
              </w:rPr>
              <w:t>2019 CSR 2.3</w:t>
            </w:r>
          </w:p>
          <w:p w14:paraId="6E4BC5E5" w14:textId="77777777" w:rsidR="00451CC2" w:rsidRDefault="00451CC2" w:rsidP="00A746D8">
            <w:pPr>
              <w:pStyle w:val="Tabletext"/>
              <w:rPr>
                <w:rFonts w:eastAsia="Calibri"/>
                <w:sz w:val="20"/>
                <w:szCs w:val="20"/>
              </w:rPr>
            </w:pPr>
            <w:r>
              <w:rPr>
                <w:rFonts w:eastAsia="Calibri"/>
                <w:sz w:val="20"/>
                <w:szCs w:val="20"/>
              </w:rPr>
              <w:t>2019 CSR 1.1</w:t>
            </w:r>
          </w:p>
        </w:tc>
        <w:tc>
          <w:tcPr>
            <w:tcW w:w="1932" w:type="dxa"/>
            <w:tcMar>
              <w:left w:w="45" w:type="dxa"/>
              <w:right w:w="45" w:type="dxa"/>
            </w:tcMar>
            <w:vAlign w:val="center"/>
          </w:tcPr>
          <w:p w14:paraId="6BF3E743" w14:textId="77777777" w:rsidR="00451CC2" w:rsidRPr="00451CC2" w:rsidRDefault="00451CC2" w:rsidP="00A746D8">
            <w:pPr>
              <w:pStyle w:val="Tabletext"/>
              <w:rPr>
                <w:rFonts w:eastAsia="Calibri"/>
                <w:sz w:val="20"/>
                <w:szCs w:val="20"/>
              </w:rPr>
            </w:pPr>
            <w:r w:rsidRPr="00451CC2">
              <w:rPr>
                <w:rFonts w:eastAsia="Calibri"/>
                <w:sz w:val="20"/>
                <w:szCs w:val="20"/>
              </w:rPr>
              <w:t>Social and Economic resilience &amp; Fair green and digital transition</w:t>
            </w:r>
          </w:p>
        </w:tc>
        <w:tc>
          <w:tcPr>
            <w:tcW w:w="1797" w:type="dxa"/>
            <w:tcMar>
              <w:left w:w="45" w:type="dxa"/>
              <w:right w:w="45" w:type="dxa"/>
            </w:tcMar>
            <w:vAlign w:val="center"/>
          </w:tcPr>
          <w:p w14:paraId="06FBE5F6" w14:textId="77777777" w:rsidR="00451CC2" w:rsidRDefault="00451CC2" w:rsidP="00A746D8">
            <w:pPr>
              <w:pStyle w:val="Tabletext"/>
              <w:rPr>
                <w:rFonts w:eastAsia="Calibri"/>
                <w:sz w:val="20"/>
                <w:szCs w:val="20"/>
              </w:rPr>
            </w:pPr>
            <w:r>
              <w:rPr>
                <w:rFonts w:eastAsia="Calibri"/>
                <w:sz w:val="20"/>
                <w:szCs w:val="20"/>
              </w:rPr>
              <w:t>Completed</w:t>
            </w:r>
          </w:p>
        </w:tc>
      </w:tr>
      <w:tr w:rsidR="00451CC2" w14:paraId="4EEF8475" w14:textId="77777777" w:rsidTr="007A373B">
        <w:trPr>
          <w:trHeight w:val="227"/>
          <w:jc w:val="center"/>
        </w:trPr>
        <w:tc>
          <w:tcPr>
            <w:tcW w:w="2744" w:type="dxa"/>
            <w:tcMar>
              <w:left w:w="45" w:type="dxa"/>
              <w:right w:w="45" w:type="dxa"/>
            </w:tcMar>
            <w:vAlign w:val="center"/>
          </w:tcPr>
          <w:p w14:paraId="2671CCA0" w14:textId="77777777" w:rsidR="00451CC2" w:rsidRPr="00451CC2" w:rsidRDefault="00540671" w:rsidP="00A746D8">
            <w:pPr>
              <w:pStyle w:val="Tabletext"/>
              <w:rPr>
                <w:rFonts w:eastAsia="Calibri"/>
              </w:rPr>
            </w:pPr>
            <w:r w:rsidRPr="00540671">
              <w:rPr>
                <w:rFonts w:eastAsia="Calibri"/>
                <w:b/>
              </w:rPr>
              <w:t>REFORM 5:</w:t>
            </w:r>
            <w:r w:rsidR="00451CC2" w:rsidRPr="00451CC2">
              <w:rPr>
                <w:rFonts w:eastAsia="Calibri"/>
              </w:rPr>
              <w:t xml:space="preserve"> </w:t>
            </w:r>
            <w:proofErr w:type="spellStart"/>
            <w:r w:rsidR="00451CC2" w:rsidRPr="00451CC2">
              <w:rPr>
                <w:rFonts w:eastAsia="Calibri"/>
              </w:rPr>
              <w:t>Incentivisation</w:t>
            </w:r>
            <w:proofErr w:type="spellEnd"/>
            <w:r w:rsidR="00451CC2" w:rsidRPr="00451CC2">
              <w:rPr>
                <w:rFonts w:eastAsia="Calibri"/>
              </w:rPr>
              <w:t xml:space="preserve"> regime for productivity and extroversion of enterprises</w:t>
            </w:r>
          </w:p>
        </w:tc>
        <w:tc>
          <w:tcPr>
            <w:tcW w:w="1201" w:type="dxa"/>
            <w:tcMar>
              <w:left w:w="45" w:type="dxa"/>
              <w:right w:w="45" w:type="dxa"/>
            </w:tcMar>
            <w:vAlign w:val="center"/>
          </w:tcPr>
          <w:p w14:paraId="76C3DF07" w14:textId="77777777" w:rsidR="00451CC2" w:rsidRDefault="00451CC2" w:rsidP="00A746D8">
            <w:pPr>
              <w:pStyle w:val="Tabletext"/>
              <w:rPr>
                <w:rFonts w:eastAsia="Calibri"/>
                <w:sz w:val="20"/>
                <w:szCs w:val="20"/>
              </w:rPr>
            </w:pPr>
            <w:r>
              <w:rPr>
                <w:rFonts w:eastAsia="Calibri"/>
                <w:sz w:val="20"/>
                <w:szCs w:val="20"/>
              </w:rPr>
              <w:t>RRF 16598</w:t>
            </w:r>
          </w:p>
        </w:tc>
        <w:tc>
          <w:tcPr>
            <w:tcW w:w="1228" w:type="dxa"/>
            <w:tcMar>
              <w:left w:w="45" w:type="dxa"/>
              <w:right w:w="45" w:type="dxa"/>
            </w:tcMar>
            <w:vAlign w:val="center"/>
          </w:tcPr>
          <w:p w14:paraId="535005A1" w14:textId="77777777" w:rsidR="00451CC2" w:rsidRDefault="00451CC2" w:rsidP="00A746D8">
            <w:pPr>
              <w:pStyle w:val="Tabletext"/>
              <w:rPr>
                <w:rFonts w:eastAsia="Calibri"/>
                <w:sz w:val="20"/>
                <w:szCs w:val="20"/>
              </w:rPr>
            </w:pPr>
            <w:r>
              <w:rPr>
                <w:rFonts w:eastAsia="Calibri"/>
                <w:sz w:val="20"/>
                <w:szCs w:val="20"/>
              </w:rPr>
              <w:t>2024 CSR 1.7</w:t>
            </w:r>
          </w:p>
          <w:p w14:paraId="3FF4D585" w14:textId="77777777" w:rsidR="00451CC2" w:rsidRDefault="00451CC2" w:rsidP="00A746D8">
            <w:pPr>
              <w:pStyle w:val="Tabletext"/>
              <w:rPr>
                <w:rFonts w:eastAsia="Calibri"/>
                <w:sz w:val="20"/>
                <w:szCs w:val="20"/>
              </w:rPr>
            </w:pPr>
            <w:r>
              <w:rPr>
                <w:rFonts w:eastAsia="Calibri"/>
                <w:sz w:val="20"/>
                <w:szCs w:val="20"/>
              </w:rPr>
              <w:t>2020 CSR 3.3</w:t>
            </w:r>
          </w:p>
          <w:p w14:paraId="2EB0159A" w14:textId="77777777" w:rsidR="00451CC2" w:rsidRDefault="00451CC2" w:rsidP="00A746D8">
            <w:pPr>
              <w:pStyle w:val="Tabletext"/>
              <w:rPr>
                <w:rFonts w:eastAsia="Calibri"/>
                <w:sz w:val="20"/>
                <w:szCs w:val="20"/>
              </w:rPr>
            </w:pPr>
            <w:r>
              <w:rPr>
                <w:rFonts w:eastAsia="Calibri"/>
                <w:sz w:val="20"/>
                <w:szCs w:val="20"/>
              </w:rPr>
              <w:t xml:space="preserve">2020 CSR 1.1 </w:t>
            </w:r>
          </w:p>
        </w:tc>
        <w:tc>
          <w:tcPr>
            <w:tcW w:w="1932" w:type="dxa"/>
            <w:tcMar>
              <w:left w:w="45" w:type="dxa"/>
              <w:right w:w="45" w:type="dxa"/>
            </w:tcMar>
            <w:vAlign w:val="center"/>
          </w:tcPr>
          <w:p w14:paraId="343976F5" w14:textId="77777777" w:rsidR="00451CC2" w:rsidRDefault="00451CC2" w:rsidP="00A746D8">
            <w:pPr>
              <w:pStyle w:val="Tabletext"/>
              <w:rPr>
                <w:rFonts w:eastAsia="Calibri"/>
                <w:sz w:val="20"/>
                <w:szCs w:val="20"/>
              </w:rPr>
            </w:pPr>
            <w:r>
              <w:rPr>
                <w:rFonts w:eastAsia="Calibri"/>
                <w:sz w:val="20"/>
                <w:szCs w:val="20"/>
              </w:rPr>
              <w:t>Social and Economic resilience</w:t>
            </w:r>
          </w:p>
        </w:tc>
        <w:tc>
          <w:tcPr>
            <w:tcW w:w="1797" w:type="dxa"/>
            <w:tcMar>
              <w:left w:w="45" w:type="dxa"/>
              <w:right w:w="45" w:type="dxa"/>
            </w:tcMar>
            <w:vAlign w:val="center"/>
          </w:tcPr>
          <w:p w14:paraId="1B956FD2" w14:textId="77777777" w:rsidR="00451CC2" w:rsidRDefault="00451CC2" w:rsidP="00A746D8">
            <w:pPr>
              <w:pStyle w:val="Tabletext"/>
              <w:rPr>
                <w:rFonts w:eastAsia="Calibri"/>
                <w:sz w:val="20"/>
                <w:szCs w:val="20"/>
              </w:rPr>
            </w:pPr>
            <w:r>
              <w:rPr>
                <w:rFonts w:eastAsia="Calibri"/>
                <w:sz w:val="20"/>
                <w:szCs w:val="20"/>
              </w:rPr>
              <w:t>Completed</w:t>
            </w:r>
          </w:p>
        </w:tc>
      </w:tr>
      <w:tr w:rsidR="00451CC2" w14:paraId="6FCFB984" w14:textId="77777777" w:rsidTr="007A373B">
        <w:trPr>
          <w:trHeight w:val="227"/>
          <w:jc w:val="center"/>
        </w:trPr>
        <w:tc>
          <w:tcPr>
            <w:tcW w:w="2744" w:type="dxa"/>
            <w:tcMar>
              <w:left w:w="45" w:type="dxa"/>
              <w:right w:w="45" w:type="dxa"/>
            </w:tcMar>
            <w:vAlign w:val="center"/>
          </w:tcPr>
          <w:p w14:paraId="55B96D0C" w14:textId="77777777" w:rsidR="00451CC2" w:rsidRPr="00451CC2" w:rsidRDefault="00540671" w:rsidP="00A746D8">
            <w:pPr>
              <w:pStyle w:val="Tabletext"/>
              <w:rPr>
                <w:rFonts w:eastAsia="Calibri"/>
              </w:rPr>
            </w:pPr>
            <w:r w:rsidRPr="00540671">
              <w:rPr>
                <w:rFonts w:eastAsia="Calibri"/>
                <w:b/>
              </w:rPr>
              <w:t>REFORM 6:</w:t>
            </w:r>
            <w:r w:rsidR="00451CC2" w:rsidRPr="00451CC2">
              <w:rPr>
                <w:rFonts w:eastAsia="Calibri"/>
              </w:rPr>
              <w:t xml:space="preserve"> Strengthening the capacity of the financial system to overcome legacy challenges and finance the real economy</w:t>
            </w:r>
          </w:p>
        </w:tc>
        <w:tc>
          <w:tcPr>
            <w:tcW w:w="1201" w:type="dxa"/>
            <w:tcMar>
              <w:left w:w="45" w:type="dxa"/>
              <w:right w:w="45" w:type="dxa"/>
            </w:tcMar>
            <w:vAlign w:val="center"/>
          </w:tcPr>
          <w:p w14:paraId="45993874" w14:textId="77777777" w:rsidR="00451CC2" w:rsidRDefault="00451CC2" w:rsidP="00A746D8">
            <w:pPr>
              <w:pStyle w:val="Tabletext"/>
              <w:rPr>
                <w:rFonts w:eastAsia="Calibri"/>
                <w:sz w:val="20"/>
                <w:szCs w:val="20"/>
              </w:rPr>
            </w:pPr>
            <w:r>
              <w:rPr>
                <w:rFonts w:eastAsia="Calibri"/>
                <w:sz w:val="20"/>
                <w:szCs w:val="20"/>
              </w:rPr>
              <w:t>RRF 16957</w:t>
            </w:r>
          </w:p>
        </w:tc>
        <w:tc>
          <w:tcPr>
            <w:tcW w:w="1228" w:type="dxa"/>
            <w:tcMar>
              <w:left w:w="45" w:type="dxa"/>
              <w:right w:w="45" w:type="dxa"/>
            </w:tcMar>
            <w:vAlign w:val="center"/>
          </w:tcPr>
          <w:p w14:paraId="2217A4D7" w14:textId="77777777" w:rsidR="00451CC2" w:rsidRPr="00451CC2" w:rsidRDefault="00451CC2" w:rsidP="00A746D8">
            <w:pPr>
              <w:pStyle w:val="Tabletext"/>
              <w:rPr>
                <w:rFonts w:eastAsia="Calibri"/>
                <w:sz w:val="20"/>
                <w:szCs w:val="20"/>
              </w:rPr>
            </w:pPr>
            <w:r w:rsidRPr="00451CC2">
              <w:rPr>
                <w:rFonts w:eastAsia="Calibri"/>
                <w:sz w:val="20"/>
                <w:szCs w:val="20"/>
              </w:rPr>
              <w:t>2025 CSR 1.6</w:t>
            </w:r>
          </w:p>
          <w:p w14:paraId="001B98C3" w14:textId="77777777" w:rsidR="00451CC2" w:rsidRPr="00451CC2" w:rsidRDefault="00451CC2" w:rsidP="00A746D8">
            <w:pPr>
              <w:pStyle w:val="Tabletext"/>
              <w:rPr>
                <w:rFonts w:eastAsia="Calibri"/>
                <w:sz w:val="20"/>
                <w:szCs w:val="20"/>
              </w:rPr>
            </w:pPr>
            <w:r w:rsidRPr="00451CC2">
              <w:rPr>
                <w:rFonts w:eastAsia="Calibri"/>
                <w:sz w:val="20"/>
                <w:szCs w:val="20"/>
              </w:rPr>
              <w:t>2025 CSR 3.7</w:t>
            </w:r>
          </w:p>
          <w:p w14:paraId="3DC01D59" w14:textId="77777777" w:rsidR="00451CC2" w:rsidRPr="00451CC2" w:rsidRDefault="00451CC2" w:rsidP="00A746D8">
            <w:pPr>
              <w:pStyle w:val="Tabletext"/>
              <w:rPr>
                <w:rFonts w:eastAsia="Calibri"/>
                <w:sz w:val="20"/>
                <w:szCs w:val="20"/>
              </w:rPr>
            </w:pPr>
            <w:r w:rsidRPr="00451CC2">
              <w:rPr>
                <w:rFonts w:eastAsia="Calibri"/>
                <w:sz w:val="20"/>
                <w:szCs w:val="20"/>
              </w:rPr>
              <w:t>2024 CSR 1.7</w:t>
            </w:r>
          </w:p>
          <w:p w14:paraId="0E32B521" w14:textId="77777777" w:rsidR="00451CC2" w:rsidRPr="00451CC2" w:rsidRDefault="00451CC2" w:rsidP="00A746D8">
            <w:pPr>
              <w:pStyle w:val="Tabletext"/>
              <w:rPr>
                <w:rFonts w:eastAsia="Calibri"/>
                <w:sz w:val="20"/>
                <w:szCs w:val="20"/>
              </w:rPr>
            </w:pPr>
            <w:r w:rsidRPr="00451CC2">
              <w:rPr>
                <w:rFonts w:eastAsia="Calibri"/>
                <w:sz w:val="20"/>
                <w:szCs w:val="20"/>
              </w:rPr>
              <w:t>2024 CSR 1.8 2023 CSR 1.10 2020 CSR 3.9 2019 CSR 2.3</w:t>
            </w:r>
          </w:p>
        </w:tc>
        <w:tc>
          <w:tcPr>
            <w:tcW w:w="1932" w:type="dxa"/>
            <w:tcMar>
              <w:left w:w="45" w:type="dxa"/>
              <w:right w:w="45" w:type="dxa"/>
            </w:tcMar>
            <w:vAlign w:val="center"/>
          </w:tcPr>
          <w:p w14:paraId="4A5B7407" w14:textId="77777777" w:rsidR="00451CC2" w:rsidRDefault="00451CC2" w:rsidP="00A746D8">
            <w:pPr>
              <w:pStyle w:val="Tabletext"/>
              <w:rPr>
                <w:rFonts w:eastAsia="Calibri"/>
                <w:sz w:val="20"/>
                <w:szCs w:val="20"/>
              </w:rPr>
            </w:pPr>
            <w:r>
              <w:rPr>
                <w:rFonts w:eastAsia="Calibri"/>
                <w:sz w:val="20"/>
                <w:szCs w:val="20"/>
              </w:rPr>
              <w:t>Social and Economic resilience</w:t>
            </w:r>
          </w:p>
        </w:tc>
        <w:tc>
          <w:tcPr>
            <w:tcW w:w="1797" w:type="dxa"/>
            <w:tcMar>
              <w:left w:w="45" w:type="dxa"/>
              <w:right w:w="45" w:type="dxa"/>
            </w:tcMar>
            <w:vAlign w:val="center"/>
          </w:tcPr>
          <w:p w14:paraId="317EFD7F" w14:textId="77777777" w:rsidR="00451CC2" w:rsidRDefault="00451CC2" w:rsidP="00A746D8">
            <w:pPr>
              <w:pStyle w:val="Tabletext"/>
              <w:rPr>
                <w:rFonts w:eastAsia="Calibri"/>
                <w:sz w:val="20"/>
                <w:szCs w:val="20"/>
              </w:rPr>
            </w:pPr>
            <w:r>
              <w:rPr>
                <w:rFonts w:eastAsia="Calibri"/>
                <w:sz w:val="20"/>
                <w:szCs w:val="20"/>
              </w:rPr>
              <w:t>On track</w:t>
            </w:r>
          </w:p>
        </w:tc>
      </w:tr>
      <w:tr w:rsidR="00451CC2" w14:paraId="6D5972E5" w14:textId="77777777" w:rsidTr="007A373B">
        <w:trPr>
          <w:trHeight w:val="227"/>
          <w:jc w:val="center"/>
        </w:trPr>
        <w:tc>
          <w:tcPr>
            <w:tcW w:w="2744" w:type="dxa"/>
            <w:tcMar>
              <w:left w:w="45" w:type="dxa"/>
              <w:right w:w="45" w:type="dxa"/>
            </w:tcMar>
            <w:vAlign w:val="center"/>
          </w:tcPr>
          <w:p w14:paraId="0F0CE8A1" w14:textId="77777777" w:rsidR="00451CC2" w:rsidRPr="00451CC2" w:rsidRDefault="00540671" w:rsidP="00A746D8">
            <w:pPr>
              <w:pStyle w:val="Tabletext"/>
              <w:rPr>
                <w:rFonts w:eastAsia="Calibri"/>
              </w:rPr>
            </w:pPr>
            <w:r w:rsidRPr="00540671">
              <w:rPr>
                <w:rFonts w:eastAsia="Calibri"/>
                <w:b/>
              </w:rPr>
              <w:lastRenderedPageBreak/>
              <w:t>REFORM 7:</w:t>
            </w:r>
            <w:r w:rsidR="00451CC2" w:rsidRPr="00451CC2">
              <w:rPr>
                <w:rFonts w:eastAsia="Calibri"/>
              </w:rPr>
              <w:t xml:space="preserve"> Enhanced capital market supervision and trustworthiness</w:t>
            </w:r>
          </w:p>
        </w:tc>
        <w:tc>
          <w:tcPr>
            <w:tcW w:w="1201" w:type="dxa"/>
            <w:tcMar>
              <w:left w:w="45" w:type="dxa"/>
              <w:right w:w="45" w:type="dxa"/>
            </w:tcMar>
            <w:vAlign w:val="center"/>
          </w:tcPr>
          <w:p w14:paraId="7D451CB6" w14:textId="77777777" w:rsidR="00451CC2" w:rsidRDefault="00451CC2" w:rsidP="00A746D8">
            <w:pPr>
              <w:pStyle w:val="Tabletext"/>
              <w:rPr>
                <w:rFonts w:eastAsia="Calibri"/>
                <w:sz w:val="20"/>
                <w:szCs w:val="20"/>
              </w:rPr>
            </w:pPr>
            <w:r>
              <w:rPr>
                <w:rFonts w:eastAsia="Calibri"/>
                <w:sz w:val="20"/>
                <w:szCs w:val="20"/>
              </w:rPr>
              <w:t>RRF 16581</w:t>
            </w:r>
          </w:p>
        </w:tc>
        <w:tc>
          <w:tcPr>
            <w:tcW w:w="1228" w:type="dxa"/>
            <w:tcMar>
              <w:left w:w="45" w:type="dxa"/>
              <w:right w:w="45" w:type="dxa"/>
            </w:tcMar>
            <w:vAlign w:val="center"/>
          </w:tcPr>
          <w:p w14:paraId="5F6B631C" w14:textId="77777777" w:rsidR="00451CC2" w:rsidRPr="00451CC2" w:rsidRDefault="00451CC2" w:rsidP="00A746D8">
            <w:pPr>
              <w:pStyle w:val="Tabletext"/>
              <w:rPr>
                <w:rFonts w:eastAsia="Calibri"/>
                <w:sz w:val="20"/>
                <w:szCs w:val="20"/>
              </w:rPr>
            </w:pPr>
            <w:r w:rsidRPr="00451CC2">
              <w:rPr>
                <w:rFonts w:eastAsia="Calibri"/>
                <w:sz w:val="20"/>
                <w:szCs w:val="20"/>
              </w:rPr>
              <w:t>2025 CSR 1.6</w:t>
            </w:r>
          </w:p>
          <w:p w14:paraId="35C5FFB7" w14:textId="77777777" w:rsidR="00451CC2" w:rsidRPr="00451CC2" w:rsidRDefault="00451CC2" w:rsidP="00A746D8">
            <w:pPr>
              <w:pStyle w:val="Tabletext"/>
              <w:rPr>
                <w:rFonts w:eastAsia="Calibri"/>
                <w:sz w:val="20"/>
                <w:szCs w:val="20"/>
              </w:rPr>
            </w:pPr>
            <w:r w:rsidRPr="00451CC2">
              <w:rPr>
                <w:rFonts w:eastAsia="Calibri"/>
                <w:sz w:val="20"/>
                <w:szCs w:val="20"/>
              </w:rPr>
              <w:t>2024 CSR 1.7</w:t>
            </w:r>
          </w:p>
          <w:p w14:paraId="07EFE175" w14:textId="77777777" w:rsidR="00451CC2" w:rsidRPr="00451CC2" w:rsidRDefault="00451CC2" w:rsidP="00A746D8">
            <w:pPr>
              <w:pStyle w:val="Tabletext"/>
              <w:rPr>
                <w:rFonts w:eastAsia="Calibri"/>
                <w:sz w:val="20"/>
                <w:szCs w:val="20"/>
              </w:rPr>
            </w:pPr>
            <w:r w:rsidRPr="00451CC2">
              <w:rPr>
                <w:rFonts w:eastAsia="Calibri"/>
                <w:sz w:val="20"/>
                <w:szCs w:val="20"/>
              </w:rPr>
              <w:t>2020 CSR 3.1 2020 CSR 3.3 2020 CSR 3.9</w:t>
            </w:r>
          </w:p>
          <w:p w14:paraId="18A8EE0B" w14:textId="77777777" w:rsidR="00451CC2" w:rsidRDefault="00451CC2" w:rsidP="00A746D8">
            <w:pPr>
              <w:pStyle w:val="Tabletext"/>
              <w:rPr>
                <w:rFonts w:eastAsia="Calibri"/>
                <w:sz w:val="20"/>
                <w:szCs w:val="20"/>
              </w:rPr>
            </w:pPr>
            <w:r>
              <w:rPr>
                <w:rFonts w:eastAsia="Calibri"/>
                <w:sz w:val="20"/>
                <w:szCs w:val="20"/>
              </w:rPr>
              <w:t>2019 CSR 2.3</w:t>
            </w:r>
          </w:p>
        </w:tc>
        <w:tc>
          <w:tcPr>
            <w:tcW w:w="1932" w:type="dxa"/>
            <w:tcMar>
              <w:left w:w="45" w:type="dxa"/>
              <w:right w:w="45" w:type="dxa"/>
            </w:tcMar>
            <w:vAlign w:val="center"/>
          </w:tcPr>
          <w:p w14:paraId="23C0D9BD" w14:textId="77777777" w:rsidR="00451CC2" w:rsidRDefault="00451CC2" w:rsidP="00A746D8">
            <w:pPr>
              <w:pStyle w:val="Tabletext"/>
              <w:rPr>
                <w:rFonts w:eastAsia="Calibri"/>
                <w:sz w:val="20"/>
                <w:szCs w:val="20"/>
              </w:rPr>
            </w:pPr>
            <w:r>
              <w:rPr>
                <w:rFonts w:eastAsia="Calibri"/>
                <w:sz w:val="20"/>
                <w:szCs w:val="20"/>
              </w:rPr>
              <w:t>Social and Economic resilience</w:t>
            </w:r>
          </w:p>
        </w:tc>
        <w:tc>
          <w:tcPr>
            <w:tcW w:w="1797" w:type="dxa"/>
            <w:tcMar>
              <w:left w:w="45" w:type="dxa"/>
              <w:right w:w="45" w:type="dxa"/>
            </w:tcMar>
            <w:vAlign w:val="center"/>
          </w:tcPr>
          <w:p w14:paraId="386DF4E9" w14:textId="77777777" w:rsidR="00451CC2" w:rsidRDefault="00451CC2" w:rsidP="00A746D8">
            <w:pPr>
              <w:pStyle w:val="Tabletext"/>
              <w:rPr>
                <w:rFonts w:eastAsia="Calibri"/>
                <w:sz w:val="20"/>
                <w:szCs w:val="20"/>
              </w:rPr>
            </w:pPr>
            <w:r>
              <w:rPr>
                <w:rFonts w:eastAsia="Calibri"/>
                <w:sz w:val="20"/>
                <w:szCs w:val="20"/>
              </w:rPr>
              <w:t>On track</w:t>
            </w:r>
          </w:p>
        </w:tc>
      </w:tr>
      <w:tr w:rsidR="00451CC2" w14:paraId="0D6D2ACD" w14:textId="77777777" w:rsidTr="007A373B">
        <w:trPr>
          <w:trHeight w:val="227"/>
          <w:jc w:val="center"/>
        </w:trPr>
        <w:tc>
          <w:tcPr>
            <w:tcW w:w="2744" w:type="dxa"/>
            <w:tcMar>
              <w:left w:w="45" w:type="dxa"/>
              <w:right w:w="45" w:type="dxa"/>
            </w:tcMar>
            <w:vAlign w:val="center"/>
          </w:tcPr>
          <w:p w14:paraId="1B99BCBF" w14:textId="77777777" w:rsidR="00451CC2" w:rsidRPr="00451CC2" w:rsidRDefault="00540671" w:rsidP="00A746D8">
            <w:pPr>
              <w:pStyle w:val="Tabletext"/>
              <w:rPr>
                <w:rFonts w:eastAsia="Calibri"/>
              </w:rPr>
            </w:pPr>
            <w:r w:rsidRPr="00540671">
              <w:rPr>
                <w:rFonts w:eastAsia="Calibri"/>
                <w:b/>
              </w:rPr>
              <w:t>REFORM 8:</w:t>
            </w:r>
            <w:r w:rsidR="00451CC2" w:rsidRPr="00451CC2">
              <w:rPr>
                <w:rFonts w:eastAsia="Calibri"/>
              </w:rPr>
              <w:t xml:space="preserve"> Unified insolvency framework (OCW - Debtor guidance mechanism - Early Warning Mechanism)</w:t>
            </w:r>
          </w:p>
        </w:tc>
        <w:tc>
          <w:tcPr>
            <w:tcW w:w="1201" w:type="dxa"/>
            <w:tcMar>
              <w:left w:w="45" w:type="dxa"/>
              <w:right w:w="45" w:type="dxa"/>
            </w:tcMar>
            <w:vAlign w:val="center"/>
          </w:tcPr>
          <w:p w14:paraId="73EAA11C" w14:textId="77777777" w:rsidR="00451CC2" w:rsidRDefault="00451CC2" w:rsidP="00A746D8">
            <w:pPr>
              <w:pStyle w:val="Tabletext"/>
              <w:rPr>
                <w:rFonts w:eastAsia="Calibri"/>
                <w:sz w:val="20"/>
                <w:szCs w:val="20"/>
              </w:rPr>
            </w:pPr>
            <w:r>
              <w:rPr>
                <w:rFonts w:eastAsia="Calibri"/>
                <w:sz w:val="20"/>
                <w:szCs w:val="20"/>
              </w:rPr>
              <w:t>RRF 16580</w:t>
            </w:r>
          </w:p>
        </w:tc>
        <w:tc>
          <w:tcPr>
            <w:tcW w:w="1228" w:type="dxa"/>
            <w:tcMar>
              <w:left w:w="45" w:type="dxa"/>
              <w:right w:w="45" w:type="dxa"/>
            </w:tcMar>
            <w:vAlign w:val="center"/>
          </w:tcPr>
          <w:p w14:paraId="0B339215" w14:textId="77777777" w:rsidR="00451CC2" w:rsidRPr="00451CC2" w:rsidRDefault="00451CC2" w:rsidP="00A746D8">
            <w:pPr>
              <w:pStyle w:val="Tabletext"/>
              <w:rPr>
                <w:rFonts w:eastAsia="Calibri"/>
                <w:sz w:val="20"/>
                <w:szCs w:val="20"/>
              </w:rPr>
            </w:pPr>
            <w:r w:rsidRPr="00451CC2">
              <w:rPr>
                <w:rFonts w:eastAsia="Calibri"/>
                <w:sz w:val="20"/>
                <w:szCs w:val="20"/>
              </w:rPr>
              <w:t>2025 CSR 1.6</w:t>
            </w:r>
          </w:p>
          <w:p w14:paraId="5477DA1D" w14:textId="77777777" w:rsidR="00451CC2" w:rsidRPr="00451CC2" w:rsidRDefault="00451CC2" w:rsidP="00A746D8">
            <w:pPr>
              <w:pStyle w:val="Tabletext"/>
              <w:rPr>
                <w:rFonts w:eastAsia="Calibri"/>
                <w:sz w:val="20"/>
                <w:szCs w:val="20"/>
              </w:rPr>
            </w:pPr>
            <w:r w:rsidRPr="00451CC2">
              <w:rPr>
                <w:rFonts w:eastAsia="Calibri"/>
                <w:sz w:val="20"/>
                <w:szCs w:val="20"/>
              </w:rPr>
              <w:t xml:space="preserve">2024 CSR 1.8 2023 CSR 1.10 2020 CSR 3.9 2019 CSR 2.3 </w:t>
            </w:r>
          </w:p>
        </w:tc>
        <w:tc>
          <w:tcPr>
            <w:tcW w:w="1932" w:type="dxa"/>
            <w:tcMar>
              <w:left w:w="45" w:type="dxa"/>
              <w:right w:w="45" w:type="dxa"/>
            </w:tcMar>
            <w:vAlign w:val="center"/>
          </w:tcPr>
          <w:p w14:paraId="14F76401" w14:textId="77777777" w:rsidR="00451CC2" w:rsidRPr="00451CC2" w:rsidRDefault="00451CC2" w:rsidP="00A746D8">
            <w:pPr>
              <w:pStyle w:val="Tabletext"/>
              <w:rPr>
                <w:rFonts w:eastAsia="Calibri"/>
                <w:sz w:val="20"/>
                <w:szCs w:val="20"/>
              </w:rPr>
            </w:pPr>
            <w:r w:rsidRPr="00451CC2">
              <w:rPr>
                <w:rFonts w:eastAsia="Calibri"/>
                <w:sz w:val="20"/>
                <w:szCs w:val="20"/>
              </w:rPr>
              <w:t>Social and Economic resilience &amp; Fair green and digital transition</w:t>
            </w:r>
          </w:p>
        </w:tc>
        <w:tc>
          <w:tcPr>
            <w:tcW w:w="1797" w:type="dxa"/>
            <w:tcMar>
              <w:left w:w="45" w:type="dxa"/>
              <w:right w:w="45" w:type="dxa"/>
            </w:tcMar>
            <w:vAlign w:val="center"/>
          </w:tcPr>
          <w:p w14:paraId="71C42931" w14:textId="77777777" w:rsidR="00451CC2" w:rsidRDefault="00451CC2" w:rsidP="00A746D8">
            <w:pPr>
              <w:pStyle w:val="Tabletext"/>
              <w:rPr>
                <w:rFonts w:eastAsia="Calibri"/>
                <w:sz w:val="20"/>
                <w:szCs w:val="20"/>
              </w:rPr>
            </w:pPr>
            <w:r>
              <w:rPr>
                <w:rFonts w:eastAsia="Calibri"/>
                <w:sz w:val="20"/>
                <w:szCs w:val="20"/>
              </w:rPr>
              <w:t>On track</w:t>
            </w:r>
          </w:p>
        </w:tc>
      </w:tr>
      <w:tr w:rsidR="00451CC2" w14:paraId="135B390D" w14:textId="77777777" w:rsidTr="007A373B">
        <w:trPr>
          <w:trHeight w:val="227"/>
          <w:jc w:val="center"/>
        </w:trPr>
        <w:tc>
          <w:tcPr>
            <w:tcW w:w="2744" w:type="dxa"/>
            <w:tcMar>
              <w:left w:w="45" w:type="dxa"/>
              <w:right w:w="45" w:type="dxa"/>
            </w:tcMar>
            <w:vAlign w:val="center"/>
          </w:tcPr>
          <w:p w14:paraId="300FA076" w14:textId="77777777" w:rsidR="00451CC2" w:rsidRDefault="00540671" w:rsidP="00A746D8">
            <w:pPr>
              <w:pStyle w:val="Tabletext"/>
              <w:rPr>
                <w:rFonts w:eastAsia="Calibri"/>
              </w:rPr>
            </w:pPr>
            <w:r w:rsidRPr="00540671">
              <w:rPr>
                <w:rFonts w:eastAsia="Calibri"/>
                <w:b/>
              </w:rPr>
              <w:t>REFORM 9:</w:t>
            </w:r>
            <w:r w:rsidR="00451CC2">
              <w:rPr>
                <w:rFonts w:eastAsia="Calibri"/>
              </w:rPr>
              <w:t xml:space="preserve"> Green Budgeting</w:t>
            </w:r>
          </w:p>
        </w:tc>
        <w:tc>
          <w:tcPr>
            <w:tcW w:w="1201" w:type="dxa"/>
            <w:tcMar>
              <w:left w:w="45" w:type="dxa"/>
              <w:right w:w="45" w:type="dxa"/>
            </w:tcMar>
            <w:vAlign w:val="center"/>
          </w:tcPr>
          <w:p w14:paraId="628BAC3A" w14:textId="77777777" w:rsidR="00451CC2" w:rsidRDefault="00451CC2" w:rsidP="00A746D8">
            <w:pPr>
              <w:pStyle w:val="Tabletext"/>
              <w:rPr>
                <w:rFonts w:eastAsia="Calibri"/>
                <w:sz w:val="20"/>
                <w:szCs w:val="20"/>
              </w:rPr>
            </w:pPr>
            <w:r>
              <w:rPr>
                <w:rFonts w:eastAsia="Calibri"/>
                <w:sz w:val="20"/>
                <w:szCs w:val="20"/>
              </w:rPr>
              <w:t>-</w:t>
            </w:r>
          </w:p>
        </w:tc>
        <w:tc>
          <w:tcPr>
            <w:tcW w:w="1228" w:type="dxa"/>
            <w:tcMar>
              <w:left w:w="45" w:type="dxa"/>
              <w:right w:w="45" w:type="dxa"/>
            </w:tcMar>
            <w:vAlign w:val="center"/>
          </w:tcPr>
          <w:p w14:paraId="235B1359" w14:textId="77777777" w:rsidR="00451CC2" w:rsidRPr="00451CC2" w:rsidRDefault="00451CC2" w:rsidP="00A746D8">
            <w:pPr>
              <w:pStyle w:val="Tabletext"/>
              <w:rPr>
                <w:rFonts w:eastAsia="Calibri"/>
                <w:sz w:val="20"/>
                <w:szCs w:val="20"/>
              </w:rPr>
            </w:pPr>
            <w:r w:rsidRPr="00451CC2">
              <w:rPr>
                <w:rFonts w:eastAsia="Calibri"/>
                <w:sz w:val="20"/>
                <w:szCs w:val="20"/>
              </w:rPr>
              <w:t>2025 CSR 4.3</w:t>
            </w:r>
          </w:p>
          <w:p w14:paraId="780214D8" w14:textId="77777777" w:rsidR="00451CC2" w:rsidRPr="00451CC2" w:rsidRDefault="00451CC2" w:rsidP="00A746D8">
            <w:pPr>
              <w:pStyle w:val="Tabletext"/>
              <w:rPr>
                <w:rFonts w:eastAsia="Calibri"/>
                <w:sz w:val="20"/>
                <w:szCs w:val="20"/>
              </w:rPr>
            </w:pPr>
            <w:r w:rsidRPr="00451CC2">
              <w:rPr>
                <w:rFonts w:eastAsia="Calibri"/>
                <w:sz w:val="20"/>
                <w:szCs w:val="20"/>
              </w:rPr>
              <w:t xml:space="preserve">2023 CSR 4.1 2023 CSR 1.3 2022 CSR 4.5 2020 CSR 3.4 </w:t>
            </w:r>
          </w:p>
        </w:tc>
        <w:tc>
          <w:tcPr>
            <w:tcW w:w="1932" w:type="dxa"/>
            <w:tcMar>
              <w:left w:w="45" w:type="dxa"/>
              <w:right w:w="45" w:type="dxa"/>
            </w:tcMar>
            <w:vAlign w:val="center"/>
          </w:tcPr>
          <w:p w14:paraId="02E6A8AB" w14:textId="77777777" w:rsidR="00451CC2" w:rsidRDefault="00451CC2" w:rsidP="00A746D8">
            <w:pPr>
              <w:pStyle w:val="Tabletext"/>
              <w:rPr>
                <w:rFonts w:eastAsia="Calibri"/>
                <w:sz w:val="20"/>
                <w:szCs w:val="20"/>
              </w:rPr>
            </w:pPr>
            <w:r>
              <w:rPr>
                <w:rFonts w:eastAsia="Calibri"/>
                <w:sz w:val="20"/>
                <w:szCs w:val="20"/>
              </w:rPr>
              <w:t>Fair green &amp; digital transition</w:t>
            </w:r>
          </w:p>
        </w:tc>
        <w:tc>
          <w:tcPr>
            <w:tcW w:w="1797" w:type="dxa"/>
            <w:tcMar>
              <w:left w:w="45" w:type="dxa"/>
              <w:right w:w="45" w:type="dxa"/>
            </w:tcMar>
            <w:vAlign w:val="center"/>
          </w:tcPr>
          <w:p w14:paraId="65E167E2" w14:textId="77777777" w:rsidR="00451CC2" w:rsidRDefault="00451CC2" w:rsidP="00A746D8">
            <w:pPr>
              <w:pStyle w:val="Tabletext"/>
              <w:rPr>
                <w:rFonts w:eastAsia="Calibri"/>
                <w:sz w:val="20"/>
                <w:szCs w:val="20"/>
              </w:rPr>
            </w:pPr>
            <w:r>
              <w:rPr>
                <w:rFonts w:eastAsia="Calibri"/>
                <w:sz w:val="20"/>
                <w:szCs w:val="20"/>
              </w:rPr>
              <w:t>On track</w:t>
            </w:r>
          </w:p>
        </w:tc>
      </w:tr>
      <w:tr w:rsidR="00451CC2" w14:paraId="262E7046" w14:textId="77777777" w:rsidTr="007A373B">
        <w:trPr>
          <w:trHeight w:val="227"/>
          <w:jc w:val="center"/>
        </w:trPr>
        <w:tc>
          <w:tcPr>
            <w:tcW w:w="2744" w:type="dxa"/>
            <w:tcMar>
              <w:left w:w="45" w:type="dxa"/>
              <w:right w:w="45" w:type="dxa"/>
            </w:tcMar>
            <w:vAlign w:val="center"/>
          </w:tcPr>
          <w:p w14:paraId="2DA85A13" w14:textId="77777777" w:rsidR="00451CC2" w:rsidRDefault="00540671" w:rsidP="00A746D8">
            <w:pPr>
              <w:pStyle w:val="Tabletext"/>
              <w:rPr>
                <w:rFonts w:eastAsia="Calibri"/>
              </w:rPr>
            </w:pPr>
            <w:r w:rsidRPr="00540671">
              <w:rPr>
                <w:rFonts w:eastAsia="Calibri"/>
                <w:b/>
              </w:rPr>
              <w:t>REFORM 10:</w:t>
            </w:r>
            <w:r w:rsidR="00451CC2">
              <w:rPr>
                <w:rFonts w:eastAsia="Calibri"/>
              </w:rPr>
              <w:t xml:space="preserve"> Greening Taxes</w:t>
            </w:r>
          </w:p>
        </w:tc>
        <w:tc>
          <w:tcPr>
            <w:tcW w:w="1201" w:type="dxa"/>
            <w:tcMar>
              <w:left w:w="45" w:type="dxa"/>
              <w:right w:w="45" w:type="dxa"/>
            </w:tcMar>
            <w:vAlign w:val="center"/>
          </w:tcPr>
          <w:p w14:paraId="2E946724" w14:textId="77777777" w:rsidR="00451CC2" w:rsidRDefault="00451CC2" w:rsidP="00A746D8">
            <w:pPr>
              <w:pStyle w:val="Tabletext"/>
              <w:rPr>
                <w:rFonts w:eastAsia="Calibri"/>
                <w:sz w:val="20"/>
                <w:szCs w:val="20"/>
              </w:rPr>
            </w:pPr>
            <w:r>
              <w:rPr>
                <w:rFonts w:eastAsia="Calibri"/>
                <w:sz w:val="20"/>
                <w:szCs w:val="20"/>
              </w:rPr>
              <w:t>-</w:t>
            </w:r>
          </w:p>
        </w:tc>
        <w:tc>
          <w:tcPr>
            <w:tcW w:w="1228" w:type="dxa"/>
            <w:tcMar>
              <w:left w:w="45" w:type="dxa"/>
              <w:right w:w="45" w:type="dxa"/>
            </w:tcMar>
            <w:vAlign w:val="center"/>
          </w:tcPr>
          <w:p w14:paraId="0E459A8F" w14:textId="77777777" w:rsidR="00451CC2" w:rsidRPr="00451CC2" w:rsidRDefault="00451CC2" w:rsidP="00A746D8">
            <w:pPr>
              <w:pStyle w:val="Tabletext"/>
              <w:rPr>
                <w:rFonts w:eastAsia="Calibri"/>
                <w:sz w:val="20"/>
                <w:szCs w:val="20"/>
              </w:rPr>
            </w:pPr>
            <w:r w:rsidRPr="00451CC2">
              <w:rPr>
                <w:rFonts w:eastAsia="Calibri"/>
                <w:sz w:val="20"/>
                <w:szCs w:val="20"/>
              </w:rPr>
              <w:t>2025 CSR 4.2</w:t>
            </w:r>
          </w:p>
          <w:p w14:paraId="1F47288F" w14:textId="77777777" w:rsidR="00451CC2" w:rsidRPr="00451CC2" w:rsidRDefault="00451CC2" w:rsidP="00A746D8">
            <w:pPr>
              <w:pStyle w:val="Tabletext"/>
              <w:rPr>
                <w:rFonts w:eastAsia="Calibri"/>
                <w:sz w:val="20"/>
                <w:szCs w:val="20"/>
              </w:rPr>
            </w:pPr>
            <w:r w:rsidRPr="00451CC2">
              <w:rPr>
                <w:rFonts w:eastAsia="Calibri"/>
                <w:sz w:val="20"/>
                <w:szCs w:val="20"/>
              </w:rPr>
              <w:t xml:space="preserve">2025 CSR 1.4 2024 CSR 4.1 </w:t>
            </w:r>
          </w:p>
          <w:p w14:paraId="07EBA9CE" w14:textId="77777777" w:rsidR="00451CC2" w:rsidRPr="00451CC2" w:rsidRDefault="00451CC2" w:rsidP="00A746D8">
            <w:pPr>
              <w:pStyle w:val="Tabletext"/>
              <w:rPr>
                <w:rFonts w:eastAsia="Calibri"/>
                <w:sz w:val="20"/>
                <w:szCs w:val="20"/>
              </w:rPr>
            </w:pPr>
            <w:r w:rsidRPr="00451CC2">
              <w:rPr>
                <w:rFonts w:eastAsia="Calibri"/>
                <w:sz w:val="20"/>
                <w:szCs w:val="20"/>
              </w:rPr>
              <w:t>2023 CSR 1.3</w:t>
            </w:r>
          </w:p>
          <w:p w14:paraId="76DDEB9F" w14:textId="77777777" w:rsidR="00451CC2" w:rsidRPr="00451CC2" w:rsidRDefault="00451CC2" w:rsidP="00A746D8">
            <w:pPr>
              <w:pStyle w:val="Tabletext"/>
              <w:rPr>
                <w:rFonts w:eastAsia="Calibri"/>
                <w:sz w:val="20"/>
                <w:szCs w:val="20"/>
              </w:rPr>
            </w:pPr>
            <w:r w:rsidRPr="00451CC2">
              <w:rPr>
                <w:rFonts w:eastAsia="Calibri"/>
                <w:sz w:val="20"/>
                <w:szCs w:val="20"/>
              </w:rPr>
              <w:t xml:space="preserve">2023 CSR 4.1 2022 CSR 4.5 2022 CSR 4.6 2020 CSR 3.4 </w:t>
            </w:r>
          </w:p>
        </w:tc>
        <w:tc>
          <w:tcPr>
            <w:tcW w:w="1932" w:type="dxa"/>
            <w:tcMar>
              <w:left w:w="45" w:type="dxa"/>
              <w:right w:w="45" w:type="dxa"/>
            </w:tcMar>
            <w:vAlign w:val="center"/>
          </w:tcPr>
          <w:p w14:paraId="3AA51DE9" w14:textId="77777777" w:rsidR="00451CC2" w:rsidRDefault="00451CC2" w:rsidP="00A746D8">
            <w:pPr>
              <w:pStyle w:val="Tabletext"/>
              <w:rPr>
                <w:rFonts w:eastAsia="Calibri"/>
                <w:sz w:val="20"/>
                <w:szCs w:val="20"/>
              </w:rPr>
            </w:pPr>
            <w:r>
              <w:rPr>
                <w:rFonts w:eastAsia="Calibri"/>
                <w:sz w:val="20"/>
                <w:szCs w:val="20"/>
              </w:rPr>
              <w:t>Fair green &amp; digital transition</w:t>
            </w:r>
          </w:p>
        </w:tc>
        <w:tc>
          <w:tcPr>
            <w:tcW w:w="1797" w:type="dxa"/>
            <w:tcMar>
              <w:left w:w="45" w:type="dxa"/>
              <w:right w:w="45" w:type="dxa"/>
            </w:tcMar>
            <w:vAlign w:val="center"/>
          </w:tcPr>
          <w:p w14:paraId="6B7943E4" w14:textId="77777777" w:rsidR="00451CC2" w:rsidRDefault="00451CC2" w:rsidP="00A746D8">
            <w:pPr>
              <w:pStyle w:val="Tabletext"/>
              <w:rPr>
                <w:rFonts w:eastAsia="Calibri"/>
                <w:sz w:val="20"/>
                <w:szCs w:val="20"/>
              </w:rPr>
            </w:pPr>
            <w:r>
              <w:rPr>
                <w:rFonts w:eastAsia="Calibri"/>
                <w:sz w:val="20"/>
                <w:szCs w:val="20"/>
              </w:rPr>
              <w:t>On track</w:t>
            </w:r>
          </w:p>
        </w:tc>
      </w:tr>
      <w:tr w:rsidR="00451CC2" w14:paraId="3CC2DC4F" w14:textId="77777777" w:rsidTr="007A373B">
        <w:trPr>
          <w:trHeight w:val="227"/>
          <w:jc w:val="center"/>
        </w:trPr>
        <w:tc>
          <w:tcPr>
            <w:tcW w:w="2744" w:type="dxa"/>
            <w:tcMar>
              <w:left w:w="45" w:type="dxa"/>
              <w:right w:w="45" w:type="dxa"/>
            </w:tcMar>
            <w:vAlign w:val="center"/>
          </w:tcPr>
          <w:p w14:paraId="5E95FD60" w14:textId="77777777" w:rsidR="00451CC2" w:rsidRPr="00451CC2" w:rsidRDefault="00540671" w:rsidP="00A746D8">
            <w:pPr>
              <w:pStyle w:val="Tabletext"/>
              <w:rPr>
                <w:rFonts w:eastAsia="Calibri"/>
              </w:rPr>
            </w:pPr>
            <w:r w:rsidRPr="00540671">
              <w:rPr>
                <w:rFonts w:eastAsia="Calibri"/>
                <w:b/>
              </w:rPr>
              <w:t>REFORM 11:</w:t>
            </w:r>
            <w:r w:rsidR="00451CC2" w:rsidRPr="00451CC2">
              <w:rPr>
                <w:rFonts w:eastAsia="Calibri"/>
              </w:rPr>
              <w:t xml:space="preserve"> Sale and Lease Back Organization (SLBO)</w:t>
            </w:r>
          </w:p>
        </w:tc>
        <w:tc>
          <w:tcPr>
            <w:tcW w:w="1201" w:type="dxa"/>
            <w:tcMar>
              <w:left w:w="45" w:type="dxa"/>
              <w:right w:w="45" w:type="dxa"/>
            </w:tcMar>
            <w:vAlign w:val="center"/>
          </w:tcPr>
          <w:p w14:paraId="3B2644CF" w14:textId="77777777" w:rsidR="00451CC2" w:rsidRDefault="00451CC2" w:rsidP="00A746D8">
            <w:pPr>
              <w:pStyle w:val="Tabletext"/>
              <w:rPr>
                <w:rFonts w:eastAsia="Calibri"/>
                <w:sz w:val="20"/>
                <w:szCs w:val="20"/>
              </w:rPr>
            </w:pPr>
            <w:r>
              <w:rPr>
                <w:rFonts w:eastAsia="Calibri"/>
                <w:sz w:val="20"/>
                <w:szCs w:val="20"/>
              </w:rPr>
              <w:t>-</w:t>
            </w:r>
          </w:p>
        </w:tc>
        <w:tc>
          <w:tcPr>
            <w:tcW w:w="1228" w:type="dxa"/>
            <w:tcMar>
              <w:left w:w="45" w:type="dxa"/>
              <w:right w:w="45" w:type="dxa"/>
            </w:tcMar>
            <w:vAlign w:val="center"/>
          </w:tcPr>
          <w:p w14:paraId="462A997B" w14:textId="77777777" w:rsidR="00451CC2" w:rsidRDefault="00451CC2" w:rsidP="00A746D8">
            <w:pPr>
              <w:pStyle w:val="Tabletext"/>
              <w:rPr>
                <w:rFonts w:eastAsia="Calibri"/>
                <w:sz w:val="20"/>
                <w:szCs w:val="20"/>
              </w:rPr>
            </w:pPr>
            <w:r>
              <w:rPr>
                <w:rFonts w:eastAsia="Calibri"/>
                <w:sz w:val="20"/>
                <w:szCs w:val="20"/>
              </w:rPr>
              <w:t>-</w:t>
            </w:r>
          </w:p>
        </w:tc>
        <w:tc>
          <w:tcPr>
            <w:tcW w:w="1932" w:type="dxa"/>
            <w:tcMar>
              <w:left w:w="45" w:type="dxa"/>
              <w:right w:w="45" w:type="dxa"/>
            </w:tcMar>
            <w:vAlign w:val="center"/>
          </w:tcPr>
          <w:p w14:paraId="6B4EED2E" w14:textId="77777777" w:rsidR="00451CC2" w:rsidRDefault="00451CC2" w:rsidP="00A746D8">
            <w:pPr>
              <w:pStyle w:val="Tabletext"/>
              <w:rPr>
                <w:rFonts w:eastAsia="Calibri"/>
                <w:sz w:val="20"/>
                <w:szCs w:val="20"/>
              </w:rPr>
            </w:pPr>
            <w:r>
              <w:rPr>
                <w:rFonts w:eastAsia="Calibri"/>
                <w:sz w:val="20"/>
                <w:szCs w:val="20"/>
              </w:rPr>
              <w:t>Social and Economic resilience</w:t>
            </w:r>
          </w:p>
        </w:tc>
        <w:tc>
          <w:tcPr>
            <w:tcW w:w="1797" w:type="dxa"/>
            <w:tcMar>
              <w:left w:w="45" w:type="dxa"/>
              <w:right w:w="45" w:type="dxa"/>
            </w:tcMar>
            <w:vAlign w:val="center"/>
          </w:tcPr>
          <w:p w14:paraId="4DEDF452" w14:textId="77777777" w:rsidR="00451CC2" w:rsidRDefault="00451CC2" w:rsidP="00A746D8">
            <w:pPr>
              <w:pStyle w:val="Tabletext"/>
              <w:rPr>
                <w:rFonts w:eastAsia="Calibri"/>
                <w:strike/>
                <w:sz w:val="20"/>
                <w:szCs w:val="20"/>
              </w:rPr>
            </w:pPr>
            <w:r>
              <w:rPr>
                <w:rFonts w:eastAsia="Calibri"/>
                <w:sz w:val="20"/>
                <w:szCs w:val="20"/>
              </w:rPr>
              <w:t>Delayed</w:t>
            </w:r>
          </w:p>
        </w:tc>
      </w:tr>
      <w:tr w:rsidR="00451CC2" w14:paraId="120F819A" w14:textId="77777777" w:rsidTr="007A373B">
        <w:trPr>
          <w:trHeight w:val="227"/>
          <w:jc w:val="center"/>
        </w:trPr>
        <w:tc>
          <w:tcPr>
            <w:tcW w:w="2744" w:type="dxa"/>
            <w:tcMar>
              <w:left w:w="45" w:type="dxa"/>
              <w:right w:w="45" w:type="dxa"/>
            </w:tcMar>
            <w:vAlign w:val="center"/>
          </w:tcPr>
          <w:p w14:paraId="1A8A9978" w14:textId="77777777" w:rsidR="00451CC2" w:rsidRPr="00451CC2" w:rsidRDefault="00540671" w:rsidP="00A746D8">
            <w:pPr>
              <w:pStyle w:val="Tabletext"/>
              <w:rPr>
                <w:rFonts w:eastAsia="Calibri"/>
              </w:rPr>
            </w:pPr>
            <w:r w:rsidRPr="00540671">
              <w:rPr>
                <w:rFonts w:eastAsia="Calibri"/>
                <w:b/>
              </w:rPr>
              <w:t>REFORM 12:</w:t>
            </w:r>
            <w:r w:rsidR="00451CC2" w:rsidRPr="00451CC2">
              <w:rPr>
                <w:rFonts w:eastAsia="Calibri"/>
              </w:rPr>
              <w:t xml:space="preserve"> Targeted interventions (with fiscal dimensions) that help in mitigating or adapting to the effects of climate change</w:t>
            </w:r>
          </w:p>
        </w:tc>
        <w:tc>
          <w:tcPr>
            <w:tcW w:w="1201" w:type="dxa"/>
            <w:tcMar>
              <w:left w:w="45" w:type="dxa"/>
              <w:right w:w="45" w:type="dxa"/>
            </w:tcMar>
            <w:vAlign w:val="center"/>
          </w:tcPr>
          <w:p w14:paraId="522E511B" w14:textId="77777777" w:rsidR="00451CC2" w:rsidRDefault="00451CC2" w:rsidP="00A746D8">
            <w:pPr>
              <w:pStyle w:val="Tabletext"/>
              <w:rPr>
                <w:rFonts w:eastAsia="Calibri"/>
                <w:sz w:val="20"/>
                <w:szCs w:val="20"/>
              </w:rPr>
            </w:pPr>
            <w:r>
              <w:rPr>
                <w:rFonts w:eastAsia="Calibri"/>
                <w:sz w:val="20"/>
                <w:szCs w:val="20"/>
              </w:rPr>
              <w:t>-</w:t>
            </w:r>
          </w:p>
        </w:tc>
        <w:tc>
          <w:tcPr>
            <w:tcW w:w="1228" w:type="dxa"/>
            <w:tcMar>
              <w:left w:w="45" w:type="dxa"/>
              <w:right w:w="45" w:type="dxa"/>
            </w:tcMar>
            <w:vAlign w:val="center"/>
          </w:tcPr>
          <w:p w14:paraId="55EA61B5" w14:textId="77777777" w:rsidR="00451CC2" w:rsidRDefault="00451CC2" w:rsidP="00A746D8">
            <w:pPr>
              <w:pStyle w:val="Tabletext"/>
              <w:rPr>
                <w:rFonts w:eastAsia="Calibri"/>
                <w:sz w:val="20"/>
                <w:szCs w:val="20"/>
              </w:rPr>
            </w:pPr>
            <w:r>
              <w:rPr>
                <w:rFonts w:eastAsia="Calibri"/>
                <w:sz w:val="20"/>
                <w:szCs w:val="20"/>
              </w:rPr>
              <w:t>2024 CSR 4.2</w:t>
            </w:r>
          </w:p>
        </w:tc>
        <w:tc>
          <w:tcPr>
            <w:tcW w:w="1932" w:type="dxa"/>
            <w:tcMar>
              <w:left w:w="45" w:type="dxa"/>
              <w:right w:w="45" w:type="dxa"/>
            </w:tcMar>
            <w:vAlign w:val="center"/>
          </w:tcPr>
          <w:p w14:paraId="1BB341FC" w14:textId="77777777" w:rsidR="00451CC2" w:rsidRDefault="00451CC2" w:rsidP="00A746D8">
            <w:pPr>
              <w:pStyle w:val="Tabletext"/>
              <w:rPr>
                <w:rFonts w:eastAsia="Calibri"/>
                <w:sz w:val="20"/>
                <w:szCs w:val="20"/>
              </w:rPr>
            </w:pPr>
            <w:r>
              <w:rPr>
                <w:rFonts w:eastAsia="Calibri"/>
                <w:sz w:val="20"/>
                <w:szCs w:val="20"/>
              </w:rPr>
              <w:t>Fair green &amp; digital transition</w:t>
            </w:r>
          </w:p>
        </w:tc>
        <w:tc>
          <w:tcPr>
            <w:tcW w:w="1797" w:type="dxa"/>
            <w:tcMar>
              <w:left w:w="45" w:type="dxa"/>
              <w:right w:w="45" w:type="dxa"/>
            </w:tcMar>
            <w:vAlign w:val="center"/>
          </w:tcPr>
          <w:p w14:paraId="46F7233C" w14:textId="77777777" w:rsidR="00451CC2" w:rsidRDefault="00451CC2" w:rsidP="00A746D8">
            <w:pPr>
              <w:pStyle w:val="Tabletext"/>
              <w:rPr>
                <w:rFonts w:eastAsia="Calibri"/>
                <w:sz w:val="20"/>
                <w:szCs w:val="20"/>
              </w:rPr>
            </w:pPr>
            <w:r>
              <w:rPr>
                <w:rFonts w:eastAsia="Calibri"/>
                <w:sz w:val="20"/>
                <w:szCs w:val="20"/>
              </w:rPr>
              <w:t>Completed</w:t>
            </w:r>
          </w:p>
        </w:tc>
      </w:tr>
      <w:tr w:rsidR="00451CC2" w14:paraId="6D1D1B7D" w14:textId="77777777" w:rsidTr="007A373B">
        <w:trPr>
          <w:trHeight w:val="227"/>
          <w:jc w:val="center"/>
        </w:trPr>
        <w:tc>
          <w:tcPr>
            <w:tcW w:w="2744" w:type="dxa"/>
            <w:tcMar>
              <w:left w:w="45" w:type="dxa"/>
              <w:right w:w="45" w:type="dxa"/>
            </w:tcMar>
            <w:vAlign w:val="center"/>
          </w:tcPr>
          <w:p w14:paraId="77EBAB63" w14:textId="77777777" w:rsidR="00451CC2" w:rsidRPr="00451CC2" w:rsidRDefault="00540671" w:rsidP="00A746D8">
            <w:pPr>
              <w:pStyle w:val="Tabletext"/>
              <w:rPr>
                <w:rFonts w:eastAsia="Calibri"/>
              </w:rPr>
            </w:pPr>
            <w:r w:rsidRPr="00540671">
              <w:rPr>
                <w:rFonts w:eastAsia="Calibri"/>
                <w:b/>
              </w:rPr>
              <w:t>REFORM 13:</w:t>
            </w:r>
            <w:r w:rsidR="00451CC2" w:rsidRPr="00451CC2">
              <w:rPr>
                <w:rFonts w:eastAsia="Calibri"/>
              </w:rPr>
              <w:t xml:space="preserve"> National strategy for financial literacy</w:t>
            </w:r>
          </w:p>
        </w:tc>
        <w:tc>
          <w:tcPr>
            <w:tcW w:w="1201" w:type="dxa"/>
            <w:tcMar>
              <w:left w:w="45" w:type="dxa"/>
              <w:right w:w="45" w:type="dxa"/>
            </w:tcMar>
            <w:vAlign w:val="center"/>
          </w:tcPr>
          <w:p w14:paraId="271AE8E1" w14:textId="77777777" w:rsidR="00451CC2" w:rsidRDefault="00451CC2" w:rsidP="00A746D8">
            <w:pPr>
              <w:pStyle w:val="Tabletext"/>
              <w:rPr>
                <w:rFonts w:eastAsia="Calibri"/>
                <w:sz w:val="20"/>
                <w:szCs w:val="20"/>
              </w:rPr>
            </w:pPr>
            <w:r>
              <w:rPr>
                <w:rFonts w:eastAsia="Calibri"/>
                <w:sz w:val="20"/>
                <w:szCs w:val="20"/>
              </w:rPr>
              <w:t>-</w:t>
            </w:r>
          </w:p>
        </w:tc>
        <w:tc>
          <w:tcPr>
            <w:tcW w:w="1228" w:type="dxa"/>
            <w:tcMar>
              <w:left w:w="45" w:type="dxa"/>
              <w:right w:w="45" w:type="dxa"/>
            </w:tcMar>
            <w:vAlign w:val="center"/>
          </w:tcPr>
          <w:p w14:paraId="4E64D994" w14:textId="77777777" w:rsidR="00451CC2" w:rsidRDefault="00451CC2" w:rsidP="00A746D8">
            <w:pPr>
              <w:pStyle w:val="Tabletext"/>
              <w:rPr>
                <w:rFonts w:eastAsia="Calibri"/>
                <w:sz w:val="20"/>
                <w:szCs w:val="20"/>
              </w:rPr>
            </w:pPr>
            <w:r>
              <w:rPr>
                <w:rFonts w:eastAsia="Calibri"/>
                <w:sz w:val="20"/>
                <w:szCs w:val="20"/>
              </w:rPr>
              <w:t>2025 CSR 1.6 2023 CSR 1.10</w:t>
            </w:r>
          </w:p>
        </w:tc>
        <w:tc>
          <w:tcPr>
            <w:tcW w:w="1932" w:type="dxa"/>
            <w:tcMar>
              <w:left w:w="45" w:type="dxa"/>
              <w:right w:w="45" w:type="dxa"/>
            </w:tcMar>
            <w:vAlign w:val="center"/>
          </w:tcPr>
          <w:p w14:paraId="0DFBD471" w14:textId="77777777" w:rsidR="00451CC2" w:rsidRDefault="00451CC2" w:rsidP="00A746D8">
            <w:pPr>
              <w:pStyle w:val="Tabletext"/>
              <w:rPr>
                <w:rFonts w:eastAsia="Calibri"/>
                <w:sz w:val="20"/>
                <w:szCs w:val="20"/>
              </w:rPr>
            </w:pPr>
            <w:r>
              <w:rPr>
                <w:rFonts w:eastAsia="Calibri"/>
                <w:sz w:val="20"/>
                <w:szCs w:val="20"/>
              </w:rPr>
              <w:t>Social and Economic resilience</w:t>
            </w:r>
          </w:p>
        </w:tc>
        <w:tc>
          <w:tcPr>
            <w:tcW w:w="1797" w:type="dxa"/>
            <w:tcMar>
              <w:left w:w="45" w:type="dxa"/>
              <w:right w:w="45" w:type="dxa"/>
            </w:tcMar>
            <w:vAlign w:val="center"/>
          </w:tcPr>
          <w:p w14:paraId="1111A615" w14:textId="77777777" w:rsidR="00451CC2" w:rsidRDefault="00451CC2" w:rsidP="00A746D8">
            <w:pPr>
              <w:pStyle w:val="Tabletext"/>
              <w:rPr>
                <w:rFonts w:eastAsia="Calibri"/>
                <w:sz w:val="20"/>
                <w:szCs w:val="20"/>
              </w:rPr>
            </w:pPr>
            <w:r>
              <w:rPr>
                <w:rFonts w:eastAsia="Calibri"/>
                <w:sz w:val="20"/>
                <w:szCs w:val="20"/>
              </w:rPr>
              <w:t>On track</w:t>
            </w:r>
          </w:p>
        </w:tc>
      </w:tr>
      <w:tr w:rsidR="00451CC2" w14:paraId="0966E7DB" w14:textId="77777777" w:rsidTr="007A373B">
        <w:trPr>
          <w:trHeight w:val="227"/>
          <w:jc w:val="center"/>
        </w:trPr>
        <w:tc>
          <w:tcPr>
            <w:tcW w:w="2744" w:type="dxa"/>
            <w:tcMar>
              <w:left w:w="45" w:type="dxa"/>
              <w:right w:w="45" w:type="dxa"/>
            </w:tcMar>
            <w:vAlign w:val="center"/>
          </w:tcPr>
          <w:p w14:paraId="10B47C87" w14:textId="77777777" w:rsidR="00451CC2" w:rsidRPr="00451CC2" w:rsidRDefault="00540671" w:rsidP="00A746D8">
            <w:pPr>
              <w:pStyle w:val="Tabletext"/>
              <w:rPr>
                <w:rFonts w:eastAsia="Calibri"/>
              </w:rPr>
            </w:pPr>
            <w:r w:rsidRPr="00540671">
              <w:rPr>
                <w:rFonts w:eastAsia="Calibri"/>
                <w:b/>
              </w:rPr>
              <w:t>REFORM 14:</w:t>
            </w:r>
            <w:r w:rsidR="00451CC2" w:rsidRPr="00451CC2">
              <w:rPr>
                <w:rFonts w:eastAsia="Calibri"/>
              </w:rPr>
              <w:t xml:space="preserve"> Project Preparation Facility (PPF) and Strategic Project Pipeline</w:t>
            </w:r>
          </w:p>
        </w:tc>
        <w:tc>
          <w:tcPr>
            <w:tcW w:w="1201" w:type="dxa"/>
            <w:tcMar>
              <w:left w:w="45" w:type="dxa"/>
              <w:right w:w="45" w:type="dxa"/>
            </w:tcMar>
            <w:vAlign w:val="center"/>
          </w:tcPr>
          <w:p w14:paraId="771A1318" w14:textId="77777777" w:rsidR="00451CC2" w:rsidRDefault="00451CC2" w:rsidP="00A746D8">
            <w:pPr>
              <w:pStyle w:val="Tabletext"/>
              <w:rPr>
                <w:rFonts w:eastAsia="Calibri"/>
                <w:sz w:val="20"/>
                <w:szCs w:val="20"/>
              </w:rPr>
            </w:pPr>
            <w:r>
              <w:rPr>
                <w:rFonts w:eastAsia="Calibri"/>
                <w:sz w:val="20"/>
                <w:szCs w:val="20"/>
              </w:rPr>
              <w:t>-</w:t>
            </w:r>
          </w:p>
        </w:tc>
        <w:tc>
          <w:tcPr>
            <w:tcW w:w="1228" w:type="dxa"/>
            <w:tcMar>
              <w:left w:w="45" w:type="dxa"/>
              <w:right w:w="45" w:type="dxa"/>
            </w:tcMar>
            <w:vAlign w:val="center"/>
          </w:tcPr>
          <w:p w14:paraId="3E5B6792" w14:textId="77777777" w:rsidR="00451CC2" w:rsidRDefault="00451CC2" w:rsidP="00A746D8">
            <w:pPr>
              <w:pStyle w:val="Tabletext"/>
              <w:rPr>
                <w:rFonts w:eastAsia="Calibri"/>
                <w:sz w:val="20"/>
                <w:szCs w:val="20"/>
              </w:rPr>
            </w:pPr>
            <w:r>
              <w:rPr>
                <w:rFonts w:eastAsia="Calibri"/>
                <w:sz w:val="20"/>
                <w:szCs w:val="20"/>
              </w:rPr>
              <w:t>2024 CSR 1.7</w:t>
            </w:r>
          </w:p>
          <w:p w14:paraId="53A11C96" w14:textId="77777777" w:rsidR="00451CC2" w:rsidRDefault="00451CC2" w:rsidP="00A746D8">
            <w:pPr>
              <w:pStyle w:val="Tabletext"/>
              <w:rPr>
                <w:rFonts w:eastAsia="Calibri"/>
                <w:sz w:val="20"/>
                <w:szCs w:val="20"/>
              </w:rPr>
            </w:pPr>
            <w:r>
              <w:rPr>
                <w:rFonts w:eastAsia="Calibri"/>
                <w:sz w:val="20"/>
                <w:szCs w:val="20"/>
              </w:rPr>
              <w:t>2024 CSR 2.1 2020 CSR 3.2</w:t>
            </w:r>
          </w:p>
        </w:tc>
        <w:tc>
          <w:tcPr>
            <w:tcW w:w="1932" w:type="dxa"/>
            <w:tcMar>
              <w:left w:w="45" w:type="dxa"/>
              <w:right w:w="45" w:type="dxa"/>
            </w:tcMar>
            <w:vAlign w:val="center"/>
          </w:tcPr>
          <w:p w14:paraId="66D28A72" w14:textId="77777777" w:rsidR="00451CC2" w:rsidRPr="00451CC2" w:rsidRDefault="00451CC2" w:rsidP="00A746D8">
            <w:pPr>
              <w:pStyle w:val="Tabletext"/>
              <w:rPr>
                <w:rFonts w:eastAsia="Calibri"/>
                <w:sz w:val="20"/>
                <w:szCs w:val="20"/>
              </w:rPr>
            </w:pPr>
            <w:r w:rsidRPr="00451CC2">
              <w:rPr>
                <w:rFonts w:eastAsia="Calibri"/>
                <w:sz w:val="20"/>
                <w:szCs w:val="20"/>
              </w:rPr>
              <w:t>Social and Economic resilience &amp; Fair green and digital transition</w:t>
            </w:r>
          </w:p>
        </w:tc>
        <w:tc>
          <w:tcPr>
            <w:tcW w:w="1797" w:type="dxa"/>
            <w:tcMar>
              <w:left w:w="45" w:type="dxa"/>
              <w:right w:w="45" w:type="dxa"/>
            </w:tcMar>
            <w:vAlign w:val="center"/>
          </w:tcPr>
          <w:p w14:paraId="36161D18" w14:textId="77777777" w:rsidR="00451CC2" w:rsidRDefault="00451CC2" w:rsidP="00A746D8">
            <w:pPr>
              <w:pStyle w:val="Tabletext"/>
              <w:rPr>
                <w:rFonts w:eastAsia="Calibri"/>
                <w:sz w:val="20"/>
                <w:szCs w:val="20"/>
              </w:rPr>
            </w:pPr>
            <w:r>
              <w:rPr>
                <w:rFonts w:eastAsia="Calibri"/>
                <w:sz w:val="20"/>
                <w:szCs w:val="20"/>
              </w:rPr>
              <w:t>On track</w:t>
            </w:r>
          </w:p>
        </w:tc>
      </w:tr>
      <w:tr w:rsidR="00451CC2" w14:paraId="6485CA7A" w14:textId="77777777" w:rsidTr="007A373B">
        <w:trPr>
          <w:trHeight w:val="227"/>
          <w:jc w:val="center"/>
        </w:trPr>
        <w:tc>
          <w:tcPr>
            <w:tcW w:w="2744" w:type="dxa"/>
            <w:tcMar>
              <w:left w:w="45" w:type="dxa"/>
              <w:right w:w="45" w:type="dxa"/>
            </w:tcMar>
            <w:vAlign w:val="center"/>
          </w:tcPr>
          <w:p w14:paraId="4BD970A2" w14:textId="77777777" w:rsidR="00451CC2" w:rsidRPr="00451CC2" w:rsidRDefault="00540671" w:rsidP="00A746D8">
            <w:pPr>
              <w:pStyle w:val="Tabletext"/>
              <w:rPr>
                <w:rFonts w:eastAsia="Calibri"/>
              </w:rPr>
            </w:pPr>
            <w:r w:rsidRPr="00540671">
              <w:rPr>
                <w:rFonts w:eastAsia="Calibri"/>
                <w:b/>
              </w:rPr>
              <w:t>REFORM 15:</w:t>
            </w:r>
            <w:r w:rsidR="00451CC2" w:rsidRPr="00451CC2">
              <w:rPr>
                <w:rFonts w:eastAsia="Calibri"/>
              </w:rPr>
              <w:t xml:space="preserve">  New public investment development programme</w:t>
            </w:r>
          </w:p>
        </w:tc>
        <w:tc>
          <w:tcPr>
            <w:tcW w:w="1201" w:type="dxa"/>
            <w:tcMar>
              <w:left w:w="45" w:type="dxa"/>
              <w:right w:w="45" w:type="dxa"/>
            </w:tcMar>
            <w:vAlign w:val="center"/>
          </w:tcPr>
          <w:p w14:paraId="6FC2D9E7" w14:textId="77777777" w:rsidR="00451CC2" w:rsidRDefault="00451CC2" w:rsidP="00A746D8">
            <w:pPr>
              <w:pStyle w:val="Tabletext"/>
              <w:rPr>
                <w:rFonts w:eastAsia="Calibri"/>
                <w:sz w:val="20"/>
                <w:szCs w:val="20"/>
              </w:rPr>
            </w:pPr>
            <w:r>
              <w:rPr>
                <w:rFonts w:eastAsia="Calibri"/>
                <w:sz w:val="20"/>
                <w:szCs w:val="20"/>
              </w:rPr>
              <w:t>-</w:t>
            </w:r>
          </w:p>
        </w:tc>
        <w:tc>
          <w:tcPr>
            <w:tcW w:w="1228" w:type="dxa"/>
            <w:tcMar>
              <w:left w:w="45" w:type="dxa"/>
              <w:right w:w="45" w:type="dxa"/>
            </w:tcMar>
            <w:vAlign w:val="center"/>
          </w:tcPr>
          <w:p w14:paraId="212E7811" w14:textId="77777777" w:rsidR="00451CC2" w:rsidRDefault="00451CC2" w:rsidP="00A746D8">
            <w:pPr>
              <w:pStyle w:val="Tabletext"/>
              <w:rPr>
                <w:rFonts w:eastAsia="Calibri"/>
                <w:sz w:val="20"/>
                <w:szCs w:val="20"/>
              </w:rPr>
            </w:pPr>
            <w:r>
              <w:rPr>
                <w:rFonts w:eastAsia="Calibri"/>
                <w:sz w:val="20"/>
                <w:szCs w:val="20"/>
              </w:rPr>
              <w:t xml:space="preserve">2024 CSR 1.7  </w:t>
            </w:r>
            <w:r>
              <w:rPr>
                <w:rFonts w:eastAsia="Calibri"/>
                <w:sz w:val="20"/>
                <w:szCs w:val="20"/>
              </w:rPr>
              <w:br/>
              <w:t>2020 CSR 3.2</w:t>
            </w:r>
          </w:p>
        </w:tc>
        <w:tc>
          <w:tcPr>
            <w:tcW w:w="1932" w:type="dxa"/>
            <w:tcMar>
              <w:left w:w="45" w:type="dxa"/>
              <w:right w:w="45" w:type="dxa"/>
            </w:tcMar>
            <w:vAlign w:val="center"/>
          </w:tcPr>
          <w:p w14:paraId="0EC0F57A" w14:textId="77777777" w:rsidR="00451CC2" w:rsidRPr="00451CC2" w:rsidRDefault="00451CC2" w:rsidP="00A746D8">
            <w:pPr>
              <w:pStyle w:val="Tabletext"/>
              <w:rPr>
                <w:rFonts w:eastAsia="Calibri"/>
                <w:sz w:val="20"/>
                <w:szCs w:val="20"/>
              </w:rPr>
            </w:pPr>
            <w:r w:rsidRPr="00451CC2">
              <w:rPr>
                <w:rFonts w:eastAsia="Calibri"/>
                <w:sz w:val="20"/>
                <w:szCs w:val="20"/>
              </w:rPr>
              <w:t>Social and Economic resilience &amp; Fair green and digital transition</w:t>
            </w:r>
          </w:p>
        </w:tc>
        <w:tc>
          <w:tcPr>
            <w:tcW w:w="1797" w:type="dxa"/>
            <w:tcMar>
              <w:left w:w="45" w:type="dxa"/>
              <w:right w:w="45" w:type="dxa"/>
            </w:tcMar>
            <w:vAlign w:val="center"/>
          </w:tcPr>
          <w:p w14:paraId="1B95FFDF" w14:textId="77777777" w:rsidR="00451CC2" w:rsidRDefault="00451CC2" w:rsidP="00A746D8">
            <w:pPr>
              <w:pStyle w:val="Tabletext"/>
              <w:rPr>
                <w:rFonts w:eastAsia="Calibri"/>
                <w:sz w:val="20"/>
                <w:szCs w:val="20"/>
              </w:rPr>
            </w:pPr>
            <w:r>
              <w:rPr>
                <w:rFonts w:eastAsia="Calibri"/>
                <w:sz w:val="20"/>
                <w:szCs w:val="20"/>
              </w:rPr>
              <w:t>On track</w:t>
            </w:r>
          </w:p>
        </w:tc>
      </w:tr>
      <w:tr w:rsidR="00451CC2" w14:paraId="02C91C61" w14:textId="77777777" w:rsidTr="007A373B">
        <w:trPr>
          <w:trHeight w:val="227"/>
          <w:jc w:val="center"/>
        </w:trPr>
        <w:tc>
          <w:tcPr>
            <w:tcW w:w="2744" w:type="dxa"/>
            <w:tcMar>
              <w:left w:w="45" w:type="dxa"/>
              <w:right w:w="45" w:type="dxa"/>
            </w:tcMar>
            <w:vAlign w:val="center"/>
          </w:tcPr>
          <w:p w14:paraId="7BB59A8F" w14:textId="77777777" w:rsidR="00451CC2" w:rsidRPr="00451CC2" w:rsidRDefault="00540671" w:rsidP="00A746D8">
            <w:pPr>
              <w:pStyle w:val="Tabletext"/>
              <w:rPr>
                <w:rFonts w:eastAsia="Calibri"/>
              </w:rPr>
            </w:pPr>
            <w:r w:rsidRPr="00540671">
              <w:rPr>
                <w:rFonts w:eastAsia="Calibri"/>
                <w:b/>
              </w:rPr>
              <w:t>REFORM 16:</w:t>
            </w:r>
            <w:r w:rsidR="00451CC2" w:rsidRPr="00451CC2">
              <w:rPr>
                <w:rFonts w:eastAsia="Calibri"/>
              </w:rPr>
              <w:t xml:space="preserve"> Restructuring of the Hellenic Corporation of Assets and Participations (HCAP) and its subsidiaries</w:t>
            </w:r>
          </w:p>
        </w:tc>
        <w:tc>
          <w:tcPr>
            <w:tcW w:w="1201" w:type="dxa"/>
            <w:tcMar>
              <w:left w:w="45" w:type="dxa"/>
              <w:right w:w="45" w:type="dxa"/>
            </w:tcMar>
            <w:vAlign w:val="center"/>
          </w:tcPr>
          <w:p w14:paraId="00F763E7" w14:textId="77777777" w:rsidR="00451CC2" w:rsidRDefault="00451CC2" w:rsidP="00A746D8">
            <w:pPr>
              <w:pStyle w:val="Tabletext"/>
              <w:rPr>
                <w:rFonts w:eastAsia="Calibri"/>
                <w:sz w:val="20"/>
                <w:szCs w:val="20"/>
              </w:rPr>
            </w:pPr>
            <w:r>
              <w:rPr>
                <w:rFonts w:eastAsia="Calibri"/>
                <w:sz w:val="20"/>
                <w:szCs w:val="20"/>
              </w:rPr>
              <w:t>-</w:t>
            </w:r>
          </w:p>
        </w:tc>
        <w:tc>
          <w:tcPr>
            <w:tcW w:w="1228" w:type="dxa"/>
            <w:tcMar>
              <w:left w:w="45" w:type="dxa"/>
              <w:right w:w="45" w:type="dxa"/>
            </w:tcMar>
            <w:vAlign w:val="center"/>
          </w:tcPr>
          <w:p w14:paraId="2DC04373" w14:textId="77777777" w:rsidR="00451CC2" w:rsidRDefault="00451CC2" w:rsidP="00A746D8">
            <w:pPr>
              <w:pStyle w:val="Tabletext"/>
              <w:rPr>
                <w:rFonts w:eastAsia="Calibri"/>
                <w:sz w:val="20"/>
                <w:szCs w:val="20"/>
              </w:rPr>
            </w:pPr>
            <w:r>
              <w:rPr>
                <w:rFonts w:eastAsia="Calibri"/>
                <w:sz w:val="20"/>
                <w:szCs w:val="20"/>
              </w:rPr>
              <w:t>2024 CSR 3.2</w:t>
            </w:r>
            <w:r>
              <w:rPr>
                <w:rFonts w:eastAsia="Calibri"/>
                <w:sz w:val="20"/>
                <w:szCs w:val="20"/>
              </w:rPr>
              <w:br/>
              <w:t>2020 CSR 3.4</w:t>
            </w:r>
          </w:p>
        </w:tc>
        <w:tc>
          <w:tcPr>
            <w:tcW w:w="1932" w:type="dxa"/>
            <w:tcMar>
              <w:left w:w="45" w:type="dxa"/>
              <w:right w:w="45" w:type="dxa"/>
            </w:tcMar>
            <w:vAlign w:val="center"/>
          </w:tcPr>
          <w:p w14:paraId="43E864E6" w14:textId="77777777" w:rsidR="00451CC2" w:rsidRDefault="00451CC2" w:rsidP="00A746D8">
            <w:pPr>
              <w:pStyle w:val="Tabletext"/>
              <w:rPr>
                <w:rFonts w:eastAsia="Calibri"/>
                <w:sz w:val="20"/>
                <w:szCs w:val="20"/>
              </w:rPr>
            </w:pPr>
            <w:r>
              <w:rPr>
                <w:rFonts w:eastAsia="Calibri"/>
                <w:sz w:val="20"/>
                <w:szCs w:val="20"/>
              </w:rPr>
              <w:t>Social and Economic resilience</w:t>
            </w:r>
          </w:p>
        </w:tc>
        <w:tc>
          <w:tcPr>
            <w:tcW w:w="1797" w:type="dxa"/>
            <w:tcMar>
              <w:left w:w="45" w:type="dxa"/>
              <w:right w:w="45" w:type="dxa"/>
            </w:tcMar>
            <w:vAlign w:val="center"/>
          </w:tcPr>
          <w:p w14:paraId="4573B3E4" w14:textId="77777777" w:rsidR="00451CC2" w:rsidRDefault="00451CC2" w:rsidP="00A746D8">
            <w:pPr>
              <w:pStyle w:val="Tabletext"/>
              <w:rPr>
                <w:rFonts w:eastAsia="Calibri"/>
                <w:sz w:val="20"/>
                <w:szCs w:val="20"/>
              </w:rPr>
            </w:pPr>
            <w:r>
              <w:rPr>
                <w:rFonts w:eastAsia="Calibri"/>
                <w:sz w:val="20"/>
                <w:szCs w:val="20"/>
              </w:rPr>
              <w:t>On track</w:t>
            </w:r>
          </w:p>
        </w:tc>
      </w:tr>
      <w:tr w:rsidR="00451CC2" w14:paraId="4DB0BC95" w14:textId="77777777" w:rsidTr="007A373B">
        <w:trPr>
          <w:trHeight w:val="227"/>
          <w:jc w:val="center"/>
        </w:trPr>
        <w:tc>
          <w:tcPr>
            <w:tcW w:w="2744" w:type="dxa"/>
            <w:tcMar>
              <w:left w:w="45" w:type="dxa"/>
              <w:right w:w="45" w:type="dxa"/>
            </w:tcMar>
            <w:vAlign w:val="center"/>
          </w:tcPr>
          <w:p w14:paraId="785273F3" w14:textId="77777777" w:rsidR="00451CC2" w:rsidRPr="00451CC2" w:rsidRDefault="00540671" w:rsidP="00A746D8">
            <w:pPr>
              <w:pStyle w:val="Tabletext"/>
              <w:rPr>
                <w:rFonts w:eastAsia="Calibri"/>
              </w:rPr>
            </w:pPr>
            <w:r w:rsidRPr="00540671">
              <w:rPr>
                <w:rFonts w:eastAsia="Calibri"/>
                <w:b/>
              </w:rPr>
              <w:t>REFORM 17:</w:t>
            </w:r>
            <w:r w:rsidR="00451CC2" w:rsidRPr="00451CC2">
              <w:rPr>
                <w:rFonts w:eastAsia="Calibri"/>
              </w:rPr>
              <w:t xml:space="preserve"> Measures to address the housing crisis</w:t>
            </w:r>
          </w:p>
        </w:tc>
        <w:tc>
          <w:tcPr>
            <w:tcW w:w="1201" w:type="dxa"/>
            <w:tcMar>
              <w:left w:w="45" w:type="dxa"/>
              <w:right w:w="45" w:type="dxa"/>
            </w:tcMar>
            <w:vAlign w:val="center"/>
          </w:tcPr>
          <w:p w14:paraId="0E3732C2" w14:textId="77777777" w:rsidR="00451CC2" w:rsidRDefault="00451CC2" w:rsidP="00A746D8">
            <w:pPr>
              <w:pStyle w:val="Tabletext"/>
              <w:rPr>
                <w:rFonts w:eastAsia="Calibri"/>
                <w:sz w:val="20"/>
                <w:szCs w:val="20"/>
              </w:rPr>
            </w:pPr>
            <w:r>
              <w:rPr>
                <w:rFonts w:eastAsia="Calibri"/>
                <w:sz w:val="20"/>
                <w:szCs w:val="20"/>
              </w:rPr>
              <w:t>RRF 16400</w:t>
            </w:r>
          </w:p>
        </w:tc>
        <w:tc>
          <w:tcPr>
            <w:tcW w:w="1228" w:type="dxa"/>
            <w:tcMar>
              <w:left w:w="45" w:type="dxa"/>
              <w:right w:w="45" w:type="dxa"/>
            </w:tcMar>
            <w:vAlign w:val="center"/>
          </w:tcPr>
          <w:p w14:paraId="76A3023B" w14:textId="77777777" w:rsidR="00451CC2" w:rsidRDefault="00451CC2" w:rsidP="00A746D8">
            <w:pPr>
              <w:pStyle w:val="Tabletext"/>
              <w:rPr>
                <w:rFonts w:eastAsia="Calibri"/>
                <w:sz w:val="20"/>
                <w:szCs w:val="20"/>
              </w:rPr>
            </w:pPr>
            <w:r>
              <w:rPr>
                <w:rFonts w:eastAsia="Calibri"/>
                <w:sz w:val="20"/>
                <w:szCs w:val="20"/>
              </w:rPr>
              <w:t xml:space="preserve">2024 CSR 1.7 </w:t>
            </w:r>
          </w:p>
        </w:tc>
        <w:tc>
          <w:tcPr>
            <w:tcW w:w="1932" w:type="dxa"/>
            <w:tcMar>
              <w:left w:w="45" w:type="dxa"/>
              <w:right w:w="45" w:type="dxa"/>
            </w:tcMar>
            <w:vAlign w:val="center"/>
          </w:tcPr>
          <w:p w14:paraId="669995C1" w14:textId="77777777" w:rsidR="00451CC2" w:rsidRDefault="00451CC2" w:rsidP="00A746D8">
            <w:pPr>
              <w:pStyle w:val="Tabletext"/>
              <w:rPr>
                <w:rFonts w:eastAsia="Calibri"/>
                <w:sz w:val="20"/>
                <w:szCs w:val="20"/>
              </w:rPr>
            </w:pPr>
            <w:r>
              <w:rPr>
                <w:rFonts w:eastAsia="Calibri"/>
                <w:sz w:val="20"/>
                <w:szCs w:val="20"/>
              </w:rPr>
              <w:t>Social and Economic resilience</w:t>
            </w:r>
          </w:p>
        </w:tc>
        <w:tc>
          <w:tcPr>
            <w:tcW w:w="1797" w:type="dxa"/>
            <w:tcMar>
              <w:left w:w="45" w:type="dxa"/>
              <w:right w:w="45" w:type="dxa"/>
            </w:tcMar>
            <w:vAlign w:val="center"/>
          </w:tcPr>
          <w:p w14:paraId="2D1304ED" w14:textId="77777777" w:rsidR="00451CC2" w:rsidRDefault="00451CC2" w:rsidP="00A746D8">
            <w:pPr>
              <w:pStyle w:val="Tabletext"/>
              <w:rPr>
                <w:rFonts w:eastAsia="Calibri"/>
                <w:sz w:val="20"/>
                <w:szCs w:val="20"/>
              </w:rPr>
            </w:pPr>
            <w:r>
              <w:rPr>
                <w:rFonts w:eastAsia="Calibri"/>
                <w:sz w:val="20"/>
                <w:szCs w:val="20"/>
              </w:rPr>
              <w:t>On track</w:t>
            </w:r>
          </w:p>
        </w:tc>
      </w:tr>
      <w:tr w:rsidR="00451CC2" w14:paraId="601EF647" w14:textId="77777777" w:rsidTr="007A373B">
        <w:trPr>
          <w:trHeight w:val="227"/>
          <w:jc w:val="center"/>
        </w:trPr>
        <w:tc>
          <w:tcPr>
            <w:tcW w:w="2744" w:type="dxa"/>
            <w:tcMar>
              <w:left w:w="45" w:type="dxa"/>
              <w:right w:w="45" w:type="dxa"/>
            </w:tcMar>
            <w:vAlign w:val="center"/>
          </w:tcPr>
          <w:p w14:paraId="103F7AB8" w14:textId="77777777" w:rsidR="00451CC2" w:rsidRDefault="00540671" w:rsidP="00A746D8">
            <w:pPr>
              <w:pStyle w:val="Tabletext"/>
              <w:rPr>
                <w:rFonts w:eastAsia="Calibri"/>
              </w:rPr>
            </w:pPr>
            <w:r w:rsidRPr="00540671">
              <w:rPr>
                <w:rFonts w:eastAsia="Calibri"/>
                <w:b/>
              </w:rPr>
              <w:t>REFORM 18:</w:t>
            </w:r>
            <w:r w:rsidR="00451CC2">
              <w:rPr>
                <w:rFonts w:eastAsia="Calibri"/>
              </w:rPr>
              <w:t xml:space="preserve"> Advance Tax Ruling</w:t>
            </w:r>
          </w:p>
        </w:tc>
        <w:tc>
          <w:tcPr>
            <w:tcW w:w="1201" w:type="dxa"/>
            <w:tcMar>
              <w:left w:w="45" w:type="dxa"/>
              <w:right w:w="45" w:type="dxa"/>
            </w:tcMar>
            <w:vAlign w:val="center"/>
          </w:tcPr>
          <w:p w14:paraId="6E53AF78" w14:textId="77777777" w:rsidR="00451CC2" w:rsidRDefault="00451CC2" w:rsidP="00A746D8">
            <w:pPr>
              <w:pStyle w:val="Tabletext"/>
              <w:rPr>
                <w:rFonts w:eastAsia="Calibri"/>
                <w:sz w:val="20"/>
                <w:szCs w:val="20"/>
              </w:rPr>
            </w:pPr>
            <w:r>
              <w:rPr>
                <w:rFonts w:eastAsia="Calibri"/>
                <w:sz w:val="20"/>
                <w:szCs w:val="20"/>
              </w:rPr>
              <w:t>-</w:t>
            </w:r>
          </w:p>
        </w:tc>
        <w:tc>
          <w:tcPr>
            <w:tcW w:w="1228" w:type="dxa"/>
            <w:tcMar>
              <w:left w:w="45" w:type="dxa"/>
              <w:right w:w="45" w:type="dxa"/>
            </w:tcMar>
            <w:vAlign w:val="center"/>
          </w:tcPr>
          <w:p w14:paraId="1B7F8B80" w14:textId="77777777" w:rsidR="00451CC2" w:rsidRDefault="00451CC2" w:rsidP="00A746D8">
            <w:pPr>
              <w:pStyle w:val="Tabletext"/>
              <w:rPr>
                <w:rFonts w:eastAsia="Calibri"/>
                <w:sz w:val="20"/>
                <w:szCs w:val="20"/>
              </w:rPr>
            </w:pPr>
            <w:r>
              <w:rPr>
                <w:rFonts w:eastAsia="Calibri"/>
                <w:sz w:val="20"/>
                <w:szCs w:val="20"/>
              </w:rPr>
              <w:t>2025 CSR 1.4</w:t>
            </w:r>
          </w:p>
          <w:p w14:paraId="07177F8D" w14:textId="77777777" w:rsidR="00451CC2" w:rsidRDefault="00451CC2" w:rsidP="00A746D8">
            <w:pPr>
              <w:pStyle w:val="Tabletext"/>
              <w:rPr>
                <w:rFonts w:eastAsia="Calibri"/>
                <w:sz w:val="20"/>
                <w:szCs w:val="20"/>
              </w:rPr>
            </w:pPr>
            <w:r>
              <w:rPr>
                <w:rFonts w:eastAsia="Calibri"/>
                <w:sz w:val="20"/>
                <w:szCs w:val="20"/>
              </w:rPr>
              <w:t>2024 CCR 1.3</w:t>
            </w:r>
          </w:p>
          <w:p w14:paraId="2B84F3BB" w14:textId="77777777" w:rsidR="00451CC2" w:rsidRDefault="00451CC2" w:rsidP="00A746D8">
            <w:pPr>
              <w:pStyle w:val="Tabletext"/>
              <w:rPr>
                <w:rFonts w:eastAsia="Calibri"/>
                <w:sz w:val="20"/>
                <w:szCs w:val="20"/>
              </w:rPr>
            </w:pPr>
            <w:r>
              <w:rPr>
                <w:rFonts w:eastAsia="Calibri"/>
                <w:sz w:val="20"/>
                <w:szCs w:val="20"/>
              </w:rPr>
              <w:t>2023 CSR 1.5</w:t>
            </w:r>
          </w:p>
          <w:p w14:paraId="2687068E" w14:textId="77777777" w:rsidR="00451CC2" w:rsidRDefault="00451CC2" w:rsidP="00A746D8">
            <w:pPr>
              <w:pStyle w:val="Tabletext"/>
              <w:rPr>
                <w:rFonts w:eastAsia="Calibri"/>
                <w:sz w:val="20"/>
                <w:szCs w:val="20"/>
              </w:rPr>
            </w:pPr>
            <w:r>
              <w:rPr>
                <w:rFonts w:eastAsia="Calibri"/>
                <w:sz w:val="20"/>
                <w:szCs w:val="20"/>
              </w:rPr>
              <w:t>2022 CSR 1.4</w:t>
            </w:r>
          </w:p>
        </w:tc>
        <w:tc>
          <w:tcPr>
            <w:tcW w:w="1932" w:type="dxa"/>
            <w:tcMar>
              <w:left w:w="45" w:type="dxa"/>
              <w:right w:w="45" w:type="dxa"/>
            </w:tcMar>
            <w:vAlign w:val="center"/>
          </w:tcPr>
          <w:p w14:paraId="25134337" w14:textId="77777777" w:rsidR="00451CC2" w:rsidRDefault="00451CC2" w:rsidP="00A746D8">
            <w:pPr>
              <w:pStyle w:val="Tabletext"/>
              <w:rPr>
                <w:rFonts w:eastAsia="Calibri"/>
                <w:sz w:val="20"/>
                <w:szCs w:val="20"/>
              </w:rPr>
            </w:pPr>
            <w:r>
              <w:rPr>
                <w:rFonts w:eastAsia="Calibri"/>
                <w:sz w:val="20"/>
                <w:szCs w:val="20"/>
              </w:rPr>
              <w:t>Social and Economic resilience</w:t>
            </w:r>
          </w:p>
        </w:tc>
        <w:tc>
          <w:tcPr>
            <w:tcW w:w="1797" w:type="dxa"/>
            <w:tcMar>
              <w:left w:w="45" w:type="dxa"/>
              <w:right w:w="45" w:type="dxa"/>
            </w:tcMar>
            <w:vAlign w:val="center"/>
          </w:tcPr>
          <w:p w14:paraId="6F064F59" w14:textId="77777777" w:rsidR="00451CC2" w:rsidRDefault="00451CC2" w:rsidP="00A746D8">
            <w:pPr>
              <w:pStyle w:val="Tabletext"/>
              <w:rPr>
                <w:rFonts w:eastAsia="Calibri"/>
                <w:sz w:val="20"/>
                <w:szCs w:val="20"/>
              </w:rPr>
            </w:pPr>
            <w:r>
              <w:rPr>
                <w:rFonts w:eastAsia="Calibri"/>
                <w:sz w:val="20"/>
                <w:szCs w:val="20"/>
              </w:rPr>
              <w:t>On track</w:t>
            </w:r>
          </w:p>
        </w:tc>
      </w:tr>
      <w:tr w:rsidR="00451CC2" w14:paraId="6B4131C3" w14:textId="77777777" w:rsidTr="007A373B">
        <w:trPr>
          <w:trHeight w:val="227"/>
          <w:jc w:val="center"/>
        </w:trPr>
        <w:tc>
          <w:tcPr>
            <w:tcW w:w="2744" w:type="dxa"/>
            <w:tcMar>
              <w:left w:w="45" w:type="dxa"/>
              <w:right w:w="45" w:type="dxa"/>
            </w:tcMar>
            <w:vAlign w:val="center"/>
          </w:tcPr>
          <w:p w14:paraId="1EDADFD5" w14:textId="77777777" w:rsidR="00451CC2" w:rsidRPr="00451CC2" w:rsidRDefault="00540671" w:rsidP="00A746D8">
            <w:pPr>
              <w:pStyle w:val="Tabletext"/>
              <w:rPr>
                <w:rFonts w:eastAsia="Calibri"/>
              </w:rPr>
            </w:pPr>
            <w:r w:rsidRPr="00540671">
              <w:rPr>
                <w:rFonts w:eastAsia="Calibri"/>
                <w:b/>
              </w:rPr>
              <w:t>INVESTMENT 1:</w:t>
            </w:r>
            <w:r w:rsidR="00451CC2" w:rsidRPr="00451CC2">
              <w:rPr>
                <w:rFonts w:eastAsia="Calibri"/>
              </w:rPr>
              <w:t xml:space="preserve"> Digital Transformation of the Tax and Customs Administration</w:t>
            </w:r>
          </w:p>
        </w:tc>
        <w:tc>
          <w:tcPr>
            <w:tcW w:w="1201" w:type="dxa"/>
            <w:tcMar>
              <w:left w:w="45" w:type="dxa"/>
              <w:right w:w="45" w:type="dxa"/>
            </w:tcMar>
            <w:vAlign w:val="center"/>
          </w:tcPr>
          <w:p w14:paraId="4DC9A048" w14:textId="77777777" w:rsidR="00451CC2" w:rsidRDefault="00451CC2" w:rsidP="00A746D8">
            <w:pPr>
              <w:pStyle w:val="Tabletext"/>
              <w:rPr>
                <w:rFonts w:eastAsia="Calibri"/>
                <w:sz w:val="20"/>
                <w:szCs w:val="20"/>
              </w:rPr>
            </w:pPr>
            <w:r>
              <w:rPr>
                <w:rFonts w:eastAsia="Calibri"/>
                <w:sz w:val="20"/>
                <w:szCs w:val="20"/>
              </w:rPr>
              <w:t>RRF 16291</w:t>
            </w:r>
          </w:p>
        </w:tc>
        <w:tc>
          <w:tcPr>
            <w:tcW w:w="1228" w:type="dxa"/>
            <w:tcMar>
              <w:left w:w="45" w:type="dxa"/>
              <w:right w:w="45" w:type="dxa"/>
            </w:tcMar>
            <w:vAlign w:val="center"/>
          </w:tcPr>
          <w:p w14:paraId="4B16C2F2" w14:textId="77777777" w:rsidR="00451CC2" w:rsidRPr="00451CC2" w:rsidRDefault="00451CC2" w:rsidP="00A746D8">
            <w:pPr>
              <w:pStyle w:val="Tabletext"/>
              <w:rPr>
                <w:rFonts w:eastAsia="Calibri"/>
                <w:sz w:val="20"/>
                <w:szCs w:val="20"/>
              </w:rPr>
            </w:pPr>
            <w:r w:rsidRPr="00451CC2">
              <w:rPr>
                <w:rFonts w:eastAsia="Calibri"/>
                <w:sz w:val="20"/>
                <w:szCs w:val="20"/>
              </w:rPr>
              <w:t>2025 CSR 1.3</w:t>
            </w:r>
          </w:p>
          <w:p w14:paraId="4341A11F" w14:textId="77777777" w:rsidR="00451CC2" w:rsidRPr="00451CC2" w:rsidRDefault="00451CC2" w:rsidP="00A746D8">
            <w:pPr>
              <w:pStyle w:val="Tabletext"/>
              <w:rPr>
                <w:rFonts w:eastAsia="Calibri"/>
                <w:sz w:val="20"/>
                <w:szCs w:val="20"/>
              </w:rPr>
            </w:pPr>
            <w:r w:rsidRPr="00451CC2">
              <w:rPr>
                <w:rFonts w:eastAsia="Calibri"/>
                <w:sz w:val="20"/>
                <w:szCs w:val="20"/>
              </w:rPr>
              <w:t>2025 CSR 1.4 2024 CSR 1.3</w:t>
            </w:r>
          </w:p>
          <w:p w14:paraId="47CEE89F" w14:textId="77777777" w:rsidR="00451CC2" w:rsidRPr="00451CC2" w:rsidRDefault="00451CC2" w:rsidP="00A746D8">
            <w:pPr>
              <w:pStyle w:val="Tabletext"/>
              <w:rPr>
                <w:rFonts w:eastAsia="Calibri"/>
                <w:sz w:val="20"/>
                <w:szCs w:val="20"/>
              </w:rPr>
            </w:pPr>
            <w:r w:rsidRPr="00451CC2">
              <w:rPr>
                <w:rFonts w:eastAsia="Calibri"/>
                <w:sz w:val="20"/>
                <w:szCs w:val="20"/>
              </w:rPr>
              <w:t xml:space="preserve">2024 CSR 1.4 </w:t>
            </w:r>
          </w:p>
          <w:p w14:paraId="67BEE4BD" w14:textId="77777777" w:rsidR="00451CC2" w:rsidRPr="00451CC2" w:rsidRDefault="00451CC2" w:rsidP="00A746D8">
            <w:pPr>
              <w:pStyle w:val="Tabletext"/>
              <w:rPr>
                <w:rFonts w:eastAsia="Calibri"/>
                <w:sz w:val="20"/>
                <w:szCs w:val="20"/>
              </w:rPr>
            </w:pPr>
            <w:r w:rsidRPr="00451CC2">
              <w:rPr>
                <w:rFonts w:eastAsia="Calibri"/>
                <w:sz w:val="20"/>
                <w:szCs w:val="20"/>
              </w:rPr>
              <w:t>2024 CSR 1.7</w:t>
            </w:r>
          </w:p>
          <w:p w14:paraId="215A23B8" w14:textId="77777777" w:rsidR="00451CC2" w:rsidRPr="00451CC2" w:rsidRDefault="00451CC2" w:rsidP="00A746D8">
            <w:pPr>
              <w:pStyle w:val="Tabletext"/>
              <w:rPr>
                <w:rFonts w:eastAsia="Calibri"/>
                <w:sz w:val="20"/>
                <w:szCs w:val="20"/>
              </w:rPr>
            </w:pPr>
            <w:r w:rsidRPr="00451CC2">
              <w:rPr>
                <w:rFonts w:eastAsia="Calibri"/>
                <w:sz w:val="20"/>
                <w:szCs w:val="20"/>
              </w:rPr>
              <w:t xml:space="preserve">2024 CSR 1.3 </w:t>
            </w:r>
          </w:p>
          <w:p w14:paraId="1A190364" w14:textId="77777777" w:rsidR="00451CC2" w:rsidRPr="00451CC2" w:rsidRDefault="00451CC2" w:rsidP="00A746D8">
            <w:pPr>
              <w:pStyle w:val="Tabletext"/>
              <w:rPr>
                <w:rFonts w:eastAsia="Calibri"/>
                <w:sz w:val="20"/>
                <w:szCs w:val="20"/>
              </w:rPr>
            </w:pPr>
            <w:r w:rsidRPr="00451CC2">
              <w:rPr>
                <w:rFonts w:eastAsia="Calibri"/>
                <w:sz w:val="20"/>
                <w:szCs w:val="20"/>
              </w:rPr>
              <w:lastRenderedPageBreak/>
              <w:t>2023 CSR 1.7 2023 CSR 1.8 2020 CSR 3.9</w:t>
            </w:r>
          </w:p>
          <w:p w14:paraId="4CA3D9FC" w14:textId="77777777" w:rsidR="00451CC2" w:rsidRPr="00451CC2" w:rsidRDefault="00451CC2" w:rsidP="00A746D8">
            <w:pPr>
              <w:pStyle w:val="Tabletext"/>
              <w:rPr>
                <w:rFonts w:eastAsia="Calibri"/>
                <w:sz w:val="20"/>
                <w:szCs w:val="20"/>
              </w:rPr>
            </w:pPr>
            <w:r w:rsidRPr="00451CC2">
              <w:rPr>
                <w:rFonts w:eastAsia="Calibri"/>
                <w:sz w:val="20"/>
                <w:szCs w:val="20"/>
              </w:rPr>
              <w:t xml:space="preserve">2020 CSR 4.1 </w:t>
            </w:r>
          </w:p>
          <w:p w14:paraId="44EE7D66" w14:textId="77777777" w:rsidR="00451CC2" w:rsidRDefault="00451CC2" w:rsidP="00A746D8">
            <w:pPr>
              <w:pStyle w:val="Tabletext"/>
              <w:rPr>
                <w:rFonts w:eastAsia="Calibri"/>
                <w:sz w:val="20"/>
                <w:szCs w:val="20"/>
              </w:rPr>
            </w:pPr>
            <w:r>
              <w:rPr>
                <w:rFonts w:eastAsia="Calibri"/>
                <w:sz w:val="20"/>
                <w:szCs w:val="20"/>
              </w:rPr>
              <w:t>2020 CSR 1.1 2019 CSR 2.3</w:t>
            </w:r>
          </w:p>
          <w:p w14:paraId="0C4D9EA1" w14:textId="77777777" w:rsidR="00451CC2" w:rsidRDefault="00451CC2" w:rsidP="00A746D8">
            <w:pPr>
              <w:pStyle w:val="Tabletext"/>
              <w:rPr>
                <w:rFonts w:eastAsia="Calibri"/>
                <w:sz w:val="20"/>
                <w:szCs w:val="20"/>
              </w:rPr>
            </w:pPr>
            <w:r>
              <w:rPr>
                <w:rFonts w:eastAsia="Calibri"/>
                <w:sz w:val="20"/>
                <w:szCs w:val="20"/>
              </w:rPr>
              <w:t>2019 CSR 1.1</w:t>
            </w:r>
          </w:p>
        </w:tc>
        <w:tc>
          <w:tcPr>
            <w:tcW w:w="1932" w:type="dxa"/>
            <w:tcMar>
              <w:left w:w="45" w:type="dxa"/>
              <w:right w:w="45" w:type="dxa"/>
            </w:tcMar>
            <w:vAlign w:val="center"/>
          </w:tcPr>
          <w:p w14:paraId="18CB4189" w14:textId="77777777" w:rsidR="00451CC2" w:rsidRDefault="00451CC2" w:rsidP="00A746D8">
            <w:pPr>
              <w:pStyle w:val="Tabletext"/>
              <w:rPr>
                <w:rFonts w:eastAsia="Calibri"/>
                <w:sz w:val="20"/>
                <w:szCs w:val="20"/>
              </w:rPr>
            </w:pPr>
            <w:r>
              <w:rPr>
                <w:rFonts w:eastAsia="Calibri"/>
                <w:sz w:val="20"/>
                <w:szCs w:val="20"/>
              </w:rPr>
              <w:lastRenderedPageBreak/>
              <w:t>Fair green &amp; digital transition</w:t>
            </w:r>
          </w:p>
        </w:tc>
        <w:tc>
          <w:tcPr>
            <w:tcW w:w="1797" w:type="dxa"/>
            <w:tcMar>
              <w:left w:w="45" w:type="dxa"/>
              <w:right w:w="45" w:type="dxa"/>
            </w:tcMar>
            <w:vAlign w:val="center"/>
          </w:tcPr>
          <w:p w14:paraId="489DDD57" w14:textId="77777777" w:rsidR="00451CC2" w:rsidRDefault="00451CC2" w:rsidP="00A746D8">
            <w:pPr>
              <w:pStyle w:val="Tabletext"/>
              <w:rPr>
                <w:rFonts w:eastAsia="Calibri"/>
                <w:sz w:val="20"/>
                <w:szCs w:val="20"/>
              </w:rPr>
            </w:pPr>
            <w:r>
              <w:rPr>
                <w:rFonts w:eastAsia="Calibri"/>
                <w:sz w:val="20"/>
                <w:szCs w:val="20"/>
              </w:rPr>
              <w:t>On track</w:t>
            </w:r>
          </w:p>
        </w:tc>
      </w:tr>
      <w:tr w:rsidR="00451CC2" w14:paraId="31E921B7" w14:textId="77777777" w:rsidTr="007A373B">
        <w:trPr>
          <w:trHeight w:val="227"/>
          <w:jc w:val="center"/>
        </w:trPr>
        <w:tc>
          <w:tcPr>
            <w:tcW w:w="2744" w:type="dxa"/>
            <w:tcMar>
              <w:left w:w="45" w:type="dxa"/>
              <w:right w:w="45" w:type="dxa"/>
            </w:tcMar>
            <w:vAlign w:val="center"/>
          </w:tcPr>
          <w:p w14:paraId="3F1EF9E7" w14:textId="77777777" w:rsidR="00451CC2" w:rsidRPr="00451CC2" w:rsidRDefault="00540671" w:rsidP="00A746D8">
            <w:pPr>
              <w:pStyle w:val="Tabletext"/>
              <w:rPr>
                <w:rFonts w:eastAsia="Calibri"/>
              </w:rPr>
            </w:pPr>
            <w:r w:rsidRPr="00540671">
              <w:rPr>
                <w:rFonts w:eastAsia="Calibri"/>
                <w:b/>
              </w:rPr>
              <w:t>INVESTMENT 2:</w:t>
            </w:r>
            <w:r w:rsidR="00451CC2" w:rsidRPr="00451CC2">
              <w:rPr>
                <w:rFonts w:eastAsia="Calibri"/>
              </w:rPr>
              <w:t xml:space="preserve"> Transformation of Fiscal Management and Supervision in Governance &amp; Electronic Invoicing</w:t>
            </w:r>
          </w:p>
        </w:tc>
        <w:tc>
          <w:tcPr>
            <w:tcW w:w="1201" w:type="dxa"/>
            <w:tcMar>
              <w:left w:w="45" w:type="dxa"/>
              <w:right w:w="45" w:type="dxa"/>
            </w:tcMar>
            <w:vAlign w:val="center"/>
          </w:tcPr>
          <w:p w14:paraId="2265FAB2" w14:textId="77777777" w:rsidR="00451CC2" w:rsidRDefault="00451CC2" w:rsidP="00A746D8">
            <w:pPr>
              <w:pStyle w:val="Tabletext"/>
              <w:rPr>
                <w:rFonts w:eastAsia="Calibri"/>
                <w:sz w:val="20"/>
                <w:szCs w:val="20"/>
              </w:rPr>
            </w:pPr>
            <w:r>
              <w:rPr>
                <w:rFonts w:eastAsia="Calibri"/>
                <w:sz w:val="20"/>
                <w:szCs w:val="20"/>
              </w:rPr>
              <w:t>RRF 16705</w:t>
            </w:r>
          </w:p>
        </w:tc>
        <w:tc>
          <w:tcPr>
            <w:tcW w:w="1228" w:type="dxa"/>
            <w:tcMar>
              <w:left w:w="45" w:type="dxa"/>
              <w:right w:w="45" w:type="dxa"/>
            </w:tcMar>
            <w:vAlign w:val="center"/>
          </w:tcPr>
          <w:p w14:paraId="3D4F4818" w14:textId="77777777" w:rsidR="00451CC2" w:rsidRPr="00451CC2" w:rsidRDefault="00451CC2" w:rsidP="00A746D8">
            <w:pPr>
              <w:pStyle w:val="Tabletext"/>
              <w:rPr>
                <w:rFonts w:eastAsia="Calibri"/>
                <w:sz w:val="20"/>
                <w:szCs w:val="20"/>
              </w:rPr>
            </w:pPr>
            <w:r w:rsidRPr="00451CC2">
              <w:rPr>
                <w:rFonts w:eastAsia="Calibri"/>
                <w:sz w:val="20"/>
                <w:szCs w:val="20"/>
              </w:rPr>
              <w:t>2024 CSR 2.1 2022 CSR 2.3 2020 CSR 3.9 2020 CSR 1.1 2019 CSR 2.3</w:t>
            </w:r>
          </w:p>
        </w:tc>
        <w:tc>
          <w:tcPr>
            <w:tcW w:w="1932" w:type="dxa"/>
            <w:tcMar>
              <w:left w:w="45" w:type="dxa"/>
              <w:right w:w="45" w:type="dxa"/>
            </w:tcMar>
            <w:vAlign w:val="center"/>
          </w:tcPr>
          <w:p w14:paraId="258D9ADC" w14:textId="77777777" w:rsidR="00451CC2" w:rsidRPr="00451CC2" w:rsidRDefault="00451CC2" w:rsidP="00A746D8">
            <w:pPr>
              <w:pStyle w:val="Tabletext"/>
              <w:rPr>
                <w:rFonts w:eastAsia="Calibri"/>
                <w:sz w:val="20"/>
                <w:szCs w:val="20"/>
              </w:rPr>
            </w:pPr>
            <w:r w:rsidRPr="00451CC2">
              <w:rPr>
                <w:rFonts w:eastAsia="Calibri"/>
                <w:sz w:val="20"/>
                <w:szCs w:val="20"/>
              </w:rPr>
              <w:t>Social and Economic resilience &amp; Fair green and digital transition</w:t>
            </w:r>
          </w:p>
        </w:tc>
        <w:tc>
          <w:tcPr>
            <w:tcW w:w="1797" w:type="dxa"/>
            <w:tcMar>
              <w:left w:w="45" w:type="dxa"/>
              <w:right w:w="45" w:type="dxa"/>
            </w:tcMar>
            <w:vAlign w:val="center"/>
          </w:tcPr>
          <w:p w14:paraId="447AB11B" w14:textId="77777777" w:rsidR="00451CC2" w:rsidRDefault="00451CC2" w:rsidP="00A746D8">
            <w:pPr>
              <w:pStyle w:val="Tabletext"/>
              <w:rPr>
                <w:rFonts w:eastAsia="Calibri"/>
                <w:sz w:val="20"/>
                <w:szCs w:val="20"/>
              </w:rPr>
            </w:pPr>
            <w:r>
              <w:rPr>
                <w:rFonts w:eastAsia="Calibri"/>
                <w:sz w:val="20"/>
                <w:szCs w:val="20"/>
              </w:rPr>
              <w:t>On track</w:t>
            </w:r>
          </w:p>
        </w:tc>
      </w:tr>
      <w:tr w:rsidR="00451CC2" w14:paraId="4825B075" w14:textId="77777777" w:rsidTr="007A373B">
        <w:trPr>
          <w:trHeight w:val="227"/>
          <w:jc w:val="center"/>
        </w:trPr>
        <w:tc>
          <w:tcPr>
            <w:tcW w:w="2744" w:type="dxa"/>
            <w:tcMar>
              <w:left w:w="45" w:type="dxa"/>
              <w:right w:w="45" w:type="dxa"/>
            </w:tcMar>
            <w:vAlign w:val="center"/>
          </w:tcPr>
          <w:p w14:paraId="57BF3934" w14:textId="77777777" w:rsidR="00451CC2" w:rsidRPr="00451CC2" w:rsidRDefault="00540671" w:rsidP="00A746D8">
            <w:pPr>
              <w:pStyle w:val="Tabletext"/>
              <w:rPr>
                <w:rFonts w:eastAsia="Calibri"/>
              </w:rPr>
            </w:pPr>
            <w:r w:rsidRPr="00540671">
              <w:rPr>
                <w:rFonts w:eastAsia="Calibri"/>
                <w:b/>
              </w:rPr>
              <w:t>INVESTMENT 3:</w:t>
            </w:r>
            <w:r w:rsidR="00451CC2" w:rsidRPr="00451CC2">
              <w:rPr>
                <w:rFonts w:eastAsia="Calibri"/>
              </w:rPr>
              <w:t xml:space="preserve"> Digital transformation of tax audits</w:t>
            </w:r>
          </w:p>
        </w:tc>
        <w:tc>
          <w:tcPr>
            <w:tcW w:w="1201" w:type="dxa"/>
            <w:tcMar>
              <w:left w:w="45" w:type="dxa"/>
              <w:right w:w="45" w:type="dxa"/>
            </w:tcMar>
            <w:vAlign w:val="center"/>
          </w:tcPr>
          <w:p w14:paraId="5E0263EB" w14:textId="77777777" w:rsidR="00451CC2" w:rsidRDefault="00451CC2" w:rsidP="00A746D8">
            <w:pPr>
              <w:pStyle w:val="Tabletext"/>
              <w:rPr>
                <w:rFonts w:eastAsia="Calibri"/>
                <w:sz w:val="20"/>
                <w:szCs w:val="20"/>
              </w:rPr>
            </w:pPr>
            <w:r>
              <w:rPr>
                <w:rFonts w:eastAsia="Calibri"/>
                <w:sz w:val="20"/>
                <w:szCs w:val="20"/>
              </w:rPr>
              <w:t>RRF 16611</w:t>
            </w:r>
          </w:p>
        </w:tc>
        <w:tc>
          <w:tcPr>
            <w:tcW w:w="1228" w:type="dxa"/>
            <w:tcMar>
              <w:left w:w="45" w:type="dxa"/>
              <w:right w:w="45" w:type="dxa"/>
            </w:tcMar>
            <w:vAlign w:val="center"/>
          </w:tcPr>
          <w:p w14:paraId="1CC01B05" w14:textId="77777777" w:rsidR="00451CC2" w:rsidRPr="00451CC2" w:rsidRDefault="00451CC2" w:rsidP="00A746D8">
            <w:pPr>
              <w:pStyle w:val="Tabletext"/>
              <w:rPr>
                <w:rFonts w:eastAsia="Calibri"/>
                <w:sz w:val="20"/>
                <w:szCs w:val="20"/>
              </w:rPr>
            </w:pPr>
            <w:r w:rsidRPr="00451CC2">
              <w:rPr>
                <w:rFonts w:eastAsia="Calibri"/>
                <w:sz w:val="20"/>
                <w:szCs w:val="20"/>
              </w:rPr>
              <w:t>2025 CSR 1.4 2025 CSR 1.3 2024 CSR 1.3</w:t>
            </w:r>
          </w:p>
          <w:p w14:paraId="10D950D5" w14:textId="77777777" w:rsidR="00451CC2" w:rsidRPr="00451CC2" w:rsidRDefault="00451CC2" w:rsidP="00A746D8">
            <w:pPr>
              <w:pStyle w:val="Tabletext"/>
              <w:rPr>
                <w:rFonts w:eastAsia="Calibri"/>
                <w:sz w:val="20"/>
                <w:szCs w:val="20"/>
              </w:rPr>
            </w:pPr>
            <w:r w:rsidRPr="00451CC2">
              <w:rPr>
                <w:rFonts w:eastAsia="Calibri"/>
                <w:sz w:val="20"/>
                <w:szCs w:val="20"/>
              </w:rPr>
              <w:t xml:space="preserve">2024 CSR 1.4 2023 CSR 1.7 2023 CSR 1.8 2023 CSR 1.6 2022 CSR 1.5 </w:t>
            </w:r>
          </w:p>
          <w:p w14:paraId="7BFEAFD3" w14:textId="77777777" w:rsidR="00451CC2" w:rsidRPr="00451CC2" w:rsidRDefault="00451CC2" w:rsidP="00A746D8">
            <w:pPr>
              <w:pStyle w:val="Tabletext"/>
              <w:rPr>
                <w:rFonts w:eastAsia="Calibri"/>
                <w:sz w:val="20"/>
                <w:szCs w:val="20"/>
              </w:rPr>
            </w:pPr>
            <w:r w:rsidRPr="00451CC2">
              <w:rPr>
                <w:rFonts w:eastAsia="Calibri"/>
                <w:sz w:val="20"/>
                <w:szCs w:val="20"/>
              </w:rPr>
              <w:t xml:space="preserve">2020 CSR 4.1 2020 CSR 3.9 2020 CSR 1.1 2019 CSR 2.3 2019 CSR 1.1 </w:t>
            </w:r>
          </w:p>
        </w:tc>
        <w:tc>
          <w:tcPr>
            <w:tcW w:w="1932" w:type="dxa"/>
            <w:tcMar>
              <w:left w:w="45" w:type="dxa"/>
              <w:right w:w="45" w:type="dxa"/>
            </w:tcMar>
            <w:vAlign w:val="center"/>
          </w:tcPr>
          <w:p w14:paraId="74AC378C" w14:textId="77777777" w:rsidR="00451CC2" w:rsidRPr="00451CC2" w:rsidRDefault="00451CC2" w:rsidP="00A746D8">
            <w:pPr>
              <w:pStyle w:val="Tabletext"/>
              <w:rPr>
                <w:rFonts w:eastAsia="Calibri"/>
                <w:sz w:val="20"/>
                <w:szCs w:val="20"/>
              </w:rPr>
            </w:pPr>
            <w:r w:rsidRPr="00451CC2">
              <w:rPr>
                <w:rFonts w:eastAsia="Calibri"/>
                <w:sz w:val="20"/>
                <w:szCs w:val="20"/>
              </w:rPr>
              <w:t>Social and Economic resilience &amp; Fair green and digital transition</w:t>
            </w:r>
          </w:p>
        </w:tc>
        <w:tc>
          <w:tcPr>
            <w:tcW w:w="1797" w:type="dxa"/>
            <w:tcMar>
              <w:left w:w="45" w:type="dxa"/>
              <w:right w:w="45" w:type="dxa"/>
            </w:tcMar>
            <w:vAlign w:val="center"/>
          </w:tcPr>
          <w:p w14:paraId="0DDBE67B" w14:textId="77777777" w:rsidR="00451CC2" w:rsidRDefault="00451CC2" w:rsidP="00A746D8">
            <w:pPr>
              <w:pStyle w:val="Tabletext"/>
              <w:rPr>
                <w:rFonts w:eastAsia="Calibri"/>
                <w:sz w:val="20"/>
                <w:szCs w:val="20"/>
              </w:rPr>
            </w:pPr>
            <w:r>
              <w:rPr>
                <w:rFonts w:eastAsia="Calibri"/>
                <w:sz w:val="20"/>
                <w:szCs w:val="20"/>
              </w:rPr>
              <w:t>On track</w:t>
            </w:r>
          </w:p>
        </w:tc>
      </w:tr>
      <w:tr w:rsidR="00451CC2" w14:paraId="3115BD67" w14:textId="77777777" w:rsidTr="007A373B">
        <w:trPr>
          <w:trHeight w:val="227"/>
          <w:jc w:val="center"/>
        </w:trPr>
        <w:tc>
          <w:tcPr>
            <w:tcW w:w="2744" w:type="dxa"/>
            <w:tcMar>
              <w:top w:w="0" w:type="dxa"/>
              <w:left w:w="45" w:type="dxa"/>
              <w:bottom w:w="0" w:type="dxa"/>
              <w:right w:w="45" w:type="dxa"/>
            </w:tcMar>
            <w:vAlign w:val="center"/>
          </w:tcPr>
          <w:p w14:paraId="68EF660C" w14:textId="77777777" w:rsidR="00451CC2" w:rsidRDefault="00540671" w:rsidP="00A746D8">
            <w:pPr>
              <w:pStyle w:val="Tabletext"/>
              <w:rPr>
                <w:rFonts w:eastAsia="Calibri"/>
              </w:rPr>
            </w:pPr>
            <w:r w:rsidRPr="00540671">
              <w:rPr>
                <w:rFonts w:eastAsia="Calibri"/>
                <w:b/>
              </w:rPr>
              <w:t>INVESTMENT 4:</w:t>
            </w:r>
            <w:r w:rsidR="00451CC2">
              <w:rPr>
                <w:rFonts w:eastAsia="Calibri"/>
              </w:rPr>
              <w:t xml:space="preserve"> RRP Loan Facility </w:t>
            </w:r>
          </w:p>
        </w:tc>
        <w:tc>
          <w:tcPr>
            <w:tcW w:w="1201" w:type="dxa"/>
            <w:tcMar>
              <w:top w:w="0" w:type="dxa"/>
              <w:left w:w="45" w:type="dxa"/>
              <w:bottom w:w="0" w:type="dxa"/>
              <w:right w:w="45" w:type="dxa"/>
            </w:tcMar>
            <w:vAlign w:val="center"/>
          </w:tcPr>
          <w:p w14:paraId="432AC9A1" w14:textId="77777777" w:rsidR="00451CC2" w:rsidRDefault="00451CC2" w:rsidP="00A746D8">
            <w:pPr>
              <w:pStyle w:val="Tabletext"/>
              <w:rPr>
                <w:rFonts w:eastAsia="Calibri"/>
                <w:sz w:val="20"/>
                <w:szCs w:val="20"/>
              </w:rPr>
            </w:pPr>
            <w:r>
              <w:rPr>
                <w:rFonts w:eastAsia="Calibri"/>
                <w:sz w:val="20"/>
                <w:szCs w:val="20"/>
              </w:rPr>
              <w:t>RRF 16980</w:t>
            </w:r>
          </w:p>
        </w:tc>
        <w:tc>
          <w:tcPr>
            <w:tcW w:w="1228" w:type="dxa"/>
            <w:tcMar>
              <w:top w:w="0" w:type="dxa"/>
              <w:left w:w="45" w:type="dxa"/>
              <w:bottom w:w="0" w:type="dxa"/>
              <w:right w:w="45" w:type="dxa"/>
            </w:tcMar>
            <w:vAlign w:val="center"/>
          </w:tcPr>
          <w:p w14:paraId="5B85F536" w14:textId="77777777" w:rsidR="00451CC2" w:rsidRDefault="00451CC2" w:rsidP="00A746D8">
            <w:pPr>
              <w:pStyle w:val="Tabletext"/>
              <w:rPr>
                <w:rFonts w:eastAsia="Calibri"/>
                <w:sz w:val="20"/>
                <w:szCs w:val="20"/>
              </w:rPr>
            </w:pPr>
            <w:r>
              <w:rPr>
                <w:rFonts w:eastAsia="Calibri"/>
                <w:sz w:val="20"/>
                <w:szCs w:val="20"/>
              </w:rPr>
              <w:t>2025 CSR 3.6</w:t>
            </w:r>
          </w:p>
          <w:p w14:paraId="3D1CFCA6" w14:textId="77777777" w:rsidR="00451CC2" w:rsidRDefault="00451CC2" w:rsidP="00A746D8">
            <w:pPr>
              <w:pStyle w:val="Tabletext"/>
              <w:rPr>
                <w:rFonts w:eastAsia="Calibri"/>
                <w:sz w:val="20"/>
                <w:szCs w:val="20"/>
              </w:rPr>
            </w:pPr>
            <w:r>
              <w:rPr>
                <w:rFonts w:eastAsia="Calibri"/>
                <w:sz w:val="20"/>
                <w:szCs w:val="20"/>
              </w:rPr>
              <w:t>2024 CSR 1.7</w:t>
            </w:r>
          </w:p>
          <w:p w14:paraId="1C153297" w14:textId="77777777" w:rsidR="00451CC2" w:rsidRDefault="00451CC2" w:rsidP="00A746D8">
            <w:pPr>
              <w:pStyle w:val="Tabletext"/>
              <w:rPr>
                <w:rFonts w:eastAsia="Calibri"/>
                <w:sz w:val="20"/>
                <w:szCs w:val="20"/>
              </w:rPr>
            </w:pPr>
            <w:r>
              <w:rPr>
                <w:rFonts w:eastAsia="Calibri"/>
                <w:sz w:val="20"/>
                <w:szCs w:val="20"/>
              </w:rPr>
              <w:t>2023 CSR 4.1 2023 CSR 4.3 2023 CSR 4.4 2022 CSR 4.1 2022 CSR 4.2 2022 CSR 4.5 2020 CSR 3.3 2020 CSR 3.10 2019.CSR 2.2 2019.CSR2.3 2019.CSR2.4</w:t>
            </w:r>
          </w:p>
        </w:tc>
        <w:tc>
          <w:tcPr>
            <w:tcW w:w="1932" w:type="dxa"/>
            <w:tcMar>
              <w:top w:w="0" w:type="dxa"/>
              <w:left w:w="45" w:type="dxa"/>
              <w:bottom w:w="0" w:type="dxa"/>
              <w:right w:w="45" w:type="dxa"/>
            </w:tcMar>
            <w:vAlign w:val="center"/>
          </w:tcPr>
          <w:p w14:paraId="74428CDD" w14:textId="77777777" w:rsidR="00451CC2" w:rsidRPr="00451CC2" w:rsidRDefault="00451CC2" w:rsidP="00A746D8">
            <w:pPr>
              <w:pStyle w:val="Tabletext"/>
              <w:rPr>
                <w:rFonts w:eastAsia="Calibri"/>
                <w:sz w:val="20"/>
                <w:szCs w:val="20"/>
              </w:rPr>
            </w:pPr>
            <w:r w:rsidRPr="00451CC2">
              <w:rPr>
                <w:rFonts w:eastAsia="Calibri"/>
                <w:sz w:val="20"/>
                <w:szCs w:val="20"/>
              </w:rPr>
              <w:t>Social and Economic resilience &amp; Fair green and digital transition</w:t>
            </w:r>
          </w:p>
        </w:tc>
        <w:tc>
          <w:tcPr>
            <w:tcW w:w="1797" w:type="dxa"/>
            <w:tcMar>
              <w:top w:w="0" w:type="dxa"/>
              <w:left w:w="45" w:type="dxa"/>
              <w:bottom w:w="0" w:type="dxa"/>
              <w:right w:w="45" w:type="dxa"/>
            </w:tcMar>
            <w:vAlign w:val="center"/>
          </w:tcPr>
          <w:p w14:paraId="3822FB76" w14:textId="77777777" w:rsidR="00451CC2" w:rsidRDefault="00451CC2" w:rsidP="00A746D8">
            <w:pPr>
              <w:pStyle w:val="Tabletext"/>
              <w:rPr>
                <w:rFonts w:eastAsia="Calibri"/>
                <w:sz w:val="20"/>
                <w:szCs w:val="20"/>
              </w:rPr>
            </w:pPr>
            <w:r>
              <w:rPr>
                <w:rFonts w:eastAsia="Calibri"/>
                <w:sz w:val="20"/>
                <w:szCs w:val="20"/>
              </w:rPr>
              <w:t>On track</w:t>
            </w:r>
          </w:p>
        </w:tc>
      </w:tr>
      <w:tr w:rsidR="00451CC2" w14:paraId="536714A9" w14:textId="77777777" w:rsidTr="007A373B">
        <w:trPr>
          <w:trHeight w:val="227"/>
          <w:jc w:val="center"/>
        </w:trPr>
        <w:tc>
          <w:tcPr>
            <w:tcW w:w="2744" w:type="dxa"/>
            <w:shd w:val="clear" w:color="auto" w:fill="FFFFFF"/>
            <w:tcMar>
              <w:left w:w="45" w:type="dxa"/>
              <w:right w:w="45" w:type="dxa"/>
            </w:tcMar>
            <w:vAlign w:val="center"/>
          </w:tcPr>
          <w:p w14:paraId="2A0FE299" w14:textId="77777777" w:rsidR="00451CC2" w:rsidRPr="00451CC2" w:rsidRDefault="00540671" w:rsidP="00A746D8">
            <w:pPr>
              <w:pStyle w:val="Tabletext"/>
              <w:rPr>
                <w:rFonts w:eastAsia="Calibri"/>
              </w:rPr>
            </w:pPr>
            <w:r w:rsidRPr="00540671">
              <w:rPr>
                <w:rFonts w:eastAsia="Calibri"/>
                <w:b/>
              </w:rPr>
              <w:t>INVESTMENT 5:</w:t>
            </w:r>
            <w:r w:rsidR="00451CC2" w:rsidRPr="00451CC2">
              <w:rPr>
                <w:rFonts w:eastAsia="Calibri"/>
              </w:rPr>
              <w:t xml:space="preserve"> Revitalization actions of the most affected territories (Just transition territories) &amp; Just Transition Programme</w:t>
            </w:r>
          </w:p>
        </w:tc>
        <w:tc>
          <w:tcPr>
            <w:tcW w:w="1201" w:type="dxa"/>
            <w:tcMar>
              <w:left w:w="45" w:type="dxa"/>
              <w:right w:w="45" w:type="dxa"/>
            </w:tcMar>
            <w:vAlign w:val="center"/>
          </w:tcPr>
          <w:p w14:paraId="3E74DAAE" w14:textId="77777777" w:rsidR="00451CC2" w:rsidRDefault="00451CC2" w:rsidP="00A746D8">
            <w:pPr>
              <w:pStyle w:val="Tabletext"/>
              <w:rPr>
                <w:rFonts w:eastAsia="Calibri"/>
                <w:sz w:val="20"/>
                <w:szCs w:val="20"/>
              </w:rPr>
            </w:pPr>
            <w:r>
              <w:rPr>
                <w:rFonts w:eastAsia="Calibri"/>
                <w:sz w:val="20"/>
                <w:szCs w:val="20"/>
              </w:rPr>
              <w:t>RRF 16871 /</w:t>
            </w:r>
            <w:r>
              <w:rPr>
                <w:rFonts w:eastAsia="Calibri"/>
                <w:sz w:val="20"/>
                <w:szCs w:val="20"/>
              </w:rPr>
              <w:br/>
              <w:t>MFF</w:t>
            </w:r>
          </w:p>
        </w:tc>
        <w:tc>
          <w:tcPr>
            <w:tcW w:w="1228" w:type="dxa"/>
            <w:tcMar>
              <w:left w:w="45" w:type="dxa"/>
              <w:right w:w="45" w:type="dxa"/>
            </w:tcMar>
            <w:vAlign w:val="center"/>
          </w:tcPr>
          <w:p w14:paraId="23F6098C" w14:textId="77777777" w:rsidR="00451CC2" w:rsidRDefault="00451CC2" w:rsidP="00A746D8">
            <w:pPr>
              <w:pStyle w:val="Tabletext"/>
              <w:rPr>
                <w:rFonts w:eastAsia="Calibri"/>
                <w:sz w:val="20"/>
                <w:szCs w:val="20"/>
              </w:rPr>
            </w:pPr>
            <w:r>
              <w:rPr>
                <w:rFonts w:eastAsia="Calibri"/>
                <w:sz w:val="20"/>
                <w:szCs w:val="20"/>
              </w:rPr>
              <w:t>2024 CSR 2.1</w:t>
            </w:r>
            <w:r>
              <w:rPr>
                <w:rFonts w:eastAsia="Calibri"/>
                <w:strike/>
                <w:sz w:val="20"/>
                <w:szCs w:val="20"/>
              </w:rPr>
              <w:br/>
            </w:r>
            <w:r>
              <w:rPr>
                <w:rFonts w:eastAsia="Calibri"/>
                <w:sz w:val="20"/>
                <w:szCs w:val="20"/>
              </w:rPr>
              <w:t>2024 CSR 1.7</w:t>
            </w:r>
            <w:r>
              <w:rPr>
                <w:rFonts w:eastAsia="Calibri"/>
                <w:strike/>
                <w:sz w:val="20"/>
                <w:szCs w:val="20"/>
              </w:rPr>
              <w:br/>
            </w:r>
            <w:r>
              <w:rPr>
                <w:rFonts w:eastAsia="Calibri"/>
                <w:sz w:val="20"/>
                <w:szCs w:val="20"/>
              </w:rPr>
              <w:t xml:space="preserve">2023 CSR 4.1 </w:t>
            </w:r>
            <w:r>
              <w:rPr>
                <w:rFonts w:eastAsia="Calibri"/>
                <w:sz w:val="20"/>
                <w:szCs w:val="20"/>
              </w:rPr>
              <w:br/>
              <w:t>2023 CSR 4.3 2023 CSR 4.5</w:t>
            </w:r>
            <w:r>
              <w:rPr>
                <w:rFonts w:eastAsia="Calibri"/>
                <w:sz w:val="20"/>
                <w:szCs w:val="20"/>
              </w:rPr>
              <w:br/>
              <w:t>2022 CSR 4.1 2022 CSR 4.2 2020 CSR 3.2 2020 CSR 3.3 2020 CSR 3.5 2020 CSR 3.6 2020 CSR 3.8 2019 CSR 2.2 2019 CSR 2.5 2019 CSR 2.9</w:t>
            </w:r>
          </w:p>
        </w:tc>
        <w:tc>
          <w:tcPr>
            <w:tcW w:w="1932" w:type="dxa"/>
            <w:tcMar>
              <w:left w:w="45" w:type="dxa"/>
              <w:right w:w="45" w:type="dxa"/>
            </w:tcMar>
            <w:vAlign w:val="center"/>
          </w:tcPr>
          <w:p w14:paraId="30D90C83" w14:textId="77777777" w:rsidR="00451CC2" w:rsidRPr="00451CC2" w:rsidRDefault="00451CC2" w:rsidP="00A746D8">
            <w:pPr>
              <w:pStyle w:val="Tabletext"/>
              <w:rPr>
                <w:rFonts w:eastAsia="Calibri"/>
                <w:sz w:val="20"/>
                <w:szCs w:val="20"/>
              </w:rPr>
            </w:pPr>
            <w:r w:rsidRPr="00451CC2">
              <w:rPr>
                <w:rFonts w:eastAsia="Calibri"/>
                <w:sz w:val="20"/>
                <w:szCs w:val="20"/>
              </w:rPr>
              <w:t>Social and Economic resilience &amp; Fair green and digital transition</w:t>
            </w:r>
          </w:p>
        </w:tc>
        <w:tc>
          <w:tcPr>
            <w:tcW w:w="1797" w:type="dxa"/>
            <w:tcMar>
              <w:left w:w="45" w:type="dxa"/>
              <w:right w:w="45" w:type="dxa"/>
            </w:tcMar>
            <w:vAlign w:val="center"/>
          </w:tcPr>
          <w:p w14:paraId="11C1D077" w14:textId="77777777" w:rsidR="00451CC2" w:rsidRDefault="00451CC2" w:rsidP="00A746D8">
            <w:pPr>
              <w:pStyle w:val="Tabletext"/>
              <w:rPr>
                <w:rFonts w:eastAsia="Calibri"/>
                <w:sz w:val="20"/>
                <w:szCs w:val="20"/>
              </w:rPr>
            </w:pPr>
            <w:r>
              <w:rPr>
                <w:rFonts w:eastAsia="Calibri"/>
                <w:sz w:val="20"/>
                <w:szCs w:val="20"/>
              </w:rPr>
              <w:t>On track</w:t>
            </w:r>
          </w:p>
        </w:tc>
      </w:tr>
      <w:tr w:rsidR="00451CC2" w14:paraId="04369569" w14:textId="77777777" w:rsidTr="007A373B">
        <w:trPr>
          <w:trHeight w:val="227"/>
          <w:jc w:val="center"/>
        </w:trPr>
        <w:tc>
          <w:tcPr>
            <w:tcW w:w="2744" w:type="dxa"/>
            <w:tcMar>
              <w:left w:w="45" w:type="dxa"/>
              <w:right w:w="45" w:type="dxa"/>
            </w:tcMar>
            <w:vAlign w:val="center"/>
          </w:tcPr>
          <w:p w14:paraId="34907069" w14:textId="77777777" w:rsidR="00451CC2" w:rsidRPr="00451CC2" w:rsidRDefault="00540671" w:rsidP="00A746D8">
            <w:pPr>
              <w:pStyle w:val="Tabletext"/>
              <w:rPr>
                <w:rFonts w:eastAsia="Calibri"/>
              </w:rPr>
            </w:pPr>
            <w:r w:rsidRPr="00540671">
              <w:rPr>
                <w:rFonts w:eastAsia="Calibri"/>
                <w:b/>
              </w:rPr>
              <w:t>INVESTMENT 6:</w:t>
            </w:r>
            <w:r w:rsidR="00451CC2" w:rsidRPr="00451CC2">
              <w:rPr>
                <w:rFonts w:eastAsia="Calibri"/>
              </w:rPr>
              <w:t xml:space="preserve"> Implementation of the Partnership Agreement 2021-</w:t>
            </w:r>
            <w:r w:rsidR="00451CC2" w:rsidRPr="00451CC2">
              <w:rPr>
                <w:rFonts w:eastAsia="Calibri"/>
              </w:rPr>
              <w:lastRenderedPageBreak/>
              <w:t>2027 - efficient management of ESPA funds</w:t>
            </w:r>
          </w:p>
        </w:tc>
        <w:tc>
          <w:tcPr>
            <w:tcW w:w="1201" w:type="dxa"/>
            <w:tcMar>
              <w:left w:w="45" w:type="dxa"/>
              <w:right w:w="45" w:type="dxa"/>
            </w:tcMar>
            <w:vAlign w:val="center"/>
          </w:tcPr>
          <w:p w14:paraId="24353DE5" w14:textId="77777777" w:rsidR="00451CC2" w:rsidRDefault="00451CC2" w:rsidP="00A746D8">
            <w:pPr>
              <w:pStyle w:val="Tabletext"/>
              <w:rPr>
                <w:rFonts w:eastAsia="Calibri"/>
                <w:sz w:val="20"/>
                <w:szCs w:val="20"/>
              </w:rPr>
            </w:pPr>
            <w:r>
              <w:rPr>
                <w:rFonts w:eastAsia="Calibri"/>
                <w:sz w:val="20"/>
                <w:szCs w:val="20"/>
              </w:rPr>
              <w:lastRenderedPageBreak/>
              <w:t>MFF</w:t>
            </w:r>
          </w:p>
        </w:tc>
        <w:tc>
          <w:tcPr>
            <w:tcW w:w="1228" w:type="dxa"/>
            <w:tcMar>
              <w:left w:w="45" w:type="dxa"/>
              <w:right w:w="45" w:type="dxa"/>
            </w:tcMar>
            <w:vAlign w:val="center"/>
          </w:tcPr>
          <w:p w14:paraId="29943430" w14:textId="77777777" w:rsidR="00451CC2" w:rsidRDefault="00451CC2" w:rsidP="00A746D8">
            <w:pPr>
              <w:pStyle w:val="Tabletext"/>
              <w:rPr>
                <w:rFonts w:eastAsia="Calibri"/>
                <w:sz w:val="20"/>
                <w:szCs w:val="20"/>
              </w:rPr>
            </w:pPr>
            <w:r>
              <w:rPr>
                <w:rFonts w:eastAsia="Calibri"/>
                <w:sz w:val="20"/>
                <w:szCs w:val="20"/>
              </w:rPr>
              <w:t>2025 CSR 2.1</w:t>
            </w:r>
          </w:p>
          <w:p w14:paraId="35A2DF8B" w14:textId="77777777" w:rsidR="00451CC2" w:rsidRDefault="00451CC2" w:rsidP="00A746D8">
            <w:pPr>
              <w:pStyle w:val="Tabletext"/>
              <w:rPr>
                <w:rFonts w:eastAsia="Calibri"/>
                <w:sz w:val="20"/>
                <w:szCs w:val="20"/>
              </w:rPr>
            </w:pPr>
            <w:r>
              <w:rPr>
                <w:rFonts w:eastAsia="Calibri"/>
                <w:sz w:val="20"/>
                <w:szCs w:val="20"/>
              </w:rPr>
              <w:t xml:space="preserve">2020 CSR 3.1 2020 CSR 3.2 2020 CSR 3.3 </w:t>
            </w:r>
            <w:r>
              <w:rPr>
                <w:rFonts w:eastAsia="Calibri"/>
                <w:sz w:val="20"/>
                <w:szCs w:val="20"/>
              </w:rPr>
              <w:lastRenderedPageBreak/>
              <w:t>2020 CSR 3.4 2020 CSR 3.5 2020 CSR 3.6 2020 CSR 3.7 2020 CSR 3.8 2020 CSR 3.9 2020 CSR 3.10 2019 CSR 2.2 2019 CSR 2.3 2019 CSR 2.4 2019 CSR 2.5 2019 CSR 2.6 2019 CSR 2.7 2019 CSR 2.8 2019 CSR 2.9</w:t>
            </w:r>
          </w:p>
        </w:tc>
        <w:tc>
          <w:tcPr>
            <w:tcW w:w="1932" w:type="dxa"/>
            <w:tcMar>
              <w:left w:w="45" w:type="dxa"/>
              <w:right w:w="45" w:type="dxa"/>
            </w:tcMar>
            <w:vAlign w:val="center"/>
          </w:tcPr>
          <w:p w14:paraId="4466A3A0" w14:textId="77777777" w:rsidR="00451CC2" w:rsidRDefault="00451CC2" w:rsidP="00A746D8">
            <w:pPr>
              <w:pStyle w:val="Tabletext"/>
              <w:rPr>
                <w:rFonts w:eastAsia="Calibri"/>
                <w:sz w:val="20"/>
                <w:szCs w:val="20"/>
              </w:rPr>
            </w:pPr>
            <w:r>
              <w:rPr>
                <w:rFonts w:eastAsia="Calibri"/>
                <w:sz w:val="20"/>
                <w:szCs w:val="20"/>
              </w:rPr>
              <w:lastRenderedPageBreak/>
              <w:t>All priorities</w:t>
            </w:r>
          </w:p>
        </w:tc>
        <w:tc>
          <w:tcPr>
            <w:tcW w:w="1797" w:type="dxa"/>
            <w:tcMar>
              <w:left w:w="45" w:type="dxa"/>
              <w:right w:w="45" w:type="dxa"/>
            </w:tcMar>
            <w:vAlign w:val="center"/>
          </w:tcPr>
          <w:p w14:paraId="309FF995" w14:textId="77777777" w:rsidR="00451CC2" w:rsidRDefault="00451CC2" w:rsidP="00A746D8">
            <w:pPr>
              <w:pStyle w:val="Tabletext"/>
              <w:rPr>
                <w:rFonts w:eastAsia="Calibri"/>
                <w:sz w:val="20"/>
                <w:szCs w:val="20"/>
              </w:rPr>
            </w:pPr>
            <w:r>
              <w:rPr>
                <w:rFonts w:eastAsia="Calibri"/>
                <w:sz w:val="20"/>
                <w:szCs w:val="20"/>
              </w:rPr>
              <w:t>On track</w:t>
            </w:r>
          </w:p>
        </w:tc>
      </w:tr>
      <w:tr w:rsidR="00451CC2" w14:paraId="07A29403" w14:textId="77777777" w:rsidTr="007A373B">
        <w:trPr>
          <w:trHeight w:val="227"/>
          <w:jc w:val="center"/>
        </w:trPr>
        <w:tc>
          <w:tcPr>
            <w:tcW w:w="2744" w:type="dxa"/>
            <w:tcMar>
              <w:left w:w="45" w:type="dxa"/>
              <w:right w:w="45" w:type="dxa"/>
            </w:tcMar>
            <w:vAlign w:val="center"/>
          </w:tcPr>
          <w:p w14:paraId="3D0E8D2D" w14:textId="77777777" w:rsidR="00451CC2" w:rsidRDefault="00540671" w:rsidP="00A746D8">
            <w:pPr>
              <w:pStyle w:val="Tabletext"/>
              <w:rPr>
                <w:rFonts w:eastAsia="Calibri"/>
              </w:rPr>
            </w:pPr>
            <w:r w:rsidRPr="00540671">
              <w:rPr>
                <w:rFonts w:eastAsia="Calibri"/>
                <w:b/>
              </w:rPr>
              <w:t>INVESTMENT 7:</w:t>
            </w:r>
            <w:r w:rsidR="00451CC2">
              <w:rPr>
                <w:rFonts w:eastAsia="Calibri"/>
              </w:rPr>
              <w:t xml:space="preserve"> e-PDE system</w:t>
            </w:r>
          </w:p>
        </w:tc>
        <w:tc>
          <w:tcPr>
            <w:tcW w:w="1201" w:type="dxa"/>
            <w:tcMar>
              <w:left w:w="45" w:type="dxa"/>
              <w:right w:w="45" w:type="dxa"/>
            </w:tcMar>
            <w:vAlign w:val="center"/>
          </w:tcPr>
          <w:p w14:paraId="724ABB61" w14:textId="77777777" w:rsidR="00451CC2" w:rsidRDefault="00451CC2" w:rsidP="00A746D8">
            <w:pPr>
              <w:pStyle w:val="Tabletext"/>
              <w:rPr>
                <w:rFonts w:eastAsia="Calibri"/>
                <w:sz w:val="20"/>
                <w:szCs w:val="20"/>
              </w:rPr>
            </w:pPr>
            <w:r>
              <w:rPr>
                <w:rFonts w:eastAsia="Calibri"/>
                <w:sz w:val="20"/>
                <w:szCs w:val="20"/>
              </w:rPr>
              <w:t>MFF</w:t>
            </w:r>
          </w:p>
        </w:tc>
        <w:tc>
          <w:tcPr>
            <w:tcW w:w="1228" w:type="dxa"/>
            <w:tcMar>
              <w:left w:w="45" w:type="dxa"/>
              <w:right w:w="45" w:type="dxa"/>
            </w:tcMar>
            <w:vAlign w:val="center"/>
          </w:tcPr>
          <w:p w14:paraId="380375BE" w14:textId="77777777" w:rsidR="00451CC2" w:rsidRDefault="00451CC2" w:rsidP="00A746D8">
            <w:pPr>
              <w:pStyle w:val="Tabletext"/>
              <w:rPr>
                <w:rFonts w:eastAsia="Calibri"/>
                <w:sz w:val="20"/>
                <w:szCs w:val="20"/>
              </w:rPr>
            </w:pPr>
            <w:r>
              <w:rPr>
                <w:rFonts w:eastAsia="Calibri"/>
                <w:sz w:val="20"/>
                <w:szCs w:val="20"/>
              </w:rPr>
              <w:t xml:space="preserve">2020 CSR 3.2 </w:t>
            </w:r>
          </w:p>
          <w:p w14:paraId="77C8DD73" w14:textId="77777777" w:rsidR="00451CC2" w:rsidRDefault="00451CC2" w:rsidP="00A746D8">
            <w:pPr>
              <w:pStyle w:val="Tabletext"/>
              <w:rPr>
                <w:rFonts w:eastAsia="Calibri"/>
                <w:sz w:val="20"/>
                <w:szCs w:val="20"/>
              </w:rPr>
            </w:pPr>
            <w:r>
              <w:rPr>
                <w:rFonts w:eastAsia="Calibri"/>
                <w:sz w:val="20"/>
                <w:szCs w:val="20"/>
              </w:rPr>
              <w:t>2020 CSR 3.9</w:t>
            </w:r>
          </w:p>
          <w:p w14:paraId="6FE48667" w14:textId="77777777" w:rsidR="00451CC2" w:rsidRDefault="00451CC2" w:rsidP="00A746D8">
            <w:pPr>
              <w:pStyle w:val="Tabletext"/>
              <w:rPr>
                <w:rFonts w:eastAsia="Calibri"/>
                <w:sz w:val="20"/>
                <w:szCs w:val="20"/>
              </w:rPr>
            </w:pPr>
            <w:r>
              <w:rPr>
                <w:rFonts w:eastAsia="Calibri"/>
                <w:sz w:val="20"/>
                <w:szCs w:val="20"/>
              </w:rPr>
              <w:t>2019 CSR 2.3</w:t>
            </w:r>
          </w:p>
        </w:tc>
        <w:tc>
          <w:tcPr>
            <w:tcW w:w="1932" w:type="dxa"/>
            <w:tcMar>
              <w:left w:w="45" w:type="dxa"/>
              <w:right w:w="45" w:type="dxa"/>
            </w:tcMar>
            <w:vAlign w:val="center"/>
          </w:tcPr>
          <w:p w14:paraId="2D05008D" w14:textId="77777777" w:rsidR="00451CC2" w:rsidRDefault="00451CC2" w:rsidP="00A746D8">
            <w:pPr>
              <w:pStyle w:val="Tabletext"/>
              <w:rPr>
                <w:rFonts w:eastAsia="Calibri"/>
                <w:sz w:val="20"/>
                <w:szCs w:val="20"/>
              </w:rPr>
            </w:pPr>
            <w:r>
              <w:rPr>
                <w:rFonts w:eastAsia="Calibri"/>
                <w:sz w:val="20"/>
                <w:szCs w:val="20"/>
              </w:rPr>
              <w:t>Fair green &amp; digital transition</w:t>
            </w:r>
          </w:p>
        </w:tc>
        <w:tc>
          <w:tcPr>
            <w:tcW w:w="1797" w:type="dxa"/>
            <w:tcMar>
              <w:left w:w="45" w:type="dxa"/>
              <w:right w:w="45" w:type="dxa"/>
            </w:tcMar>
            <w:vAlign w:val="center"/>
          </w:tcPr>
          <w:p w14:paraId="33F2E0B0" w14:textId="77777777" w:rsidR="00451CC2" w:rsidRDefault="00451CC2" w:rsidP="00A746D8">
            <w:pPr>
              <w:pStyle w:val="Tabletext"/>
              <w:rPr>
                <w:rFonts w:eastAsia="Calibri"/>
                <w:sz w:val="20"/>
                <w:szCs w:val="20"/>
              </w:rPr>
            </w:pPr>
            <w:r>
              <w:rPr>
                <w:rFonts w:eastAsia="Calibri"/>
                <w:sz w:val="20"/>
                <w:szCs w:val="20"/>
              </w:rPr>
              <w:t>On track</w:t>
            </w:r>
          </w:p>
        </w:tc>
      </w:tr>
      <w:tr w:rsidR="00451CC2" w14:paraId="4B085EE6" w14:textId="77777777" w:rsidTr="007A373B">
        <w:trPr>
          <w:trHeight w:val="227"/>
          <w:jc w:val="center"/>
        </w:trPr>
        <w:tc>
          <w:tcPr>
            <w:tcW w:w="2744" w:type="dxa"/>
            <w:tcMar>
              <w:left w:w="45" w:type="dxa"/>
              <w:right w:w="45" w:type="dxa"/>
            </w:tcMar>
            <w:vAlign w:val="center"/>
          </w:tcPr>
          <w:p w14:paraId="0314E2ED" w14:textId="77777777" w:rsidR="00451CC2" w:rsidRPr="00451CC2" w:rsidRDefault="00540671" w:rsidP="00A746D8">
            <w:pPr>
              <w:pStyle w:val="Tabletext"/>
              <w:rPr>
                <w:rFonts w:eastAsia="Calibri"/>
              </w:rPr>
            </w:pPr>
            <w:r w:rsidRPr="00540671">
              <w:rPr>
                <w:rFonts w:eastAsia="Calibri"/>
                <w:b/>
              </w:rPr>
              <w:t>INVESTMENT 8:</w:t>
            </w:r>
            <w:r w:rsidR="00451CC2" w:rsidRPr="00451CC2">
              <w:rPr>
                <w:rFonts w:eastAsia="Calibri"/>
              </w:rPr>
              <w:t xml:space="preserve"> National Investment Fund under HCAP </w:t>
            </w:r>
          </w:p>
        </w:tc>
        <w:tc>
          <w:tcPr>
            <w:tcW w:w="1201" w:type="dxa"/>
            <w:tcMar>
              <w:left w:w="45" w:type="dxa"/>
              <w:right w:w="45" w:type="dxa"/>
            </w:tcMar>
            <w:vAlign w:val="center"/>
          </w:tcPr>
          <w:p w14:paraId="53525B8A" w14:textId="77777777" w:rsidR="00451CC2" w:rsidRDefault="00451CC2" w:rsidP="00A746D8">
            <w:pPr>
              <w:pStyle w:val="Tabletext"/>
              <w:rPr>
                <w:rFonts w:eastAsia="Calibri"/>
                <w:sz w:val="20"/>
                <w:szCs w:val="20"/>
              </w:rPr>
            </w:pPr>
            <w:r>
              <w:rPr>
                <w:rFonts w:eastAsia="Calibri"/>
                <w:sz w:val="20"/>
                <w:szCs w:val="20"/>
              </w:rPr>
              <w:t>-</w:t>
            </w:r>
          </w:p>
        </w:tc>
        <w:tc>
          <w:tcPr>
            <w:tcW w:w="1228" w:type="dxa"/>
            <w:tcMar>
              <w:left w:w="45" w:type="dxa"/>
              <w:right w:w="45" w:type="dxa"/>
            </w:tcMar>
            <w:vAlign w:val="center"/>
          </w:tcPr>
          <w:p w14:paraId="198E94E1" w14:textId="77777777" w:rsidR="00451CC2" w:rsidRDefault="00451CC2" w:rsidP="00A746D8">
            <w:pPr>
              <w:pStyle w:val="Tabletext"/>
              <w:rPr>
                <w:rFonts w:eastAsia="Calibri"/>
                <w:sz w:val="20"/>
                <w:szCs w:val="20"/>
              </w:rPr>
            </w:pPr>
            <w:r>
              <w:rPr>
                <w:rFonts w:eastAsia="Calibri"/>
                <w:sz w:val="20"/>
                <w:szCs w:val="20"/>
              </w:rPr>
              <w:t>2024 CSR 1.7</w:t>
            </w:r>
          </w:p>
          <w:p w14:paraId="0DF23AC2" w14:textId="77777777" w:rsidR="00451CC2" w:rsidRDefault="00451CC2" w:rsidP="00A746D8">
            <w:pPr>
              <w:pStyle w:val="Tabletext"/>
              <w:rPr>
                <w:rFonts w:eastAsia="Calibri"/>
                <w:sz w:val="20"/>
                <w:szCs w:val="20"/>
              </w:rPr>
            </w:pPr>
            <w:r>
              <w:rPr>
                <w:rFonts w:eastAsia="Calibri"/>
                <w:sz w:val="20"/>
                <w:szCs w:val="20"/>
              </w:rPr>
              <w:t>2020 CSR 3.3</w:t>
            </w:r>
          </w:p>
        </w:tc>
        <w:tc>
          <w:tcPr>
            <w:tcW w:w="1932" w:type="dxa"/>
            <w:tcMar>
              <w:left w:w="45" w:type="dxa"/>
              <w:right w:w="45" w:type="dxa"/>
            </w:tcMar>
            <w:vAlign w:val="center"/>
          </w:tcPr>
          <w:p w14:paraId="20C4CEBD" w14:textId="77777777" w:rsidR="00451CC2" w:rsidRDefault="00451CC2" w:rsidP="00A746D8">
            <w:pPr>
              <w:pStyle w:val="Tabletext"/>
              <w:rPr>
                <w:rFonts w:eastAsia="Calibri"/>
                <w:sz w:val="20"/>
                <w:szCs w:val="20"/>
              </w:rPr>
            </w:pPr>
            <w:r>
              <w:rPr>
                <w:rFonts w:eastAsia="Calibri"/>
                <w:sz w:val="20"/>
                <w:szCs w:val="20"/>
              </w:rPr>
              <w:t>Social and Economic resilience</w:t>
            </w:r>
          </w:p>
        </w:tc>
        <w:tc>
          <w:tcPr>
            <w:tcW w:w="1797" w:type="dxa"/>
            <w:tcMar>
              <w:left w:w="45" w:type="dxa"/>
              <w:right w:w="45" w:type="dxa"/>
            </w:tcMar>
            <w:vAlign w:val="center"/>
          </w:tcPr>
          <w:p w14:paraId="393BED38" w14:textId="77777777" w:rsidR="00451CC2" w:rsidRDefault="00451CC2" w:rsidP="00A746D8">
            <w:pPr>
              <w:pStyle w:val="Tabletext"/>
              <w:rPr>
                <w:rFonts w:eastAsia="Calibri"/>
                <w:sz w:val="20"/>
                <w:szCs w:val="20"/>
              </w:rPr>
            </w:pPr>
            <w:r>
              <w:rPr>
                <w:rFonts w:eastAsia="Calibri"/>
                <w:sz w:val="20"/>
                <w:szCs w:val="20"/>
              </w:rPr>
              <w:t>On track</w:t>
            </w:r>
          </w:p>
        </w:tc>
      </w:tr>
      <w:tr w:rsidR="00451CC2" w14:paraId="0B3E0BBF" w14:textId="77777777" w:rsidTr="007A373B">
        <w:trPr>
          <w:trHeight w:val="227"/>
          <w:jc w:val="center"/>
        </w:trPr>
        <w:tc>
          <w:tcPr>
            <w:tcW w:w="2744" w:type="dxa"/>
            <w:tcMar>
              <w:left w:w="45" w:type="dxa"/>
              <w:right w:w="45" w:type="dxa"/>
            </w:tcMar>
            <w:vAlign w:val="center"/>
          </w:tcPr>
          <w:p w14:paraId="1B2D8A6E" w14:textId="77777777" w:rsidR="00451CC2" w:rsidRPr="00451CC2" w:rsidRDefault="00540671" w:rsidP="00A746D8">
            <w:pPr>
              <w:pStyle w:val="Tabletext"/>
              <w:rPr>
                <w:rFonts w:eastAsia="Calibri"/>
              </w:rPr>
            </w:pPr>
            <w:r w:rsidRPr="00540671">
              <w:rPr>
                <w:rFonts w:eastAsia="Calibri"/>
                <w:b/>
              </w:rPr>
              <w:t>INVESTMENT 9:</w:t>
            </w:r>
            <w:r w:rsidR="00451CC2" w:rsidRPr="00451CC2">
              <w:rPr>
                <w:rFonts w:eastAsia="Calibri"/>
              </w:rPr>
              <w:t xml:space="preserve"> Promotion of privatizations and public property utilization (by HCAP) </w:t>
            </w:r>
          </w:p>
        </w:tc>
        <w:tc>
          <w:tcPr>
            <w:tcW w:w="1201" w:type="dxa"/>
            <w:tcMar>
              <w:left w:w="45" w:type="dxa"/>
              <w:right w:w="45" w:type="dxa"/>
            </w:tcMar>
            <w:vAlign w:val="center"/>
          </w:tcPr>
          <w:p w14:paraId="3D244E84" w14:textId="77777777" w:rsidR="00451CC2" w:rsidRDefault="00451CC2" w:rsidP="00A746D8">
            <w:pPr>
              <w:pStyle w:val="Tabletext"/>
              <w:rPr>
                <w:rFonts w:eastAsia="Calibri"/>
                <w:sz w:val="20"/>
                <w:szCs w:val="20"/>
              </w:rPr>
            </w:pPr>
            <w:r>
              <w:rPr>
                <w:rFonts w:eastAsia="Calibri"/>
                <w:sz w:val="20"/>
                <w:szCs w:val="20"/>
              </w:rPr>
              <w:t>-</w:t>
            </w:r>
          </w:p>
        </w:tc>
        <w:tc>
          <w:tcPr>
            <w:tcW w:w="1228" w:type="dxa"/>
            <w:tcMar>
              <w:left w:w="45" w:type="dxa"/>
              <w:right w:w="45" w:type="dxa"/>
            </w:tcMar>
            <w:vAlign w:val="center"/>
          </w:tcPr>
          <w:p w14:paraId="34E4EC67" w14:textId="77777777" w:rsidR="00451CC2" w:rsidRDefault="00451CC2" w:rsidP="00A746D8">
            <w:pPr>
              <w:pStyle w:val="Tabletext"/>
              <w:rPr>
                <w:rFonts w:eastAsia="Calibri"/>
                <w:sz w:val="20"/>
                <w:szCs w:val="20"/>
              </w:rPr>
            </w:pPr>
            <w:r>
              <w:rPr>
                <w:rFonts w:eastAsia="Calibri"/>
                <w:sz w:val="20"/>
                <w:szCs w:val="20"/>
              </w:rPr>
              <w:t>2024 CSR 3.2 2020 CSR 3.3</w:t>
            </w:r>
          </w:p>
        </w:tc>
        <w:tc>
          <w:tcPr>
            <w:tcW w:w="1932" w:type="dxa"/>
            <w:tcMar>
              <w:left w:w="45" w:type="dxa"/>
              <w:right w:w="45" w:type="dxa"/>
            </w:tcMar>
            <w:vAlign w:val="center"/>
          </w:tcPr>
          <w:p w14:paraId="4D4E0C13" w14:textId="77777777" w:rsidR="00451CC2" w:rsidRDefault="00451CC2" w:rsidP="00A746D8">
            <w:pPr>
              <w:pStyle w:val="Tabletext"/>
              <w:rPr>
                <w:rFonts w:eastAsia="Calibri"/>
                <w:sz w:val="20"/>
                <w:szCs w:val="20"/>
              </w:rPr>
            </w:pPr>
            <w:r>
              <w:rPr>
                <w:rFonts w:eastAsia="Calibri"/>
                <w:sz w:val="20"/>
                <w:szCs w:val="20"/>
              </w:rPr>
              <w:t>Social and Economic resilience</w:t>
            </w:r>
          </w:p>
        </w:tc>
        <w:tc>
          <w:tcPr>
            <w:tcW w:w="1797" w:type="dxa"/>
            <w:tcMar>
              <w:left w:w="45" w:type="dxa"/>
              <w:right w:w="45" w:type="dxa"/>
            </w:tcMar>
            <w:vAlign w:val="center"/>
          </w:tcPr>
          <w:p w14:paraId="46321AE1" w14:textId="77777777" w:rsidR="00451CC2" w:rsidRDefault="00451CC2" w:rsidP="00A746D8">
            <w:pPr>
              <w:pStyle w:val="Tabletext"/>
              <w:rPr>
                <w:rFonts w:eastAsia="Calibri"/>
                <w:sz w:val="20"/>
                <w:szCs w:val="20"/>
              </w:rPr>
            </w:pPr>
            <w:r>
              <w:rPr>
                <w:rFonts w:eastAsia="Calibri"/>
                <w:sz w:val="20"/>
                <w:szCs w:val="20"/>
              </w:rPr>
              <w:t>On track</w:t>
            </w:r>
          </w:p>
        </w:tc>
      </w:tr>
    </w:tbl>
    <w:p w14:paraId="66556857" w14:textId="77777777" w:rsidR="00451CC2" w:rsidRPr="00451CC2" w:rsidRDefault="00451CC2" w:rsidP="004607FE">
      <w:pPr>
        <w:spacing w:before="240"/>
        <w:rPr>
          <w:rFonts w:eastAsia="Calibri"/>
          <w:i/>
          <w:iCs/>
          <w:color w:val="FF0000"/>
          <w:lang w:val="en-US"/>
        </w:rPr>
      </w:pPr>
      <w:r w:rsidRPr="00451CC2">
        <w:rPr>
          <w:rFonts w:eastAsia="Calibri"/>
          <w:lang w:val="en-US"/>
        </w:rPr>
        <w:t>The</w:t>
      </w:r>
      <w:r w:rsidRPr="00451CC2">
        <w:rPr>
          <w:rFonts w:eastAsia="Calibri"/>
          <w:b/>
          <w:bCs/>
          <w:lang w:val="en-US"/>
        </w:rPr>
        <w:t xml:space="preserve"> RRF reform “Online cash registers &amp; POS” </w:t>
      </w:r>
      <w:r w:rsidRPr="00451CC2">
        <w:rPr>
          <w:rFonts w:eastAsia="Calibri"/>
          <w:lang w:val="en-US"/>
        </w:rPr>
        <w:t xml:space="preserve">represents a significant modernization effort led by the Independent Authority for Public Revenue (IAPR). This initiative aims to integrate 400,000 cash registers with advanced POS terminals and IT systems, ensuring that every transaction is recorded in real-time and transmitted directly to the IAPR. The target was achieved and successfully assessed by the European Commission in the context of the 6th payment request in July 2025, with 431,553 confirmed interconnections, exceeding the established target. The total consists of 320,385 cash registers connected in accordance with Governor’s Decision A.1098/2022 (OJ B’ 3940) and 111,168 POS terminals connected in accordance with Governor’s Decision A.1155/2023 (OJ B’ 5992). The current number of interconnections stands at 473,411. </w:t>
      </w:r>
    </w:p>
    <w:p w14:paraId="7590B628" w14:textId="4A7A8443" w:rsidR="00451CC2" w:rsidRPr="00451CC2" w:rsidRDefault="00451CC2" w:rsidP="000F3F38">
      <w:pPr>
        <w:rPr>
          <w:rFonts w:eastAsia="Calibri"/>
          <w:lang w:val="en-US"/>
        </w:rPr>
      </w:pPr>
      <w:r w:rsidRPr="00451CC2">
        <w:rPr>
          <w:rFonts w:eastAsia="Calibri"/>
          <w:lang w:val="en-US"/>
        </w:rPr>
        <w:t xml:space="preserve">The </w:t>
      </w:r>
      <w:r w:rsidRPr="00451CC2">
        <w:rPr>
          <w:rFonts w:eastAsia="Calibri"/>
          <w:b/>
          <w:bCs/>
          <w:lang w:val="en-US"/>
        </w:rPr>
        <w:t xml:space="preserve">RRF reform </w:t>
      </w:r>
      <w:r w:rsidRPr="00451CC2">
        <w:rPr>
          <w:rFonts w:eastAsia="Calibri"/>
          <w:b/>
          <w:lang w:val="en-US"/>
        </w:rPr>
        <w:t>“</w:t>
      </w:r>
      <w:r w:rsidRPr="00451CC2">
        <w:rPr>
          <w:rFonts w:eastAsia="Calibri"/>
          <w:b/>
          <w:bCs/>
          <w:lang w:val="en-US"/>
        </w:rPr>
        <w:t>Codification and simplification of tax legislation”</w:t>
      </w:r>
      <w:r w:rsidRPr="00451CC2">
        <w:rPr>
          <w:rFonts w:eastAsia="Calibri"/>
          <w:lang w:val="en-US"/>
        </w:rPr>
        <w:t xml:space="preserve"> in the areas of income and property taxation, VAT, stamp duty, tax procedures, collection and customs</w:t>
      </w:r>
      <w:r w:rsidRPr="00822B38">
        <w:rPr>
          <w:rFonts w:eastAsia="Calibri"/>
          <w:lang w:val="en-US"/>
        </w:rPr>
        <w:t>,</w:t>
      </w:r>
      <w:r w:rsidRPr="00451CC2">
        <w:rPr>
          <w:rFonts w:eastAsia="Calibri"/>
          <w:lang w:val="en-US"/>
        </w:rPr>
        <w:t xml:space="preserve"> includes the consolidation of legal provisions, but also aims to simplify legislation and make it more accessible, thereby improving transparency, legal certainty, and tax compliance, while also contributing to the digitalization of tax administration. These tax policy codifications have been fully completed and successfully assessed by the European Commission in the 6th payment request (July 2025), including the Code for the Collection of Public Revenues (Law 4978/2022, OJ A’ 190), the VAT Codification (Law 5144/2024, OJ A’ 162), the new Digital Transaction Fee, which replaced the Stamp Duty and was enacted through Law 5135/2024 (OJ A’ 147) and subsequently incorporated into the Codification of Indirect Taxes under Law 5177/2025 (OJ A’ 21), the Property Tax Code (Law 5219/2025, OJ A’ 130), and the National Customs Code (Law 5222/2025, OJ A’ 134). In parallel, the relevant secondary legislation for the National Customs Code was issued to ensure the effective implementation of the codified legal framework (i.e., Terms, conditions, and effective date for the use of digital handwritten signatures during customs inspections, Terms and conditions for the receipt of ethyl alcohol exempt from excise </w:t>
      </w:r>
      <w:r w:rsidRPr="00451CC2">
        <w:rPr>
          <w:rFonts w:eastAsia="Calibri"/>
          <w:lang w:val="en-US"/>
        </w:rPr>
        <w:lastRenderedPageBreak/>
        <w:t>tax). With regard to the Content Management System (CMS)</w:t>
      </w:r>
      <w:r w:rsidR="0064630F">
        <w:rPr>
          <w:rFonts w:eastAsia="Calibri"/>
          <w:lang w:val="en-US"/>
        </w:rPr>
        <w:t xml:space="preserve"> </w:t>
      </w:r>
      <w:r w:rsidRPr="00451CC2">
        <w:rPr>
          <w:rFonts w:eastAsia="Calibri"/>
          <w:lang w:val="en-US"/>
        </w:rPr>
        <w:t>—designed to store, integrate, reuse, and externalize existing content, as well as to generate new content—</w:t>
      </w:r>
      <w:r w:rsidR="0064630F">
        <w:rPr>
          <w:rFonts w:eastAsia="Calibri"/>
          <w:lang w:val="en-US"/>
        </w:rPr>
        <w:t xml:space="preserve"> </w:t>
      </w:r>
      <w:r w:rsidRPr="00451CC2">
        <w:rPr>
          <w:rFonts w:eastAsia="Calibri"/>
          <w:lang w:val="en-US"/>
        </w:rPr>
        <w:t xml:space="preserve">and the dedicated website aimed at enhancing taxpayer accessibility and information, following the completion of the codification, the process of uploading the content to the website is currently ongoing, with completion expected by June 2026. </w:t>
      </w:r>
    </w:p>
    <w:p w14:paraId="4BA91398" w14:textId="77777777" w:rsidR="00451CC2" w:rsidRPr="00451CC2" w:rsidRDefault="00451CC2" w:rsidP="000F3F38">
      <w:pPr>
        <w:rPr>
          <w:rFonts w:eastAsia="Calibri"/>
          <w:lang w:val="en-US"/>
        </w:rPr>
      </w:pPr>
      <w:r w:rsidRPr="00451CC2">
        <w:rPr>
          <w:rFonts w:eastAsia="Calibri"/>
          <w:lang w:val="en-US"/>
        </w:rPr>
        <w:t xml:space="preserve">The </w:t>
      </w:r>
      <w:r w:rsidRPr="00451CC2">
        <w:rPr>
          <w:rFonts w:eastAsia="Calibri"/>
          <w:b/>
          <w:bCs/>
          <w:lang w:val="en-US"/>
        </w:rPr>
        <w:t>RRF reform “Accounting Reform”,</w:t>
      </w:r>
      <w:r w:rsidRPr="00451CC2">
        <w:rPr>
          <w:rFonts w:eastAsia="Calibri"/>
          <w:lang w:val="en-US"/>
        </w:rPr>
        <w:t xml:space="preserve"> in conjunction with the</w:t>
      </w:r>
      <w:r w:rsidRPr="00451CC2">
        <w:rPr>
          <w:rFonts w:eastAsia="Calibri"/>
          <w:b/>
          <w:bCs/>
          <w:lang w:val="en-US"/>
        </w:rPr>
        <w:t xml:space="preserve"> Gov-ERP investment,</w:t>
      </w:r>
      <w:r w:rsidRPr="00451CC2">
        <w:rPr>
          <w:rFonts w:eastAsia="Calibri"/>
          <w:lang w:val="en-US"/>
        </w:rPr>
        <w:t xml:space="preserve"> is a major initiative, focusing on modernizing financial management by transitioning from modified cash to accrual accounting and consolidated financial reporting, based on International Public Sector Accounting Standards (IPSAS). This encompasses issuing the basic Hellenic Accounting Policies (Standards) and deploying a cutting-edge Government Enterprise Resource Planning (</w:t>
      </w:r>
      <w:proofErr w:type="spellStart"/>
      <w:r w:rsidRPr="00451CC2">
        <w:rPr>
          <w:rFonts w:eastAsia="Calibri"/>
          <w:lang w:val="en-US"/>
        </w:rPr>
        <w:t>govERP</w:t>
      </w:r>
      <w:proofErr w:type="spellEnd"/>
      <w:r w:rsidRPr="00451CC2">
        <w:rPr>
          <w:rFonts w:eastAsia="Calibri"/>
          <w:lang w:val="en-US"/>
        </w:rPr>
        <w:t>) system to upgrade the Integrated Information System of Fiscal Policy. The objective is to expand</w:t>
      </w:r>
      <w:r w:rsidRPr="00451CC2">
        <w:rPr>
          <w:rFonts w:eastAsia="Calibri"/>
          <w:strike/>
          <w:lang w:val="en-US"/>
        </w:rPr>
        <w:t xml:space="preserve"> </w:t>
      </w:r>
      <w:r w:rsidRPr="00451CC2">
        <w:rPr>
          <w:rFonts w:eastAsia="Calibri"/>
          <w:lang w:val="en-US"/>
        </w:rPr>
        <w:t xml:space="preserve">functionality to fully support the public financial management (PFM) functions of Central Administration, enable monitoring of fiscal and financial data of other General Government Entities (GGEs), and implement e-invoicing for public procurement. The required actions under the reform are currently in the final stages of implementation. In particular, twelve (12) Accounting Policies have been issued, while the list of the 344 entities participating in the pilot implementation, covering all subsectors of the General Government and ensuring representativeness, has been published. In addition, the preparation of the first pilot Consolidated Financial Statements of the General Government, with reference year 2023, has been completed, together with the accompanying explanatory report outlining the methodology and parameters applied. Regarding the </w:t>
      </w:r>
      <w:proofErr w:type="spellStart"/>
      <w:r w:rsidRPr="00451CC2">
        <w:rPr>
          <w:rFonts w:eastAsia="Calibri"/>
          <w:lang w:val="en-US"/>
        </w:rPr>
        <w:t>govERP</w:t>
      </w:r>
      <w:proofErr w:type="spellEnd"/>
      <w:r w:rsidRPr="00451CC2">
        <w:rPr>
          <w:rFonts w:eastAsia="Calibri"/>
          <w:lang w:val="en-US"/>
        </w:rPr>
        <w:t xml:space="preserve"> project</w:t>
      </w:r>
      <w:r w:rsidRPr="00451CC2">
        <w:rPr>
          <w:rFonts w:eastAsia="Calibri"/>
          <w:b/>
          <w:bCs/>
          <w:lang w:val="en-US"/>
        </w:rPr>
        <w:t>,</w:t>
      </w:r>
      <w:r w:rsidRPr="00451CC2">
        <w:rPr>
          <w:rFonts w:eastAsia="Calibri"/>
          <w:lang w:val="en-US"/>
        </w:rPr>
        <w:t xml:space="preserve"> the implementation of the system is progressing in line with the established timeline. Following the finalization of the technical specifications for interoperability with third</w:t>
      </w:r>
      <w:r w:rsidRPr="00451CC2">
        <w:rPr>
          <w:rFonts w:eastAsia="Calibri"/>
          <w:lang w:val="en-US"/>
        </w:rPr>
        <w:noBreakHyphen/>
        <w:t>party entities, the focus has now shifted to the completion of User Acceptance Tests (UATs) across the entire system and to the preparation of the 2027 Budget. The relevant functionality is expected to be technically ready by May 2026, supported by the ongoing training of users, so that, upon the issuance of the relevant circular in June 2026, the process can be executed fully and with operational adequacy within the new information system.</w:t>
      </w:r>
    </w:p>
    <w:p w14:paraId="306179D3" w14:textId="77777777" w:rsidR="00451CC2" w:rsidRPr="00451CC2" w:rsidRDefault="00451CC2" w:rsidP="000F3F38">
      <w:pPr>
        <w:rPr>
          <w:rFonts w:eastAsia="Calibri"/>
          <w:lang w:val="en-US"/>
        </w:rPr>
      </w:pPr>
      <w:r w:rsidRPr="00451CC2">
        <w:rPr>
          <w:rFonts w:eastAsia="Calibri"/>
          <w:lang w:val="en-US"/>
        </w:rPr>
        <w:t xml:space="preserve">The </w:t>
      </w:r>
      <w:r w:rsidRPr="00451CC2">
        <w:rPr>
          <w:rFonts w:eastAsia="Calibri"/>
          <w:b/>
          <w:bCs/>
          <w:lang w:val="en-US"/>
        </w:rPr>
        <w:t>RRF reform</w:t>
      </w:r>
      <w:r w:rsidRPr="00451CC2">
        <w:rPr>
          <w:rFonts w:eastAsia="Calibri"/>
          <w:lang w:val="en-US"/>
        </w:rPr>
        <w:t xml:space="preserve"> </w:t>
      </w:r>
      <w:r w:rsidRPr="00275C05">
        <w:rPr>
          <w:rFonts w:eastAsia="Calibri"/>
          <w:b/>
          <w:lang w:val="en-US"/>
        </w:rPr>
        <w:t>“</w:t>
      </w:r>
      <w:r w:rsidRPr="00451CC2">
        <w:rPr>
          <w:rFonts w:eastAsia="Calibri"/>
          <w:b/>
          <w:bCs/>
          <w:lang w:val="en-US"/>
        </w:rPr>
        <w:t>Modifications to Greece’s tax policy framework”</w:t>
      </w:r>
      <w:r w:rsidRPr="00451CC2">
        <w:rPr>
          <w:rFonts w:eastAsia="Calibri"/>
          <w:lang w:val="en-US"/>
        </w:rPr>
        <w:t xml:space="preserve"> aims to combat tax evasion and improve incentives within the tax system, focusing on promoting electronic payments, widening the tax base and enhancing IAPRs operational autonomy. In 2025 the reform was fully completed and submitted to the European Commission, which subsequently approved it as part of the 6th Payment Request (July 2025). The final remaining step was the enactment of Article 272 of Law 5222/2025 (OJ A’ 134/2025), which further strengthened the operational autonomy of the Independent Authority for Public Revenue (IAPR), in particular with regard to the procurement of central IT equipment, system software and cloud computing services. This was followed by the signature of the new Service Level Agreement (SLA) between the Ministry of Digital Governance and the IAPR. In addition, the ministerial decision establishing the Key Performance Indicators (KPIs) and introducing an annual taxpayer satisfaction survey for the IAPR was issued (DG IAPR A.1084136, OJ B’ 4646/2024), while the taxpayer satisfaction survey for 2024 has also been completed.</w:t>
      </w:r>
    </w:p>
    <w:p w14:paraId="268B51B2" w14:textId="77777777" w:rsidR="00451CC2" w:rsidRPr="00451CC2" w:rsidRDefault="00451CC2" w:rsidP="000F3F38">
      <w:pPr>
        <w:rPr>
          <w:rFonts w:eastAsia="Calibri"/>
          <w:strike/>
          <w:lang w:val="en-US"/>
        </w:rPr>
      </w:pPr>
      <w:r w:rsidRPr="00451CC2">
        <w:rPr>
          <w:rFonts w:eastAsia="Calibri"/>
          <w:lang w:val="en-US"/>
        </w:rPr>
        <w:t xml:space="preserve">The </w:t>
      </w:r>
      <w:r w:rsidRPr="00451CC2">
        <w:rPr>
          <w:rFonts w:eastAsia="Calibri"/>
          <w:b/>
          <w:lang w:val="en-US"/>
        </w:rPr>
        <w:t xml:space="preserve">RRF reform </w:t>
      </w:r>
      <w:r w:rsidRPr="00451CC2">
        <w:rPr>
          <w:rFonts w:eastAsia="Calibri"/>
          <w:b/>
          <w:bCs/>
          <w:lang w:val="en-US"/>
        </w:rPr>
        <w:t>“</w:t>
      </w:r>
      <w:proofErr w:type="spellStart"/>
      <w:r w:rsidRPr="00451CC2">
        <w:rPr>
          <w:rFonts w:eastAsia="Calibri"/>
          <w:b/>
          <w:bCs/>
          <w:lang w:val="en-US"/>
        </w:rPr>
        <w:t>Incentivisation</w:t>
      </w:r>
      <w:proofErr w:type="spellEnd"/>
      <w:r w:rsidRPr="00451CC2">
        <w:rPr>
          <w:rFonts w:eastAsia="Calibri"/>
          <w:b/>
          <w:bCs/>
          <w:lang w:val="en-US"/>
        </w:rPr>
        <w:t xml:space="preserve"> regime for productivity and extroversion of enterprises”</w:t>
      </w:r>
      <w:r w:rsidRPr="00451CC2">
        <w:rPr>
          <w:rFonts w:eastAsia="Calibri"/>
          <w:lang w:val="en-US"/>
        </w:rPr>
        <w:t xml:space="preserve"> was already marked as completed in the APR 2025 report. </w:t>
      </w:r>
    </w:p>
    <w:p w14:paraId="49C9DC6D" w14:textId="77777777" w:rsidR="00451CC2" w:rsidRPr="00451CC2" w:rsidRDefault="00451CC2" w:rsidP="000F3F38">
      <w:pPr>
        <w:rPr>
          <w:rFonts w:eastAsia="Calibri"/>
          <w:strike/>
          <w:lang w:val="en-US"/>
        </w:rPr>
      </w:pPr>
      <w:r w:rsidRPr="00451CC2">
        <w:rPr>
          <w:rFonts w:eastAsia="Calibri"/>
          <w:lang w:val="en-US"/>
        </w:rPr>
        <w:lastRenderedPageBreak/>
        <w:t>The</w:t>
      </w:r>
      <w:r w:rsidRPr="00451CC2">
        <w:rPr>
          <w:rFonts w:eastAsia="Calibri"/>
          <w:b/>
          <w:lang w:val="en-US"/>
        </w:rPr>
        <w:t xml:space="preserve"> </w:t>
      </w:r>
      <w:r w:rsidRPr="00451CC2">
        <w:rPr>
          <w:rFonts w:eastAsia="Calibri"/>
          <w:b/>
          <w:bCs/>
          <w:lang w:val="en-US"/>
        </w:rPr>
        <w:t>RRF reform “Strengthening the capacity of the financial system to overcome legacy challenges and finance the real economy”</w:t>
      </w:r>
      <w:r w:rsidRPr="00451CC2">
        <w:rPr>
          <w:rFonts w:eastAsia="Calibri"/>
          <w:sz w:val="25"/>
          <w:szCs w:val="25"/>
          <w:lang w:val="en-US"/>
        </w:rPr>
        <w:t xml:space="preserve"> </w:t>
      </w:r>
      <w:r w:rsidRPr="00451CC2">
        <w:rPr>
          <w:rFonts w:eastAsia="Calibri"/>
          <w:lang w:val="en-US"/>
        </w:rPr>
        <w:t>aims to reduce private debt levels by improving the insolvency process, strengthening the non-performing loans (NPLs) market, and mitigating future debt accumulation by eliminating information asymmetries. Significant growth was observed in the secondary market of loans. Trends indicate stable flows of portfolios brought to market. Overall, during the 2024–the first semester 2025 period, closed secondary sales accounted for €6.4 billion in gross book value, while an additional €1.27</w:t>
      </w:r>
      <w:r w:rsidRPr="00451CC2">
        <w:rPr>
          <w:rFonts w:eastAsia="Calibri"/>
          <w:b/>
          <w:bCs/>
          <w:lang w:val="en-US"/>
        </w:rPr>
        <w:t xml:space="preserve"> </w:t>
      </w:r>
      <w:r w:rsidRPr="00451CC2">
        <w:rPr>
          <w:rFonts w:eastAsia="Calibri"/>
          <w:lang w:val="en-US"/>
        </w:rPr>
        <w:t>billion accounts for the 2</w:t>
      </w:r>
      <w:r w:rsidRPr="00451CC2">
        <w:rPr>
          <w:rFonts w:eastAsia="Calibri"/>
          <w:vertAlign w:val="superscript"/>
          <w:lang w:val="en-US"/>
        </w:rPr>
        <w:t>nd</w:t>
      </w:r>
      <w:r w:rsidRPr="00451CC2">
        <w:rPr>
          <w:rFonts w:eastAsia="Calibri"/>
          <w:lang w:val="en-US"/>
        </w:rPr>
        <w:t xml:space="preserve"> semester 2025.  Moreover, the adoption of Laws 5193/2025 (OJ A’56/2025) and 5264/2026 (OJ A’239/2026), introducing targeted measures for CHF-denominated loans, together with the conclusion of the Hercules Scheme, further strengthened the framework for addressing legacy private debt, contributing to a reduction in non-performing loans to 2.85% by end of 2025 (ECB) and supporting financial stability.</w:t>
      </w:r>
      <w:r w:rsidRPr="00451CC2">
        <w:rPr>
          <w:rFonts w:ascii="Times New Roman" w:eastAsia="Times New Roman" w:hAnsi="Times New Roman" w:cs="Times New Roman"/>
          <w:lang w:val="en-US"/>
        </w:rPr>
        <w:t xml:space="preserve"> </w:t>
      </w:r>
      <w:r w:rsidRPr="00451CC2">
        <w:rPr>
          <w:rFonts w:eastAsia="Calibri"/>
          <w:lang w:val="en-US"/>
        </w:rPr>
        <w:t>Furthermore</w:t>
      </w:r>
      <w:r w:rsidRPr="00451CC2">
        <w:rPr>
          <w:rFonts w:ascii="Times New Roman" w:eastAsia="Times New Roman" w:hAnsi="Times New Roman" w:cs="Times New Roman"/>
          <w:lang w:val="en-US"/>
        </w:rPr>
        <w:t>,</w:t>
      </w:r>
      <w:r w:rsidRPr="00451CC2">
        <w:rPr>
          <w:rFonts w:eastAsia="Calibri"/>
          <w:lang w:val="en-US"/>
        </w:rPr>
        <w:t xml:space="preserve"> the creation of a </w:t>
      </w:r>
      <w:r w:rsidRPr="00451CC2">
        <w:rPr>
          <w:rFonts w:eastAsia="Calibri"/>
          <w:b/>
          <w:bCs/>
          <w:lang w:val="en-US"/>
        </w:rPr>
        <w:t>Public Credit Rating Information System and an IT system for solvency assessment</w:t>
      </w:r>
      <w:r w:rsidRPr="00451CC2">
        <w:rPr>
          <w:rFonts w:eastAsia="Calibri"/>
          <w:lang w:val="en-US"/>
        </w:rPr>
        <w:t xml:space="preserve"> aims to tackle asymmetric information between the public sector and private entities regarding creditworthiness. This includes credit scoring for debts to the State and facilitates the exchange of credit information with rating agencies, forming a unified rating system. The pilot phase of the Public Credit Rating Information System commenced in October 2025. Moreover, the Central Credit Registry (CCR) is an information system currently under development by the Bank of Greece, designed to record detailed payment histories of individual loans, including all customers of banks and financial institutions, along with the associated collateral. In December 2025, the decisions governing data provision, as well as creditors’ connection and access to the CCR, and its Operating Regulation, were issued. On 23 January 2026, the CCR commenced operations via the Bank of Greece website. Also, the </w:t>
      </w:r>
      <w:r w:rsidRPr="00451CC2">
        <w:rPr>
          <w:rFonts w:eastAsia="Calibri"/>
          <w:b/>
          <w:bCs/>
          <w:lang w:val="en-US"/>
        </w:rPr>
        <w:t xml:space="preserve">Private Debt Monitoring Registry </w:t>
      </w:r>
      <w:r w:rsidRPr="00451CC2">
        <w:rPr>
          <w:rFonts w:eastAsia="Calibri"/>
          <w:lang w:val="en-US"/>
        </w:rPr>
        <w:t>is designed as a central electronic database that will collect data from public and private creditors, as well as other reliable sources, to clarify underreported debt and record as much private debt as possible. The Registry is expected to be completed and become operational by the end of June 2026.</w:t>
      </w:r>
      <w:r w:rsidRPr="00451CC2">
        <w:rPr>
          <w:rFonts w:eastAsia="Calibri"/>
          <w:highlight w:val="white"/>
          <w:lang w:val="en-US"/>
        </w:rPr>
        <w:t xml:space="preserve"> </w:t>
      </w:r>
      <w:r w:rsidRPr="00451CC2">
        <w:rPr>
          <w:rFonts w:eastAsia="Calibri"/>
          <w:lang w:val="en-US"/>
        </w:rPr>
        <w:t xml:space="preserve">In addition, relating to case handling and backlog reduction in enforcement proceedings, </w:t>
      </w:r>
      <w:r w:rsidRPr="00451CC2">
        <w:rPr>
          <w:rFonts w:eastAsia="Calibri"/>
          <w:highlight w:val="white"/>
          <w:lang w:val="en-US"/>
        </w:rPr>
        <w:t xml:space="preserve">the recent </w:t>
      </w:r>
      <w:r w:rsidRPr="00451CC2">
        <w:rPr>
          <w:rFonts w:eastAsia="Calibri"/>
          <w:b/>
          <w:bCs/>
          <w:highlight w:val="white"/>
          <w:lang w:val="en-US"/>
        </w:rPr>
        <w:t>amendment to the enforcement provisions of the Code of Civil Procedure</w:t>
      </w:r>
      <w:r w:rsidRPr="00451CC2">
        <w:rPr>
          <w:rFonts w:eastAsia="Calibri"/>
          <w:highlight w:val="white"/>
          <w:lang w:val="en-US"/>
        </w:rPr>
        <w:t>, introduced by Law 5221/2025 (OJ A’ 133), is expected to address chronic judicial delays, restore legal certainty and safeguard the right to effective judicial protection. The reform introduces four key measures to accelerate liquidation-related proceedings: (</w:t>
      </w:r>
      <w:proofErr w:type="spellStart"/>
      <w:r w:rsidRPr="00451CC2">
        <w:rPr>
          <w:rFonts w:eastAsia="Calibri"/>
          <w:highlight w:val="white"/>
          <w:lang w:val="en-US"/>
        </w:rPr>
        <w:t>i</w:t>
      </w:r>
      <w:proofErr w:type="spellEnd"/>
      <w:r w:rsidRPr="00451CC2">
        <w:rPr>
          <w:rFonts w:eastAsia="Calibri"/>
          <w:highlight w:val="white"/>
          <w:lang w:val="en-US"/>
        </w:rPr>
        <w:t>) adaptation of the interim measures procedure to enforcement cases through faster and more flexible rules; (ii) separation of pre-auction substantive oppositions from procedural ones to prevent tactical delays; (iii) redistribution of territorial competence by abolishing prorogation to the Athens First Instance Court, ensuring a more balanced caseload nationwide; and (iv) establishment of a mandatory rescheduling mechanism, supported by an electronic platform aimed at expediting pending cases, limiting reconsideration requests and clearing legacy dockets within a defined timeframe. The platform is expected to be operational in May 2026, with two regulatory decisions to follow in June 2026: one governing the platform’s operation (Joint Ministerial Decision) and a declaratory decision by the Minister of Justice setting the official launch date. Full clearance of the backlogged dockets is expected within three years from the launch/ initial operation of the electronic platform.</w:t>
      </w:r>
    </w:p>
    <w:p w14:paraId="601A155E" w14:textId="77777777" w:rsidR="00451CC2" w:rsidRPr="00451CC2" w:rsidRDefault="00451CC2" w:rsidP="000F3F38">
      <w:pPr>
        <w:rPr>
          <w:rFonts w:eastAsia="Calibri"/>
          <w:strike/>
          <w:lang w:val="en-US"/>
        </w:rPr>
      </w:pPr>
      <w:r w:rsidRPr="00451CC2">
        <w:rPr>
          <w:rFonts w:eastAsia="Calibri"/>
          <w:lang w:val="en-US"/>
        </w:rPr>
        <w:t xml:space="preserve">The </w:t>
      </w:r>
      <w:r w:rsidRPr="00451CC2">
        <w:rPr>
          <w:rFonts w:eastAsia="Calibri"/>
          <w:b/>
          <w:bCs/>
          <w:lang w:val="en-US"/>
        </w:rPr>
        <w:t>RRF reform “</w:t>
      </w:r>
      <w:r w:rsidRPr="0024653A">
        <w:rPr>
          <w:rFonts w:eastAsia="Calibri"/>
          <w:b/>
          <w:bCs/>
        </w:rPr>
        <w:t>Ε</w:t>
      </w:r>
      <w:proofErr w:type="spellStart"/>
      <w:r w:rsidRPr="00451CC2">
        <w:rPr>
          <w:rFonts w:eastAsia="Calibri"/>
          <w:b/>
          <w:bCs/>
          <w:lang w:val="en-US"/>
        </w:rPr>
        <w:t>nhanced</w:t>
      </w:r>
      <w:proofErr w:type="spellEnd"/>
      <w:r w:rsidRPr="00451CC2">
        <w:rPr>
          <w:rFonts w:eastAsia="Calibri"/>
          <w:b/>
          <w:bCs/>
          <w:lang w:val="en-US"/>
        </w:rPr>
        <w:t xml:space="preserve"> capital market supervision and trustworthiness” </w:t>
      </w:r>
      <w:r w:rsidRPr="00451CC2">
        <w:rPr>
          <w:rFonts w:eastAsia="Calibri"/>
          <w:lang w:val="en-US"/>
        </w:rPr>
        <w:t xml:space="preserve">focuses on the digital transformation of the Hellenic Capital Market Commission (HCMC)'s, digitizing its </w:t>
      </w:r>
      <w:r w:rsidRPr="00451CC2">
        <w:rPr>
          <w:rFonts w:eastAsia="Calibri"/>
          <w:lang w:val="en-US"/>
        </w:rPr>
        <w:lastRenderedPageBreak/>
        <w:t>internal processes and organization, as well as modernizing the regulatory framework for capital markets. In May 2025, the contract for the upgrade of the HCMC’s IT and security systems was signed. In February 2026, the contract for the administrative codification of the capital markets regulatory and legislative framework was signed and the project is progressing in line with the envisaged timeline. The digital transformation is expected to be completed in August 2026 while the codification of the legal framework is expected to be completed in June 2026.</w:t>
      </w:r>
    </w:p>
    <w:p w14:paraId="63B293D5" w14:textId="77777777" w:rsidR="00451CC2" w:rsidRPr="00451CC2" w:rsidRDefault="00451CC2" w:rsidP="000F3F38">
      <w:pPr>
        <w:rPr>
          <w:rFonts w:eastAsia="Calibri"/>
          <w:lang w:val="en-US"/>
        </w:rPr>
      </w:pPr>
      <w:r w:rsidRPr="00451CC2">
        <w:rPr>
          <w:rFonts w:eastAsia="Calibri"/>
          <w:lang w:val="en-US"/>
        </w:rPr>
        <w:t xml:space="preserve">The </w:t>
      </w:r>
      <w:r w:rsidRPr="00451CC2">
        <w:rPr>
          <w:rFonts w:eastAsia="Calibri"/>
          <w:b/>
          <w:bCs/>
          <w:lang w:val="en-US"/>
        </w:rPr>
        <w:t xml:space="preserve">unified insolvency framework </w:t>
      </w:r>
      <w:r w:rsidRPr="00451CC2">
        <w:rPr>
          <w:rFonts w:eastAsia="Calibri"/>
          <w:lang w:val="en-US"/>
        </w:rPr>
        <w:t xml:space="preserve">which became fully operational in 2021, signified an important advancement in Greece's approach to managing pre-bankruptcy proceedings, including the introduction of an automated out-of-court process and a second chance for debtors. At present, several projects are in progress to enhance the framework’s operation. Specifically, the </w:t>
      </w:r>
      <w:r w:rsidRPr="00451CC2">
        <w:rPr>
          <w:rFonts w:eastAsia="Calibri"/>
          <w:b/>
          <w:lang w:val="en-US"/>
        </w:rPr>
        <w:t>RRF reform “Unified insolvency framework (OCW - Debtor guidance mechanism - Early Warning Mechanism)”</w:t>
      </w:r>
      <w:r w:rsidRPr="00451CC2">
        <w:rPr>
          <w:rFonts w:eastAsia="Calibri"/>
          <w:lang w:val="en-US"/>
        </w:rPr>
        <w:t>, entails the upgrade of the electronic platform supporting the early warning mechanism for individuals and legal entities, as well as the platform for out-of-court debt settlement, aim to enhance the digital infrastructure for effective debt restructuring and settlement and is progressing in line with the envisaged timeline, with completion expected in May 2026. In parallel, the establishment of a debtor guidance mechanism during the early stages of financial distress is also progressing. This includes training professional advisors to provide support services such as business mentoring, coaching, and empowerment, with the goal of fostering a proactive culture and mindset that helps prevent insolvency. This project was completed on March 31, 2026.</w:t>
      </w:r>
    </w:p>
    <w:p w14:paraId="54DE46AB" w14:textId="77777777" w:rsidR="00451CC2" w:rsidRPr="00451CC2" w:rsidRDefault="00451CC2" w:rsidP="000F3F38">
      <w:pPr>
        <w:rPr>
          <w:rFonts w:eastAsia="Calibri"/>
          <w:lang w:val="en-US"/>
        </w:rPr>
      </w:pPr>
      <w:r w:rsidRPr="00451CC2">
        <w:rPr>
          <w:rFonts w:eastAsia="Calibri"/>
          <w:lang w:val="en-US"/>
        </w:rPr>
        <w:t xml:space="preserve">The </w:t>
      </w:r>
      <w:r w:rsidRPr="00451CC2">
        <w:rPr>
          <w:rFonts w:eastAsia="Calibri"/>
          <w:b/>
          <w:bCs/>
          <w:lang w:val="en-US"/>
        </w:rPr>
        <w:t>Green Budgeting</w:t>
      </w:r>
      <w:r w:rsidRPr="00451CC2">
        <w:rPr>
          <w:rFonts w:eastAsia="Calibri"/>
          <w:lang w:val="en-US"/>
        </w:rPr>
        <w:t xml:space="preserve"> initiative has been developed with the objective of incorporating the environmental impact of public policies into the State Budget. In the 2026 State Budget, the presentation of the environmental dimension of Central Administration programmes is completed through the inclusion of an environmental impact assessment of programmes implemented by Independent Administrative Authorities belonging to the Central Administration. Overall, a total of 176 programmes were assessed. For 2026, a key strategic objective is the completion of the methodology for the assessment and presentation of the environmental impact of different categories of public revenues and tax expenditures, further enhancing the scope and analytical depth of the Green Budgeting framework. </w:t>
      </w:r>
    </w:p>
    <w:p w14:paraId="6E49E45C" w14:textId="77777777" w:rsidR="00451CC2" w:rsidRPr="00451CC2" w:rsidRDefault="00451CC2" w:rsidP="000F3F38">
      <w:pPr>
        <w:rPr>
          <w:rFonts w:eastAsia="Calibri"/>
          <w:strike/>
          <w:lang w:val="en-US"/>
        </w:rPr>
      </w:pPr>
      <w:r w:rsidRPr="00451CC2">
        <w:rPr>
          <w:rFonts w:eastAsia="Calibri"/>
          <w:lang w:val="en-US"/>
        </w:rPr>
        <w:t xml:space="preserve">In relation to this, options for designing a ‘green’ tax reform in Greece are investigated through the project </w:t>
      </w:r>
      <w:r w:rsidRPr="00451CC2">
        <w:rPr>
          <w:rFonts w:eastAsia="Calibri"/>
          <w:b/>
          <w:lang w:val="en-US"/>
        </w:rPr>
        <w:t>“</w:t>
      </w:r>
      <w:r w:rsidRPr="00451CC2">
        <w:rPr>
          <w:rFonts w:eastAsia="Calibri"/>
          <w:b/>
          <w:bCs/>
          <w:lang w:val="en-US"/>
        </w:rPr>
        <w:t xml:space="preserve">Greening of Taxes – Development of a New Green Tax Reform”, </w:t>
      </w:r>
      <w:r w:rsidRPr="00451CC2">
        <w:rPr>
          <w:rFonts w:eastAsia="Calibri"/>
          <w:lang w:val="en-US"/>
        </w:rPr>
        <w:t>funded by the EU Technical Support Instrument (TSI) and in collaboration with the Foundations for Economic and Industrial Research (IO</w:t>
      </w:r>
      <w:r w:rsidRPr="0024653A">
        <w:rPr>
          <w:rFonts w:eastAsia="Calibri"/>
          <w:lang w:val="en-US"/>
        </w:rPr>
        <w:t>V</w:t>
      </w:r>
      <w:r w:rsidRPr="00451CC2">
        <w:rPr>
          <w:rFonts w:eastAsia="Calibri"/>
          <w:lang w:val="en-US"/>
        </w:rPr>
        <w:t>E). The project aimed at developing an economic modelling framework to support the assessment and design of green tax reforms, while strengthening public administration capacities for the formulation and monitoring of green economic policies. The implementation of the project progressed smoothly during the first half of 2025 and was successfully completed in May 2025. During this period, the capacity</w:t>
      </w:r>
      <w:r w:rsidRPr="00451CC2">
        <w:rPr>
          <w:rFonts w:eastAsia="Calibri"/>
          <w:lang w:val="en-US"/>
        </w:rPr>
        <w:noBreakHyphen/>
        <w:t xml:space="preserve">building activities were carried out, starting with the first training seminar on the use of the Computable General Equilibrium (CGE) model, followed by six additional specialized training seminars. Furthermore, the policy proposals developed within the framework of the project were finalized, and the project concluded with a final workshop. Building on the successful completion of the project, </w:t>
      </w:r>
      <w:r w:rsidRPr="00451CC2">
        <w:rPr>
          <w:rFonts w:eastAsia="Calibri"/>
          <w:lang w:val="en-US"/>
        </w:rPr>
        <w:lastRenderedPageBreak/>
        <w:t>a new green tax reform in Greece is being prepared, with legislative provisions expected to be finalized by the end of 2026.</w:t>
      </w:r>
    </w:p>
    <w:p w14:paraId="23CAA040" w14:textId="5C71C7AF" w:rsidR="00451CC2" w:rsidRPr="00451CC2" w:rsidRDefault="00451CC2" w:rsidP="000F3F38">
      <w:pPr>
        <w:rPr>
          <w:rFonts w:eastAsia="Calibri"/>
          <w:lang w:val="en-US"/>
        </w:rPr>
      </w:pPr>
      <w:r w:rsidRPr="00451CC2">
        <w:rPr>
          <w:rFonts w:eastAsia="Calibri"/>
          <w:lang w:val="en-US"/>
        </w:rPr>
        <w:t>The Insolvency Code includes specific measures designed to protect Greece's most vulnerable debtors. Central to this effort is the</w:t>
      </w:r>
      <w:r w:rsidRPr="00451CC2">
        <w:rPr>
          <w:rFonts w:eastAsia="Calibri"/>
          <w:b/>
          <w:bCs/>
          <w:lang w:val="en-US"/>
        </w:rPr>
        <w:t xml:space="preserve"> Sale and Lease Back Organization (SLBO)</w:t>
      </w:r>
      <w:r w:rsidRPr="00451CC2">
        <w:rPr>
          <w:rFonts w:eastAsia="Calibri"/>
          <w:lang w:val="en-US"/>
        </w:rPr>
        <w:t xml:space="preserve">, a key initiative that facilitates the transfer of primary residences owned by vulnerable debtors to a designated entity, with the option for these debtors to lease the properties back. Additionally, Greece’s four systemic banks will participate in the new Organization with </w:t>
      </w:r>
      <w:r w:rsidR="00741C54">
        <w:rPr>
          <w:rFonts w:eastAsia="Calibri"/>
          <w:lang w:val="en-US"/>
        </w:rPr>
        <w:t>€</w:t>
      </w:r>
      <w:r w:rsidRPr="00451CC2">
        <w:rPr>
          <w:rFonts w:eastAsia="Calibri"/>
          <w:lang w:val="en-US"/>
        </w:rPr>
        <w:t>100 million to its budget. The submission of bids by investors is expected to be completed within May 2026, followed by the announcement of the selected bidder/contractor. This will be followed by the required ratification of the resulting contract by the Hellenic Parliament. Due to the length of the overall procedure, the interim phase</w:t>
      </w:r>
      <w:r w:rsidR="00CA62F8">
        <w:rPr>
          <w:rFonts w:eastAsia="Calibri"/>
          <w:lang w:val="en-US"/>
        </w:rPr>
        <w:t xml:space="preserve"> </w:t>
      </w:r>
      <w:r w:rsidRPr="00451CC2">
        <w:rPr>
          <w:rFonts w:eastAsia="Calibri"/>
          <w:lang w:val="en-US"/>
        </w:rPr>
        <w:t>—during which eligible borrowers make pre-determined monthly payments to their lenders, partially subsidized by the State, and all enforcement or liquidation proceedings are suspended—</w:t>
      </w:r>
      <w:r w:rsidR="00CA62F8">
        <w:rPr>
          <w:rFonts w:eastAsia="Calibri"/>
          <w:lang w:val="en-US"/>
        </w:rPr>
        <w:t xml:space="preserve"> </w:t>
      </w:r>
      <w:r w:rsidRPr="00451CC2">
        <w:rPr>
          <w:rFonts w:eastAsia="Calibri"/>
          <w:lang w:val="en-US"/>
        </w:rPr>
        <w:t>has been extended until the full establishment of the Sale and Lease Back Organization (SLBO). To date, approximately 378 vulnerable debtors have been included in this interim scheme. The SLBO is expected to be fully operational by the end of 2026.</w:t>
      </w:r>
    </w:p>
    <w:p w14:paraId="2F72706C" w14:textId="77777777" w:rsidR="00451CC2" w:rsidRPr="00451CC2" w:rsidRDefault="00451CC2" w:rsidP="000F3F38">
      <w:pPr>
        <w:rPr>
          <w:rFonts w:eastAsia="Calibri"/>
          <w:strike/>
          <w:lang w:val="en-US"/>
        </w:rPr>
      </w:pPr>
      <w:r w:rsidRPr="00451CC2">
        <w:rPr>
          <w:rFonts w:eastAsia="Calibri"/>
          <w:lang w:val="en-US"/>
        </w:rPr>
        <w:t xml:space="preserve">The recurrence of extreme weather events and natural disasters had highlighted the </w:t>
      </w:r>
      <w:r w:rsidRPr="00451CC2">
        <w:rPr>
          <w:rFonts w:eastAsia="Calibri"/>
          <w:b/>
          <w:bCs/>
          <w:lang w:val="en-US"/>
        </w:rPr>
        <w:t>need for targeted interventions in the areas of climate adaptation and mitigation</w:t>
      </w:r>
      <w:r w:rsidRPr="00451CC2">
        <w:rPr>
          <w:rFonts w:eastAsia="Calibri"/>
          <w:lang w:val="en-US"/>
        </w:rPr>
        <w:t xml:space="preserve">. Respective actions were reported in the previous APR 2025 report, the measure was already marked as completed. </w:t>
      </w:r>
    </w:p>
    <w:p w14:paraId="544FA96A" w14:textId="77777777" w:rsidR="00451CC2" w:rsidRPr="00451CC2" w:rsidRDefault="00451CC2" w:rsidP="000F3F38">
      <w:pPr>
        <w:rPr>
          <w:rFonts w:eastAsia="Calibri"/>
          <w:strike/>
          <w:lang w:val="en-US"/>
        </w:rPr>
      </w:pPr>
      <w:r w:rsidRPr="00451CC2">
        <w:rPr>
          <w:rFonts w:eastAsia="Calibri"/>
          <w:lang w:val="en-US"/>
        </w:rPr>
        <w:t>The</w:t>
      </w:r>
      <w:r w:rsidRPr="00451CC2">
        <w:rPr>
          <w:rFonts w:eastAsia="Calibri"/>
          <w:b/>
          <w:bCs/>
          <w:lang w:val="en-US"/>
        </w:rPr>
        <w:t xml:space="preserve"> National Strategy for financial literacy in Greece </w:t>
      </w:r>
      <w:r w:rsidRPr="00451CC2">
        <w:rPr>
          <w:rFonts w:eastAsia="Calibri"/>
          <w:lang w:val="en-US"/>
        </w:rPr>
        <w:t>aims to enhance financial literacy by promoting prudent money management and a savings culture, particularly among vulnerable groups. Key actions include initiatives to encourage responsible credit use, saving habits, and understanding financial risks. 2025 was a period of intensive organization and undertaking of specific initiatives. Following the establishment of the National Coordination Committee at the end of 2024, six (6) specialized Thematic Committees were activated in the first half of 2025, in which bodies from the public sector, the private sector and civil society participated. Important actions were undertaken in Primary and Secondary Education, such as the examination of the introduction of a special subject in the school curriculum, as well as the strengthening of Skills Workshops with financial literacy content. At the same time, the case of the participation of Greek schools in the financial literacy sector of the PISA 2029 assessment is in progress. The implementation of the Panhellenic Student Economics Competition was also approved, while the Ministry also launched the design of its “Integrated Framework of Actions”, aiming to combat financial illiteracy. In addition, bodies such as the Bank of Greece and the Capital Market Commission strengthened their activities during 2025, through educational programs, publications on financial education and awareness-raising initiatives aimed at protecting the public from electronic financial fraud.</w:t>
      </w:r>
    </w:p>
    <w:p w14:paraId="0F231A9B" w14:textId="77777777" w:rsidR="00451CC2" w:rsidRPr="00451CC2" w:rsidRDefault="00451CC2" w:rsidP="000F3F38">
      <w:pPr>
        <w:rPr>
          <w:rFonts w:eastAsia="Calibri"/>
          <w:lang w:val="en-US"/>
        </w:rPr>
      </w:pPr>
      <w:r w:rsidRPr="00451CC2">
        <w:rPr>
          <w:rFonts w:eastAsia="Calibri"/>
          <w:highlight w:val="white"/>
          <w:lang w:val="en-US"/>
        </w:rPr>
        <w:t xml:space="preserve">The </w:t>
      </w:r>
      <w:r w:rsidRPr="00451CC2">
        <w:rPr>
          <w:rFonts w:eastAsia="Calibri"/>
          <w:b/>
          <w:bCs/>
          <w:highlight w:val="white"/>
          <w:lang w:val="en-US"/>
        </w:rPr>
        <w:t>Public Investment Programme (PIP)</w:t>
      </w:r>
      <w:r w:rsidRPr="00451CC2">
        <w:rPr>
          <w:rFonts w:eastAsia="Calibri"/>
          <w:highlight w:val="white"/>
          <w:lang w:val="en-US"/>
        </w:rPr>
        <w:t xml:space="preserve">, </w:t>
      </w:r>
      <w:r w:rsidRPr="00451CC2">
        <w:rPr>
          <w:rFonts w:eastAsia="Calibri"/>
          <w:lang w:val="en-US"/>
        </w:rPr>
        <w:t>funded by the Public Investment Budget, finances the country's development policy, through investments, actions and projects implemented under the co-financed and nationally funded Programmes.</w:t>
      </w:r>
      <w:r w:rsidRPr="00451CC2">
        <w:rPr>
          <w:rFonts w:eastAsia="Calibri"/>
          <w:highlight w:val="white"/>
          <w:lang w:val="en-US"/>
        </w:rPr>
        <w:t xml:space="preserve"> In this context, the reform framework introduced by Law 5140/2024 establishes a unified and comprehensive system for the budgeting, execution and monitoring of public investment in Greece. </w:t>
      </w:r>
      <w:r w:rsidRPr="00451CC2">
        <w:rPr>
          <w:rFonts w:eastAsia="Calibri"/>
          <w:lang w:val="en-US"/>
        </w:rPr>
        <w:t>The preparation of the secondary legislation is progressing steadily, with approximately two-thirds (8 out of 14 in total) already issued.</w:t>
      </w:r>
    </w:p>
    <w:p w14:paraId="50C070A4" w14:textId="77777777" w:rsidR="00451CC2" w:rsidRPr="00451CC2" w:rsidRDefault="00451CC2" w:rsidP="000F3F38">
      <w:pPr>
        <w:rPr>
          <w:rFonts w:eastAsia="Calibri"/>
          <w:highlight w:val="white"/>
          <w:lang w:val="en-US"/>
        </w:rPr>
      </w:pPr>
      <w:r w:rsidRPr="00451CC2">
        <w:rPr>
          <w:rFonts w:eastAsia="Calibri"/>
          <w:highlight w:val="white"/>
          <w:lang w:val="en-US"/>
        </w:rPr>
        <w:lastRenderedPageBreak/>
        <w:t xml:space="preserve">The </w:t>
      </w:r>
      <w:r w:rsidRPr="00451CC2">
        <w:rPr>
          <w:rFonts w:eastAsia="Calibri"/>
          <w:b/>
          <w:bCs/>
          <w:highlight w:val="white"/>
          <w:lang w:val="en-US"/>
        </w:rPr>
        <w:t>National Development Programme (NDP) 2026–2030</w:t>
      </w:r>
      <w:r w:rsidRPr="00451CC2">
        <w:rPr>
          <w:rFonts w:eastAsia="Calibri"/>
          <w:highlight w:val="white"/>
          <w:lang w:val="en-US"/>
        </w:rPr>
        <w:t xml:space="preserve"> constitutes the core strategic and operational tool for the programming and implementation of nationally funded programmes under the PIP. Approved in November 2025 </w:t>
      </w:r>
      <w:r w:rsidRPr="001D5281">
        <w:rPr>
          <w:rFonts w:eastAsia="Calibri"/>
          <w:highlight w:val="white"/>
          <w:lang w:val="en-US"/>
        </w:rPr>
        <w:t>covering</w:t>
      </w:r>
      <w:r w:rsidRPr="00451CC2">
        <w:rPr>
          <w:rFonts w:eastAsia="Calibri"/>
          <w:highlight w:val="white"/>
          <w:lang w:val="en-US"/>
        </w:rPr>
        <w:t xml:space="preserve"> the period 2026–2030, the NDP provides an enhanced budget of €16.6 billion in national resources, including a 130% overcommitment rate, complemented by additional €5.8 billion to address outstanding obligations from the 2021–2025 programming period through 2028. Structured across 20 Sectoral Programmes and 13 Regional Programmes, with Ministries and Regions acting as Managing Authorities under the coordination of the Ministry of Economy, it ensures strong complementarity with co-financed programmes and the Recovery and Resilience Facility.</w:t>
      </w:r>
    </w:p>
    <w:p w14:paraId="01AE3699" w14:textId="77777777" w:rsidR="00451CC2" w:rsidRPr="00451CC2" w:rsidRDefault="00451CC2" w:rsidP="000F3F38">
      <w:pPr>
        <w:rPr>
          <w:rFonts w:eastAsia="Calibri"/>
          <w:highlight w:val="white"/>
          <w:lang w:val="en-US"/>
        </w:rPr>
      </w:pPr>
      <w:r w:rsidRPr="00451CC2">
        <w:rPr>
          <w:rFonts w:eastAsia="Calibri"/>
          <w:highlight w:val="white"/>
          <w:lang w:val="en-US"/>
        </w:rPr>
        <w:t>The implementation of the 2026–2030 programming period is further supported by the reform establishing the new National Development Programme (NDP) framework, building upon the unified system for public investment. While the latter sets the horizontal framework, the new framework further specifies its application to the programming and management of nationally funded programmes under the PIP. The new law aims to accelerate procedures, strengthen unified programme management, and improve alignment between project implementation and annual and medium-term budgetary capacities. In parallel, clearer rules are set for the launch and closure of programming periods, while Programme Management Authorities and monitoring and control mechanisms are further strengthened. In this context, the NDP reflects these reforms in the programming and implementation of nationally funded interventions, covering priority areas such as infrastructure and transport, digital and green transitions, artificial intelligence, crisis resilience, social cohesion, housing needs and demographic challenges.</w:t>
      </w:r>
    </w:p>
    <w:p w14:paraId="13713818" w14:textId="77777777" w:rsidR="00451CC2" w:rsidRPr="00451CC2" w:rsidRDefault="00451CC2" w:rsidP="000F3F38">
      <w:pPr>
        <w:rPr>
          <w:rFonts w:eastAsia="Calibri"/>
          <w:highlight w:val="white"/>
          <w:lang w:val="en-US"/>
        </w:rPr>
      </w:pPr>
      <w:r w:rsidRPr="00451CC2">
        <w:rPr>
          <w:rFonts w:eastAsia="Calibri"/>
          <w:highlight w:val="white"/>
          <w:lang w:val="en-US"/>
        </w:rPr>
        <w:t>In addition, an investment related to the</w:t>
      </w:r>
      <w:r w:rsidRPr="00451CC2">
        <w:rPr>
          <w:rFonts w:eastAsia="Calibri"/>
          <w:b/>
          <w:bCs/>
          <w:highlight w:val="white"/>
          <w:lang w:val="en-US"/>
        </w:rPr>
        <w:t xml:space="preserve"> upgrade of the IT system of the PIP (</w:t>
      </w:r>
      <w:r w:rsidRPr="00451CC2">
        <w:rPr>
          <w:rFonts w:eastAsia="Calibri"/>
          <w:b/>
          <w:bCs/>
          <w:lang w:val="en-US"/>
        </w:rPr>
        <w:t>e-PDE)</w:t>
      </w:r>
      <w:r w:rsidRPr="00451CC2">
        <w:rPr>
          <w:rFonts w:eastAsia="Calibri"/>
          <w:lang w:val="en-US"/>
        </w:rPr>
        <w:t>,</w:t>
      </w:r>
      <w:r w:rsidRPr="00451CC2">
        <w:rPr>
          <w:rFonts w:eastAsia="Calibri"/>
          <w:b/>
          <w:bCs/>
          <w:lang w:val="en-US"/>
        </w:rPr>
        <w:t xml:space="preserve"> </w:t>
      </w:r>
      <w:r w:rsidRPr="00451CC2">
        <w:rPr>
          <w:rFonts w:eastAsia="Calibri"/>
          <w:lang w:val="en-US"/>
        </w:rPr>
        <w:t>which supports the whole lifecycle of PIP projects, is currently</w:t>
      </w:r>
      <w:r w:rsidRPr="00451CC2">
        <w:rPr>
          <w:rFonts w:eastAsia="Calibri"/>
          <w:highlight w:val="white"/>
          <w:lang w:val="en-US"/>
        </w:rPr>
        <w:t xml:space="preserve"> in the tender process and is scheduled for completion by the end of 2027. The upgrade </w:t>
      </w:r>
      <w:r w:rsidRPr="00451CC2">
        <w:rPr>
          <w:rFonts w:eastAsia="Calibri"/>
          <w:lang w:val="en-US"/>
        </w:rPr>
        <w:t>will ensure the successful implementation of the above-mentioned changes and will cover the needs of the PIP at least for the next decade.</w:t>
      </w:r>
    </w:p>
    <w:p w14:paraId="7981A026" w14:textId="16D62B6E" w:rsidR="00451CC2" w:rsidRPr="001D5281" w:rsidRDefault="00451CC2" w:rsidP="000F3F38">
      <w:pPr>
        <w:rPr>
          <w:rFonts w:eastAsia="Calibri"/>
          <w:lang w:val="en-US"/>
        </w:rPr>
      </w:pPr>
      <w:r w:rsidRPr="00451CC2">
        <w:rPr>
          <w:rFonts w:eastAsia="Calibri"/>
          <w:lang w:val="en-US"/>
        </w:rPr>
        <w:t>The reforms and investments on the</w:t>
      </w:r>
      <w:r w:rsidRPr="00451CC2">
        <w:rPr>
          <w:rFonts w:eastAsia="Calibri"/>
          <w:b/>
          <w:bCs/>
          <w:lang w:val="en-US"/>
        </w:rPr>
        <w:t xml:space="preserve"> restructuring of HCAP (</w:t>
      </w:r>
      <w:proofErr w:type="spellStart"/>
      <w:r w:rsidRPr="00451CC2">
        <w:rPr>
          <w:rFonts w:eastAsia="Calibri"/>
          <w:b/>
          <w:bCs/>
          <w:lang w:val="en-US"/>
        </w:rPr>
        <w:t>Growthfund</w:t>
      </w:r>
      <w:proofErr w:type="spellEnd"/>
      <w:r w:rsidRPr="00451CC2">
        <w:rPr>
          <w:rFonts w:eastAsia="Calibri"/>
          <w:b/>
          <w:bCs/>
          <w:lang w:val="en-US"/>
        </w:rPr>
        <w:t xml:space="preserve">) </w:t>
      </w:r>
      <w:r w:rsidRPr="00451CC2">
        <w:rPr>
          <w:rFonts w:eastAsia="Calibri"/>
          <w:lang w:val="en-US"/>
        </w:rPr>
        <w:t xml:space="preserve">were further </w:t>
      </w:r>
      <w:proofErr w:type="spellStart"/>
      <w:r w:rsidRPr="00451CC2">
        <w:rPr>
          <w:rFonts w:eastAsia="Calibri"/>
          <w:lang w:val="en-US"/>
        </w:rPr>
        <w:t>operationalised</w:t>
      </w:r>
      <w:proofErr w:type="spellEnd"/>
      <w:r w:rsidRPr="00451CC2">
        <w:rPr>
          <w:rFonts w:eastAsia="Calibri"/>
          <w:lang w:val="en-US"/>
        </w:rPr>
        <w:t xml:space="preserve"> in 2025 through concrete deliverables. Within the framework of the </w:t>
      </w:r>
      <w:r w:rsidRPr="00451CC2">
        <w:rPr>
          <w:rFonts w:eastAsia="Calibri"/>
          <w:b/>
          <w:bCs/>
          <w:lang w:val="en-US"/>
        </w:rPr>
        <w:t>“Transformation” pillar</w:t>
      </w:r>
      <w:r w:rsidRPr="00451CC2">
        <w:rPr>
          <w:rFonts w:eastAsia="Calibri"/>
          <w:lang w:val="en-US"/>
        </w:rPr>
        <w:t xml:space="preserve">, major initiatives have been implemented by </w:t>
      </w:r>
      <w:proofErr w:type="spellStart"/>
      <w:r w:rsidRPr="00451CC2">
        <w:rPr>
          <w:rFonts w:eastAsia="Calibri"/>
          <w:lang w:val="en-US"/>
        </w:rPr>
        <w:t>Growthfund</w:t>
      </w:r>
      <w:proofErr w:type="spellEnd"/>
      <w:r w:rsidRPr="00451CC2">
        <w:rPr>
          <w:rFonts w:eastAsia="Calibri"/>
          <w:lang w:val="en-US"/>
        </w:rPr>
        <w:t xml:space="preserve"> to enhance operational efficiency, accelerate digital transformation, and upgrade services to citizens. For example, with the aim of further improving the performance and effectiveness of subsidiaries</w:t>
      </w:r>
      <w:r w:rsidR="00CA62F8">
        <w:rPr>
          <w:rFonts w:eastAsia="Calibri"/>
          <w:lang w:val="en-US"/>
        </w:rPr>
        <w:t xml:space="preserve"> </w:t>
      </w:r>
      <w:r w:rsidRPr="00451CC2">
        <w:rPr>
          <w:rFonts w:eastAsia="Calibri"/>
          <w:lang w:val="en-US"/>
        </w:rPr>
        <w:t>—and supported by a robust governance framework—</w:t>
      </w:r>
      <w:r w:rsidR="00CA62F8">
        <w:rPr>
          <w:rFonts w:eastAsia="Calibri"/>
          <w:lang w:val="en-US"/>
        </w:rPr>
        <w:t xml:space="preserve"> </w:t>
      </w:r>
      <w:r w:rsidRPr="00451CC2">
        <w:rPr>
          <w:rFonts w:eastAsia="Calibri"/>
          <w:lang w:val="en-US"/>
        </w:rPr>
        <w:t xml:space="preserve">38 new Board members were appointed in 14 Group companies in 2025, with an additional 13 appointments underway for 2026. At </w:t>
      </w:r>
      <w:r w:rsidRPr="00451CC2">
        <w:rPr>
          <w:rFonts w:eastAsia="Calibri"/>
          <w:b/>
          <w:bCs/>
          <w:lang w:val="en-US"/>
        </w:rPr>
        <w:t>Hellenic Public Properties Co. (HPPC)</w:t>
      </w:r>
      <w:r w:rsidRPr="00451CC2">
        <w:rPr>
          <w:rFonts w:eastAsia="Calibri"/>
          <w:lang w:val="en-US"/>
        </w:rPr>
        <w:t>, over 35 property lease tenders were completed, 13 property concession contracts were signed with local authorities, and tenders for flagship properties</w:t>
      </w:r>
      <w:r w:rsidR="00CA62F8">
        <w:rPr>
          <w:rFonts w:eastAsia="Calibri"/>
          <w:lang w:val="en-US"/>
        </w:rPr>
        <w:t xml:space="preserve"> </w:t>
      </w:r>
      <w:r w:rsidRPr="00451CC2">
        <w:rPr>
          <w:rFonts w:eastAsia="Calibri"/>
          <w:lang w:val="en-US"/>
        </w:rPr>
        <w:t xml:space="preserve">—such as Tae Kwon Do, </w:t>
      </w:r>
      <w:proofErr w:type="spellStart"/>
      <w:r w:rsidRPr="00451CC2">
        <w:rPr>
          <w:rFonts w:eastAsia="Calibri"/>
          <w:lang w:val="en-US"/>
        </w:rPr>
        <w:t>Vouliagmeni</w:t>
      </w:r>
      <w:proofErr w:type="spellEnd"/>
      <w:r w:rsidRPr="00451CC2">
        <w:rPr>
          <w:rFonts w:eastAsia="Calibri"/>
          <w:lang w:val="en-US"/>
        </w:rPr>
        <w:t xml:space="preserve"> Coast, and the Xenia hotel in </w:t>
      </w:r>
      <w:proofErr w:type="spellStart"/>
      <w:r w:rsidRPr="00451CC2">
        <w:rPr>
          <w:rFonts w:eastAsia="Calibri"/>
          <w:lang w:val="en-US"/>
        </w:rPr>
        <w:t>Ouranoupoli</w:t>
      </w:r>
      <w:proofErr w:type="spellEnd"/>
      <w:r w:rsidRPr="00451CC2">
        <w:rPr>
          <w:rFonts w:eastAsia="Calibri"/>
          <w:lang w:val="en-US"/>
        </w:rPr>
        <w:t>—</w:t>
      </w:r>
      <w:r w:rsidR="00CA62F8">
        <w:rPr>
          <w:rFonts w:eastAsia="Calibri"/>
          <w:lang w:val="en-US"/>
        </w:rPr>
        <w:t xml:space="preserve"> </w:t>
      </w:r>
      <w:r w:rsidRPr="00451CC2">
        <w:rPr>
          <w:rFonts w:eastAsia="Calibri"/>
          <w:lang w:val="en-US"/>
        </w:rPr>
        <w:t xml:space="preserve">were launched. Additionally, the </w:t>
      </w:r>
      <w:r w:rsidRPr="00451CC2">
        <w:rPr>
          <w:rFonts w:eastAsia="Calibri"/>
          <w:b/>
          <w:bCs/>
          <w:lang w:val="en-US"/>
        </w:rPr>
        <w:t>“Landmark 360°” project</w:t>
      </w:r>
      <w:r w:rsidRPr="00451CC2">
        <w:rPr>
          <w:rFonts w:eastAsia="Calibri"/>
          <w:lang w:val="en-US"/>
        </w:rPr>
        <w:t xml:space="preserve"> was initiated to map, appraise, and mature public assets, covering 36.000 records, appraising 6.500 properties, and advancing the preparation of up to 1.000 properties. Approximately 1.000 properties have already been pilot-assigned to contractors, offering the Greek State an important opportunity to register and utilize its available real estate. Moreover, the </w:t>
      </w:r>
      <w:r w:rsidRPr="00451CC2">
        <w:rPr>
          <w:rFonts w:eastAsia="Calibri"/>
          <w:b/>
          <w:bCs/>
          <w:lang w:val="en-US"/>
        </w:rPr>
        <w:t xml:space="preserve">restructuring of Hellenic Post </w:t>
      </w:r>
      <w:r w:rsidRPr="00451CC2">
        <w:rPr>
          <w:rFonts w:eastAsia="Calibri"/>
          <w:lang w:val="en-US"/>
        </w:rPr>
        <w:t xml:space="preserve">advanced in 2025 through the implementation of its transformation plan, focusing on financial sustainability and operational efficiency. Key measures included enhanced recruitment flexibility to attract </w:t>
      </w:r>
      <w:proofErr w:type="spellStart"/>
      <w:r w:rsidRPr="00451CC2">
        <w:rPr>
          <w:rFonts w:eastAsia="Calibri"/>
          <w:lang w:val="en-US"/>
        </w:rPr>
        <w:lastRenderedPageBreak/>
        <w:t>specialised</w:t>
      </w:r>
      <w:proofErr w:type="spellEnd"/>
      <w:r w:rsidRPr="00451CC2">
        <w:rPr>
          <w:rFonts w:eastAsia="Calibri"/>
          <w:lang w:val="en-US"/>
        </w:rPr>
        <w:t xml:space="preserve"> personnel, streamlined procurement procedures to support infrastructure </w:t>
      </w:r>
      <w:proofErr w:type="spellStart"/>
      <w:r w:rsidRPr="00451CC2">
        <w:rPr>
          <w:rFonts w:eastAsia="Calibri"/>
          <w:lang w:val="en-US"/>
        </w:rPr>
        <w:t>modernisation</w:t>
      </w:r>
      <w:proofErr w:type="spellEnd"/>
      <w:r w:rsidRPr="00451CC2">
        <w:rPr>
          <w:rFonts w:eastAsia="Calibri"/>
          <w:lang w:val="en-US"/>
        </w:rPr>
        <w:t xml:space="preserve">, and progress in </w:t>
      </w:r>
      <w:proofErr w:type="spellStart"/>
      <w:r w:rsidRPr="00451CC2">
        <w:rPr>
          <w:rFonts w:eastAsia="Calibri"/>
          <w:lang w:val="en-US"/>
        </w:rPr>
        <w:t>rationalising</w:t>
      </w:r>
      <w:proofErr w:type="spellEnd"/>
      <w:r w:rsidRPr="00451CC2">
        <w:rPr>
          <w:rFonts w:eastAsia="Calibri"/>
          <w:lang w:val="en-US"/>
        </w:rPr>
        <w:t xml:space="preserve"> the operational network and upgrading sorting and delivery systems. In parallel, </w:t>
      </w:r>
      <w:r w:rsidRPr="00451CC2">
        <w:rPr>
          <w:rFonts w:eastAsia="Calibri"/>
          <w:b/>
          <w:bCs/>
          <w:lang w:val="en-US"/>
        </w:rPr>
        <w:t>corporate governance reforms</w:t>
      </w:r>
      <w:r w:rsidRPr="00451CC2">
        <w:rPr>
          <w:rFonts w:eastAsia="Calibri"/>
          <w:lang w:val="en-US"/>
        </w:rPr>
        <w:t xml:space="preserve"> in other subsidiaries</w:t>
      </w:r>
      <w:r w:rsidR="00CA62F8">
        <w:rPr>
          <w:rFonts w:eastAsia="Calibri"/>
          <w:lang w:val="en-US"/>
        </w:rPr>
        <w:t xml:space="preserve"> </w:t>
      </w:r>
      <w:r w:rsidRPr="00451CC2">
        <w:rPr>
          <w:rFonts w:eastAsia="Calibri"/>
          <w:lang w:val="en-US"/>
        </w:rPr>
        <w:t>—such as GAIAOSE, Hellenic Saltworks, AEDIK, and the OASA Group—</w:t>
      </w:r>
      <w:r w:rsidR="00CA62F8">
        <w:rPr>
          <w:rFonts w:eastAsia="Calibri"/>
          <w:lang w:val="en-US"/>
        </w:rPr>
        <w:t xml:space="preserve"> </w:t>
      </w:r>
      <w:r w:rsidRPr="00451CC2">
        <w:rPr>
          <w:rFonts w:eastAsia="Calibri"/>
          <w:lang w:val="en-US"/>
        </w:rPr>
        <w:t xml:space="preserve">were implemented, with targeted interventions. The impact of these reforms has been notably positive: in 2015, seven out of ten companies transferred to the Hellenic Corporation of Assets and Participations (HRADF) were operating at a deficit, with a total negative result of €176 million. By 2024, this trend had reversed completely, with eight companies reporting a positive result of €99,7 million. With a view to further strengthening the State’s capacity to design and deliver complex strategic projects, the </w:t>
      </w:r>
      <w:r w:rsidRPr="00451CC2">
        <w:rPr>
          <w:rFonts w:eastAsia="Calibri"/>
          <w:b/>
          <w:lang w:val="en-US"/>
        </w:rPr>
        <w:t>Project Preparation Facility (PPF)</w:t>
      </w:r>
      <w:r w:rsidR="00651BB8" w:rsidRPr="00651BB8">
        <w:rPr>
          <w:rFonts w:eastAsia="Calibri"/>
          <w:b/>
          <w:lang w:val="en-US"/>
        </w:rPr>
        <w:t xml:space="preserve"> </w:t>
      </w:r>
      <w:r w:rsidRPr="00451CC2">
        <w:rPr>
          <w:rFonts w:eastAsia="Calibri"/>
          <w:lang w:val="en-US"/>
        </w:rPr>
        <w:t>—originally established as an independent operational unit within the Hellenic Republic Asset Development Fund (HRADF)—</w:t>
      </w:r>
      <w:r w:rsidR="00651BB8" w:rsidRPr="00651BB8">
        <w:rPr>
          <w:rFonts w:eastAsia="Calibri"/>
          <w:lang w:val="en-US"/>
        </w:rPr>
        <w:t xml:space="preserve"> </w:t>
      </w:r>
      <w:r w:rsidRPr="00451CC2">
        <w:rPr>
          <w:rFonts w:eastAsia="Calibri"/>
          <w:lang w:val="en-US"/>
        </w:rPr>
        <w:t xml:space="preserve">now operates within </w:t>
      </w:r>
      <w:proofErr w:type="spellStart"/>
      <w:r w:rsidRPr="00451CC2">
        <w:rPr>
          <w:rFonts w:eastAsia="Calibri"/>
          <w:lang w:val="en-US"/>
        </w:rPr>
        <w:t>Growthfund</w:t>
      </w:r>
      <w:proofErr w:type="spellEnd"/>
      <w:r w:rsidRPr="00451CC2">
        <w:rPr>
          <w:rFonts w:eastAsia="Calibri"/>
          <w:lang w:val="en-US"/>
        </w:rPr>
        <w:t xml:space="preserve"> following the integration of HRADF. The PPF constitutes a central mechanism for structuring, procuring, and supervising the implementation of projects of strategic importance, while also playing a critical role in ensuring the timely absorption of Recovery and Resilience Facility (RRF) funds. Managing a portfolio exceeding €10 billion with over 80 projects and 900 procurement procedures, the Unit has already tendered projects worth €4,25 billion, achieving €150 million in savings for reinvestment. In the context of the RRF, 598 procurement procedures and contracts (€2,5 billion) have been completed. Significant progress has been achieved in key sectors, including health infrastructure, civil protection, environmental interventions and implementation works for OAKA. Further progress was recorded in flagship projects such as the redevelopment of TIF-</w:t>
      </w:r>
      <w:proofErr w:type="spellStart"/>
      <w:r w:rsidRPr="00451CC2">
        <w:rPr>
          <w:rFonts w:eastAsia="Calibri"/>
          <w:lang w:val="en-US"/>
        </w:rPr>
        <w:t>Helexpo</w:t>
      </w:r>
      <w:proofErr w:type="spellEnd"/>
      <w:r w:rsidRPr="00451CC2">
        <w:rPr>
          <w:rFonts w:eastAsia="Calibri"/>
          <w:lang w:val="en-US"/>
        </w:rPr>
        <w:t xml:space="preserve"> (tender launch expected in 2026) and the Government Park “Andreas </w:t>
      </w:r>
      <w:proofErr w:type="spellStart"/>
      <w:r w:rsidRPr="00451CC2">
        <w:rPr>
          <w:rFonts w:eastAsia="Calibri"/>
          <w:lang w:val="en-US"/>
        </w:rPr>
        <w:t>Lentakis</w:t>
      </w:r>
      <w:proofErr w:type="spellEnd"/>
      <w:r w:rsidRPr="00451CC2">
        <w:rPr>
          <w:rFonts w:eastAsia="Calibri"/>
          <w:lang w:val="en-US"/>
        </w:rPr>
        <w:t xml:space="preserve">” (competitive dialogue phase, binding offers expected in 2026), confirming the role of the PPF as a key mechanism for strengthening project maturity, accelerating procurement, and </w:t>
      </w:r>
      <w:proofErr w:type="spellStart"/>
      <w:r w:rsidRPr="00451CC2">
        <w:rPr>
          <w:rFonts w:eastAsia="Calibri"/>
          <w:lang w:val="en-US"/>
        </w:rPr>
        <w:t>mobilising</w:t>
      </w:r>
      <w:proofErr w:type="spellEnd"/>
      <w:r w:rsidRPr="00451CC2">
        <w:rPr>
          <w:rFonts w:eastAsia="Calibri"/>
          <w:lang w:val="en-US"/>
        </w:rPr>
        <w:t xml:space="preserve"> public and private investment.</w:t>
      </w:r>
    </w:p>
    <w:p w14:paraId="7CE9C1D2" w14:textId="77777777" w:rsidR="00451CC2" w:rsidRPr="00451CC2" w:rsidRDefault="00451CC2" w:rsidP="000F3F38">
      <w:pPr>
        <w:rPr>
          <w:rFonts w:eastAsia="Calibri"/>
          <w:lang w:val="en-US"/>
        </w:rPr>
      </w:pPr>
      <w:r w:rsidRPr="00451CC2">
        <w:rPr>
          <w:rFonts w:eastAsia="Calibri"/>
          <w:lang w:val="en-US"/>
        </w:rPr>
        <w:t xml:space="preserve">Last, the establishment of the new </w:t>
      </w:r>
      <w:r w:rsidRPr="00451CC2">
        <w:rPr>
          <w:rFonts w:eastAsia="Calibri"/>
          <w:b/>
          <w:bCs/>
          <w:lang w:val="en-US"/>
        </w:rPr>
        <w:t>National Investment Fund under HCAP</w:t>
      </w:r>
      <w:r w:rsidRPr="00451CC2">
        <w:rPr>
          <w:rFonts w:eastAsia="Calibri"/>
          <w:lang w:val="en-US"/>
        </w:rPr>
        <w:t xml:space="preserve"> marked a key milestone in 2025, with the launch of a dedicated investment vehicle (Hellenic Innovation &amp; Infrastructure Fund – HIIF) aimed at </w:t>
      </w:r>
      <w:proofErr w:type="spellStart"/>
      <w:r w:rsidRPr="00451CC2">
        <w:rPr>
          <w:rFonts w:eastAsia="Calibri"/>
          <w:lang w:val="en-US"/>
        </w:rPr>
        <w:t>mobilising</w:t>
      </w:r>
      <w:proofErr w:type="spellEnd"/>
      <w:r w:rsidRPr="00451CC2">
        <w:rPr>
          <w:rFonts w:eastAsia="Calibri"/>
          <w:lang w:val="en-US"/>
        </w:rPr>
        <w:t xml:space="preserve"> private capital in strategic sectors such as green infrastructure and digitalisation. During 2025, the fund was structured with independent governance and initial </w:t>
      </w:r>
      <w:proofErr w:type="spellStart"/>
      <w:r w:rsidRPr="00451CC2">
        <w:rPr>
          <w:rFonts w:eastAsia="Calibri"/>
          <w:lang w:val="en-US"/>
        </w:rPr>
        <w:t>capitalisation</w:t>
      </w:r>
      <w:proofErr w:type="spellEnd"/>
      <w:r w:rsidRPr="00451CC2">
        <w:rPr>
          <w:rFonts w:eastAsia="Calibri"/>
          <w:lang w:val="en-US"/>
        </w:rPr>
        <w:t xml:space="preserve">, while its first investment pipeline was developed, with initial transactions reaching an advanced stage. In early 2026, the fund entered its operational phase, with the first investment expected to be announced and additional projects under evaluation in energy and digital infrastructure. The strategic target is to </w:t>
      </w:r>
      <w:proofErr w:type="spellStart"/>
      <w:r w:rsidRPr="00451CC2">
        <w:rPr>
          <w:rFonts w:eastAsia="Calibri"/>
          <w:lang w:val="en-US"/>
        </w:rPr>
        <w:t>mobilise</w:t>
      </w:r>
      <w:proofErr w:type="spellEnd"/>
      <w:r w:rsidRPr="00451CC2">
        <w:rPr>
          <w:rFonts w:eastAsia="Calibri"/>
          <w:lang w:val="en-US"/>
        </w:rPr>
        <w:t xml:space="preserve"> up to €1 billion in total investment over the period 2025–2027, leveraging public funds to crowd in private capital. In the </w:t>
      </w:r>
      <w:proofErr w:type="spellStart"/>
      <w:r w:rsidRPr="00451CC2">
        <w:rPr>
          <w:rFonts w:eastAsia="Calibri"/>
          <w:b/>
          <w:bCs/>
          <w:lang w:val="en-US"/>
        </w:rPr>
        <w:t>privatisation</w:t>
      </w:r>
      <w:proofErr w:type="spellEnd"/>
      <w:r w:rsidRPr="00451CC2">
        <w:rPr>
          <w:rFonts w:eastAsia="Calibri"/>
          <w:b/>
          <w:bCs/>
          <w:lang w:val="en-US"/>
        </w:rPr>
        <w:t xml:space="preserve"> and asset development</w:t>
      </w:r>
      <w:r w:rsidRPr="00451CC2">
        <w:rPr>
          <w:rFonts w:eastAsia="Calibri"/>
          <w:lang w:val="en-US"/>
        </w:rPr>
        <w:t xml:space="preserve"> pipeline, key milestones were achieved in flagship transactions, including the completion of the concession of </w:t>
      </w:r>
      <w:proofErr w:type="spellStart"/>
      <w:r w:rsidRPr="00451CC2">
        <w:rPr>
          <w:rFonts w:eastAsia="Calibri"/>
          <w:lang w:val="en-US"/>
        </w:rPr>
        <w:t>Egnatia</w:t>
      </w:r>
      <w:proofErr w:type="spellEnd"/>
      <w:r w:rsidRPr="00451CC2">
        <w:rPr>
          <w:rFonts w:eastAsia="Calibri"/>
          <w:lang w:val="en-US"/>
        </w:rPr>
        <w:t xml:space="preserve"> </w:t>
      </w:r>
      <w:proofErr w:type="spellStart"/>
      <w:r w:rsidRPr="00451CC2">
        <w:rPr>
          <w:rFonts w:eastAsia="Calibri"/>
          <w:lang w:val="en-US"/>
        </w:rPr>
        <w:t>Odos</w:t>
      </w:r>
      <w:proofErr w:type="spellEnd"/>
      <w:r w:rsidRPr="00451CC2">
        <w:rPr>
          <w:rFonts w:eastAsia="Calibri"/>
          <w:lang w:val="en-US"/>
        </w:rPr>
        <w:t xml:space="preserve"> (fulfilment of conditions precedent and financial closing), marking a major step in transport infrastructure </w:t>
      </w:r>
      <w:proofErr w:type="spellStart"/>
      <w:r w:rsidRPr="00451CC2">
        <w:rPr>
          <w:rFonts w:eastAsia="Calibri"/>
          <w:lang w:val="en-US"/>
        </w:rPr>
        <w:t>utilisation</w:t>
      </w:r>
      <w:proofErr w:type="spellEnd"/>
      <w:r w:rsidRPr="00451CC2">
        <w:rPr>
          <w:rFonts w:eastAsia="Calibri"/>
          <w:lang w:val="en-US"/>
        </w:rPr>
        <w:t xml:space="preserve">. Progress was also recorded in regional port </w:t>
      </w:r>
      <w:proofErr w:type="spellStart"/>
      <w:r w:rsidRPr="00451CC2">
        <w:rPr>
          <w:rFonts w:eastAsia="Calibri"/>
          <w:lang w:val="en-US"/>
        </w:rPr>
        <w:t>privatisations</w:t>
      </w:r>
      <w:proofErr w:type="spellEnd"/>
      <w:r w:rsidRPr="00451CC2">
        <w:rPr>
          <w:rFonts w:eastAsia="Calibri"/>
          <w:lang w:val="en-US"/>
        </w:rPr>
        <w:t>. The sub-concession of the commercial port of Kavala (“</w:t>
      </w:r>
      <w:proofErr w:type="spellStart"/>
      <w:r w:rsidRPr="00451CC2">
        <w:rPr>
          <w:rFonts w:eastAsia="Calibri"/>
          <w:lang w:val="en-US"/>
        </w:rPr>
        <w:t>Philippos</w:t>
      </w:r>
      <w:proofErr w:type="spellEnd"/>
      <w:r w:rsidRPr="00451CC2">
        <w:rPr>
          <w:rFonts w:eastAsia="Calibri"/>
          <w:lang w:val="en-US"/>
        </w:rPr>
        <w:t xml:space="preserve"> II”) reached financial closing in January 2025, following the signing of the concession agreement. In 2025 and early 2026, progress also advanced in the concession processes of Port of Patras and Port of </w:t>
      </w:r>
      <w:proofErr w:type="spellStart"/>
      <w:r w:rsidRPr="00451CC2">
        <w:rPr>
          <w:rFonts w:eastAsia="Calibri"/>
          <w:lang w:val="en-US"/>
        </w:rPr>
        <w:t>Katakolo</w:t>
      </w:r>
      <w:proofErr w:type="spellEnd"/>
      <w:r w:rsidRPr="00451CC2">
        <w:rPr>
          <w:rFonts w:eastAsia="Calibri"/>
          <w:lang w:val="en-US"/>
        </w:rPr>
        <w:t xml:space="preserve">. For the Port of Patras, preparatory steps were carried out, including transaction structuring, regulatory clarification, and updating of tender documentation, moving the project towards the tender phase. For the Port of </w:t>
      </w:r>
      <w:proofErr w:type="spellStart"/>
      <w:r w:rsidRPr="00451CC2">
        <w:rPr>
          <w:rFonts w:eastAsia="Calibri"/>
          <w:lang w:val="en-US"/>
        </w:rPr>
        <w:t>Katakolo</w:t>
      </w:r>
      <w:proofErr w:type="spellEnd"/>
      <w:r w:rsidRPr="00451CC2">
        <w:rPr>
          <w:rFonts w:eastAsia="Calibri"/>
          <w:lang w:val="en-US"/>
        </w:rPr>
        <w:t xml:space="preserve">, progress focused on the maturation of the concession model and initial investor engagement, particularly given its role as a cruise tourism hub. In 2025, progress advanced in </w:t>
      </w:r>
      <w:r w:rsidRPr="00451CC2">
        <w:rPr>
          <w:rFonts w:eastAsia="Calibri"/>
          <w:lang w:val="en-US"/>
        </w:rPr>
        <w:lastRenderedPageBreak/>
        <w:t xml:space="preserve">the concession process of Kalamata International Airport, a key regional infrastructure asset with strong tourism potential. The tender reached an advanced stage, including the submission of binding offers and the evaluation of bids by the competent authorities. Key deliverables included the identification of preferred investors and the progression towards contractual </w:t>
      </w:r>
      <w:proofErr w:type="spellStart"/>
      <w:r w:rsidRPr="00451CC2">
        <w:rPr>
          <w:rFonts w:eastAsia="Calibri"/>
          <w:lang w:val="en-US"/>
        </w:rPr>
        <w:t>finalisation</w:t>
      </w:r>
      <w:proofErr w:type="spellEnd"/>
      <w:r w:rsidRPr="00451CC2">
        <w:rPr>
          <w:rFonts w:eastAsia="Calibri"/>
          <w:lang w:val="en-US"/>
        </w:rPr>
        <w:t xml:space="preserve">. </w:t>
      </w:r>
    </w:p>
    <w:p w14:paraId="2EBD8469" w14:textId="77777777" w:rsidR="00451CC2" w:rsidRPr="00451CC2" w:rsidRDefault="00451CC2" w:rsidP="000F3F38">
      <w:pPr>
        <w:rPr>
          <w:rFonts w:eastAsia="Calibri"/>
          <w:strike/>
          <w:lang w:val="en-US"/>
        </w:rPr>
      </w:pPr>
      <w:r w:rsidRPr="002D64E2">
        <w:rPr>
          <w:rFonts w:eastAsia="Calibri"/>
          <w:lang w:val="en-US"/>
        </w:rPr>
        <w:t>In view of its central role to</w:t>
      </w:r>
      <w:r w:rsidRPr="00451CC2">
        <w:rPr>
          <w:rFonts w:eastAsia="Calibri"/>
          <w:lang w:val="en-US"/>
        </w:rPr>
        <w:t xml:space="preserve"> </w:t>
      </w:r>
      <w:r w:rsidRPr="00451CC2">
        <w:rPr>
          <w:rFonts w:eastAsia="Calibri"/>
          <w:b/>
          <w:bCs/>
          <w:lang w:val="en-US"/>
        </w:rPr>
        <w:t>address the housing crisis</w:t>
      </w:r>
      <w:r w:rsidRPr="00451CC2">
        <w:rPr>
          <w:rFonts w:eastAsia="Calibri"/>
          <w:lang w:val="en-US"/>
        </w:rPr>
        <w:t>,</w:t>
      </w:r>
      <w:r w:rsidRPr="00451CC2">
        <w:rPr>
          <w:rFonts w:eastAsia="Calibri"/>
          <w:color w:val="FF0000"/>
          <w:lang w:val="en-US"/>
        </w:rPr>
        <w:t xml:space="preserve"> </w:t>
      </w:r>
      <w:r w:rsidRPr="00451CC2">
        <w:rPr>
          <w:rFonts w:eastAsia="Calibri"/>
          <w:lang w:val="en-US"/>
        </w:rPr>
        <w:t xml:space="preserve">the Ministry of Economy and Finance extended and reinforced the measures adopted during the previous reporting period. Under Law 5246 (OJ A’ 198/2025), additional housing policy measures were introduced for 2026, including the extension and broadening of the three-year tax exemption for long-term rentals, applicable to individual property owners who make vacant dwellings available for long-term rental until 31 December 2026, as well as a reduced 25% tax rate on rental income between €12,000 and €24,000. The same law also provided for the gradual abolition of the Unified Property Ownership Tax (ENFIA) for primary residences owned by natural persons in settlements with a population of up to 1,500 inhabitants, while extending the suspension of VAT on newly constructed buildings until the end of 2026. In addition, restrictions on short-term rentals in central Athens were extended through 2026, as part of broader efforts to alleviate housing pressures. At the same time, a measure providing for the annual return of one rent payment to eligible tenants was established under Article 70 of Law 5217 (OJ A’ 120/2025). The measure applies to both primary residences and student housing, based on income and property criteria, and is estimated to cover around 80% of tenants. Looking ahead, further initiatives include the expansion of short-term rental restrictions to other high-pressure areas, the reimbursement of a second rent payment to teachers, nurses and doctors serving outside major urban centres, and the introduction of a new incentive framework to </w:t>
      </w:r>
      <w:proofErr w:type="spellStart"/>
      <w:r w:rsidRPr="00451CC2">
        <w:rPr>
          <w:rFonts w:eastAsia="Calibri"/>
          <w:lang w:val="en-US"/>
        </w:rPr>
        <w:t>mobilise</w:t>
      </w:r>
      <w:proofErr w:type="spellEnd"/>
      <w:r w:rsidRPr="00451CC2">
        <w:rPr>
          <w:rFonts w:eastAsia="Calibri"/>
          <w:lang w:val="en-US"/>
        </w:rPr>
        <w:t xml:space="preserve"> private investment in affordable housing. Furthermore, the </w:t>
      </w:r>
      <w:r w:rsidRPr="00451CC2">
        <w:rPr>
          <w:rFonts w:eastAsia="Calibri"/>
          <w:b/>
          <w:bCs/>
          <w:lang w:val="en-US"/>
        </w:rPr>
        <w:t>RRF investment “Affordable Housing Programme “My Home II”</w:t>
      </w:r>
      <w:r w:rsidRPr="00451CC2">
        <w:rPr>
          <w:rFonts w:eastAsia="Calibri"/>
          <w:lang w:val="en-US"/>
        </w:rPr>
        <w:t xml:space="preserve"> aims at facilitating access to affordable homeownership for young individuals, couples, and families through subsidized housing loans for first-time buyers. With a total budget of </w:t>
      </w:r>
      <w:r w:rsidR="00741C54">
        <w:rPr>
          <w:rFonts w:eastAsia="Calibri"/>
          <w:lang w:val="en-US"/>
        </w:rPr>
        <w:t>€</w:t>
      </w:r>
      <w:r w:rsidRPr="00451CC2">
        <w:rPr>
          <w:rFonts w:eastAsia="Calibri"/>
          <w:lang w:val="en-US"/>
        </w:rPr>
        <w:t xml:space="preserve">2 billion, the programme is co-financed equally by the Recovery and Resilience Facility (RRF) and Greek banking institutions. As of end February 2026, the programme had recorded 12.170 approved applications, corresponding to </w:t>
      </w:r>
      <w:r w:rsidR="00741C54">
        <w:rPr>
          <w:rFonts w:eastAsia="Calibri"/>
          <w:lang w:val="en-US"/>
        </w:rPr>
        <w:t>€</w:t>
      </w:r>
      <w:r w:rsidRPr="00451CC2">
        <w:rPr>
          <w:rFonts w:eastAsia="Calibri"/>
          <w:lang w:val="en-US"/>
        </w:rPr>
        <w:t>1,5 billion in loan volume 75% of the total budget.</w:t>
      </w:r>
    </w:p>
    <w:p w14:paraId="378D7202" w14:textId="77777777" w:rsidR="00451CC2" w:rsidRPr="00451CC2" w:rsidRDefault="00451CC2" w:rsidP="000F3F38">
      <w:pPr>
        <w:rPr>
          <w:rFonts w:eastAsia="Calibri"/>
          <w:lang w:val="en-US"/>
        </w:rPr>
      </w:pPr>
      <w:r w:rsidRPr="00451CC2">
        <w:rPr>
          <w:rFonts w:eastAsia="Calibri"/>
          <w:lang w:val="en-US"/>
        </w:rPr>
        <w:t xml:space="preserve">The establishment of a </w:t>
      </w:r>
      <w:proofErr w:type="spellStart"/>
      <w:r w:rsidRPr="00451CC2">
        <w:rPr>
          <w:rFonts w:eastAsia="Calibri"/>
          <w:lang w:val="en-US"/>
        </w:rPr>
        <w:t>formalised</w:t>
      </w:r>
      <w:proofErr w:type="spellEnd"/>
      <w:r w:rsidRPr="00451CC2">
        <w:rPr>
          <w:rFonts w:eastAsia="Calibri"/>
          <w:lang w:val="en-US"/>
        </w:rPr>
        <w:t xml:space="preserve"> </w:t>
      </w:r>
      <w:r w:rsidRPr="00451CC2">
        <w:rPr>
          <w:rFonts w:eastAsia="Calibri"/>
          <w:b/>
          <w:bCs/>
          <w:lang w:val="en-US"/>
        </w:rPr>
        <w:t xml:space="preserve">advance tax ruling framework </w:t>
      </w:r>
      <w:r w:rsidRPr="00451CC2">
        <w:rPr>
          <w:rFonts w:eastAsia="Calibri"/>
          <w:lang w:val="en-US"/>
        </w:rPr>
        <w:t xml:space="preserve">constitutes a key element of a broader reform agenda designed to enhance tax certainty, transparency, and predictability within the Greek business environment, thereby promoting investment and reducing tax disputes. In March 2026, the Ministry of Economy and Finance published the relevant provisions for public consultation, allowing stakeholders to submit comments and propose improvements. Following the completion of the consultation process and the incorporation of feedback, the draft legislation is expected to be submitted to Parliament for adoption within Q2 2026, marking a significant step toward modernizing the tax administration and aligning Greece with international best practices. </w:t>
      </w:r>
    </w:p>
    <w:p w14:paraId="485B839A" w14:textId="77777777" w:rsidR="00451CC2" w:rsidRPr="00451CC2" w:rsidRDefault="00451CC2" w:rsidP="000F3F38">
      <w:pPr>
        <w:rPr>
          <w:rFonts w:eastAsia="Calibri"/>
          <w:lang w:val="en-US"/>
        </w:rPr>
      </w:pPr>
      <w:r w:rsidRPr="00451CC2">
        <w:rPr>
          <w:rFonts w:eastAsia="Calibri"/>
          <w:lang w:val="en-US"/>
        </w:rPr>
        <w:t xml:space="preserve">The </w:t>
      </w:r>
      <w:r w:rsidRPr="00451CC2">
        <w:rPr>
          <w:rFonts w:eastAsia="Calibri"/>
          <w:b/>
          <w:bCs/>
          <w:lang w:val="en-US"/>
        </w:rPr>
        <w:t xml:space="preserve">RRF investment “Digital Transformation of the Tax and Customs Administration” </w:t>
      </w:r>
      <w:r w:rsidRPr="00451CC2">
        <w:rPr>
          <w:rFonts w:eastAsia="Calibri"/>
          <w:lang w:val="en-US"/>
        </w:rPr>
        <w:t xml:space="preserve">is aimed at modernizing revenue administration and services to enhance the capacity and performance of the Independent Authority for Public Revenue (IAPR). This initiative focuses on improving the quality of services for individuals and businesses, as well as on making the tax system more </w:t>
      </w:r>
      <w:r w:rsidRPr="00451CC2">
        <w:rPr>
          <w:rFonts w:eastAsia="Calibri"/>
          <w:lang w:val="en-US"/>
        </w:rPr>
        <w:lastRenderedPageBreak/>
        <w:t xml:space="preserve">growth-friendly and efficient. The investment consolidates several digital infrastructure sub-projects, including the replacement of core digital systems, automation of office processes, digitization of audits and controls, and upgrading taxpayer services. In that context, the relevant 195a milestone has been fully completed and successfully assessed by the European Commission under the 7th payment request (December 2025). The milestone covered the implementation of an integrated information system for the General Directorate for Financial Services of the IAPR, as well as the delivery of office hardware and portable IT equipment supporting the operational needs of the Authority. Progress under Milestone 195, which concerns the first-phase deliverables of the new integrated IT environment replacing the existing TAXIS, </w:t>
      </w:r>
      <w:proofErr w:type="spellStart"/>
      <w:r w:rsidRPr="00451CC2">
        <w:rPr>
          <w:rFonts w:eastAsia="Calibri"/>
          <w:lang w:val="en-US"/>
        </w:rPr>
        <w:t>TAXISnet</w:t>
      </w:r>
      <w:proofErr w:type="spellEnd"/>
      <w:r w:rsidRPr="00451CC2">
        <w:rPr>
          <w:rFonts w:eastAsia="Calibri"/>
          <w:lang w:val="en-US"/>
        </w:rPr>
        <w:t xml:space="preserve"> and ELENXIS systems, is advancing in line with the RRF timetable. The implementation study for the integrated taxation information system has been submitted. In parallel, the contract for the Surveillance System for Commercial Vehicles and Containers was signed on 24 November 2025, with the submission of the first version of the implementation study submitted in March 2026. The new integrated information system for the Chemical State Laboratory of Greece has entered the pilot operation phase, while the implementation study for the Human Resources Management System for the IAPR has also been submitted. Furthermore, the new contract for the upgrade and maintenance of the IAPR information systems was signed in January 2026. The integrated information system supporting the Directorate of Public Asset Management of the IAPR has reached the pre-production operation stage. As regards taxpayer service enhancements, the contract for the expansion and upgrade of the Taxpayers’ Service Centre and Call Centre Services was published on 30 April 2025 and its implementation is currently progressing as planned. In the area of data security, the development and implementation of the Information Security Management System (ISMS) is underway, while the procurement process for data security tools has entered the contracting phase. Overall, implementation of this investment is progressing according to Plan, and all sub-projects are expected to be completed by August 2026.</w:t>
      </w:r>
    </w:p>
    <w:p w14:paraId="79D492B8" w14:textId="77777777" w:rsidR="00451CC2" w:rsidRPr="00451CC2" w:rsidRDefault="00451CC2" w:rsidP="000F3F38">
      <w:pPr>
        <w:rPr>
          <w:rFonts w:eastAsia="Calibri"/>
          <w:strike/>
          <w:lang w:val="en-US"/>
        </w:rPr>
      </w:pPr>
      <w:r w:rsidRPr="00451CC2">
        <w:rPr>
          <w:rFonts w:eastAsia="Calibri"/>
          <w:lang w:val="en-US"/>
        </w:rPr>
        <w:t xml:space="preserve">The </w:t>
      </w:r>
      <w:r w:rsidRPr="00451CC2">
        <w:rPr>
          <w:rFonts w:eastAsia="Calibri"/>
          <w:b/>
          <w:bCs/>
          <w:lang w:val="en-US"/>
        </w:rPr>
        <w:t>RRF investment</w:t>
      </w:r>
      <w:r w:rsidRPr="00451CC2">
        <w:rPr>
          <w:rFonts w:eastAsia="Calibri"/>
          <w:lang w:val="en-US"/>
        </w:rPr>
        <w:t xml:space="preserve"> </w:t>
      </w:r>
      <w:r w:rsidRPr="00451CC2">
        <w:rPr>
          <w:rFonts w:eastAsia="Calibri"/>
          <w:b/>
          <w:bCs/>
          <w:lang w:val="en-US"/>
        </w:rPr>
        <w:t xml:space="preserve">“Digital Transformation of Tax Audits" </w:t>
      </w:r>
      <w:r w:rsidRPr="00451CC2">
        <w:rPr>
          <w:rFonts w:eastAsia="Calibri"/>
          <w:lang w:val="en-US"/>
        </w:rPr>
        <w:t xml:space="preserve">aims to enhance the efficiency and effectiveness of tax audits, improve public revenue collection, and combat smuggling through advanced digital solutions, with a significant positive fiscal impact. Key components include the automatic filling of tax declarations, leveraging the </w:t>
      </w:r>
      <w:proofErr w:type="spellStart"/>
      <w:r w:rsidRPr="00451CC2">
        <w:rPr>
          <w:rFonts w:eastAsia="Calibri"/>
          <w:lang w:val="en-US"/>
        </w:rPr>
        <w:t>myDATA</w:t>
      </w:r>
      <w:proofErr w:type="spellEnd"/>
      <w:r w:rsidRPr="00451CC2">
        <w:rPr>
          <w:rFonts w:eastAsia="Calibri"/>
          <w:lang w:val="en-US"/>
        </w:rPr>
        <w:t xml:space="preserve"> facility for electronic bookkeeping and invoicing, as well as connecting all tax cash registers to IAPR's IT systems. Additionally, the investment involves upgrading in-house data utilization and introducing artificial intelligence tools.</w:t>
      </w:r>
      <w:r w:rsidRPr="00451CC2">
        <w:rPr>
          <w:rFonts w:eastAsia="Calibri"/>
          <w:b/>
          <w:bCs/>
          <w:lang w:val="en-US"/>
        </w:rPr>
        <w:t xml:space="preserve"> </w:t>
      </w:r>
      <w:r w:rsidRPr="00451CC2">
        <w:rPr>
          <w:rFonts w:eastAsia="Calibri"/>
          <w:lang w:val="en-US"/>
        </w:rPr>
        <w:t>These components were completed and successfully assessed under the 5th payment request in 2024. In addition, the investment under milestone 194 includes upgrading of in-house data exploitation capabilities and deploying artificial intelligence tools. The sub-project “</w:t>
      </w:r>
      <w:proofErr w:type="spellStart"/>
      <w:r w:rsidRPr="00451CC2">
        <w:rPr>
          <w:rFonts w:eastAsia="Calibri"/>
          <w:lang w:val="en-US"/>
        </w:rPr>
        <w:t>Elenxis</w:t>
      </w:r>
      <w:proofErr w:type="spellEnd"/>
      <w:r w:rsidRPr="00451CC2">
        <w:rPr>
          <w:rFonts w:eastAsia="Calibri"/>
          <w:lang w:val="en-US"/>
        </w:rPr>
        <w:t xml:space="preserve"> Live” (</w:t>
      </w:r>
      <w:proofErr w:type="spellStart"/>
      <w:r w:rsidRPr="00451CC2">
        <w:rPr>
          <w:rFonts w:eastAsia="Calibri"/>
          <w:lang w:val="en-US"/>
        </w:rPr>
        <w:t>ELEGXOSlive</w:t>
      </w:r>
      <w:proofErr w:type="spellEnd"/>
      <w:r w:rsidRPr="00451CC2">
        <w:rPr>
          <w:rFonts w:eastAsia="Calibri"/>
          <w:lang w:val="en-US"/>
        </w:rPr>
        <w:t>), designed to enhance on-site audit support, has been fully completed and is operational. The system is currently being used during audits, enabling the real-time issuance of audit reports and their direct communication to taxpayers. As regards the installation of the business intelligence and data analytics system, the relevant contract was signed on 25 July 2025. The implementation study was submitted in January 2026 and the project is currently under implementation, with completion expected by the end of June 2026.</w:t>
      </w:r>
    </w:p>
    <w:p w14:paraId="6B0D8CA2" w14:textId="314CD9E7" w:rsidR="00451CC2" w:rsidRPr="00451CC2" w:rsidRDefault="00451CC2" w:rsidP="000F3F38">
      <w:pPr>
        <w:rPr>
          <w:rFonts w:eastAsia="Calibri"/>
          <w:sz w:val="26"/>
          <w:szCs w:val="26"/>
          <w:highlight w:val="white"/>
          <w:lang w:val="en-US"/>
        </w:rPr>
      </w:pPr>
      <w:r w:rsidRPr="00451CC2">
        <w:rPr>
          <w:rFonts w:eastAsia="Calibri"/>
          <w:highlight w:val="white"/>
          <w:lang w:val="en-US"/>
        </w:rPr>
        <w:t xml:space="preserve">The </w:t>
      </w:r>
      <w:r w:rsidRPr="00451CC2">
        <w:rPr>
          <w:rFonts w:eastAsia="Calibri"/>
          <w:b/>
          <w:bCs/>
          <w:highlight w:val="white"/>
          <w:lang w:val="en-US"/>
        </w:rPr>
        <w:t xml:space="preserve">RRF investment “Loan Facility” </w:t>
      </w:r>
      <w:r w:rsidRPr="00451CC2">
        <w:rPr>
          <w:rFonts w:eastAsia="Calibri"/>
          <w:highlight w:val="white"/>
          <w:lang w:val="en-US"/>
        </w:rPr>
        <w:t xml:space="preserve">concerning the use of loan support under the Recovery and Resilience Facility aims at facilitating the provision of financial incentives to the private sector and promoting private investment in long-term projects. The loans provided by the State cover </w:t>
      </w:r>
      <w:r w:rsidRPr="00451CC2">
        <w:rPr>
          <w:rFonts w:eastAsia="Calibri"/>
          <w:highlight w:val="white"/>
          <w:lang w:val="en-US"/>
        </w:rPr>
        <w:lastRenderedPageBreak/>
        <w:t>a maximum of 50% of the investment costs, with the financial institutions’ participation at a minimum of 30%, and debtor participation amounting to at least 20%. As of end</w:t>
      </w:r>
      <w:r w:rsidRPr="00451CC2">
        <w:rPr>
          <w:rFonts w:eastAsia="Calibri"/>
          <w:highlight w:val="white"/>
          <w:lang w:val="en-US"/>
        </w:rPr>
        <w:noBreakHyphen/>
        <w:t xml:space="preserve">March, </w:t>
      </w:r>
      <w:r w:rsidRPr="00451CC2">
        <w:rPr>
          <w:rFonts w:eastAsia="Calibri"/>
          <w:b/>
          <w:bCs/>
          <w:highlight w:val="white"/>
          <w:lang w:val="en-US"/>
        </w:rPr>
        <w:t>612</w:t>
      </w:r>
      <w:r w:rsidRPr="00451CC2">
        <w:rPr>
          <w:rFonts w:eastAsia="Calibri"/>
          <w:highlight w:val="white"/>
          <w:lang w:val="en-US"/>
        </w:rPr>
        <w:t xml:space="preserve"> loans had been approved, </w:t>
      </w:r>
      <w:r w:rsidRPr="00451CC2">
        <w:rPr>
          <w:rFonts w:eastAsia="Calibri"/>
          <w:b/>
          <w:bCs/>
          <w:highlight w:val="white"/>
          <w:lang w:val="en-US"/>
        </w:rPr>
        <w:t>354</w:t>
      </w:r>
      <w:r w:rsidRPr="00451CC2">
        <w:rPr>
          <w:rFonts w:eastAsia="Calibri"/>
          <w:highlight w:val="white"/>
          <w:lang w:val="en-US"/>
        </w:rPr>
        <w:t xml:space="preserve"> of which were for small and medium</w:t>
      </w:r>
      <w:r w:rsidRPr="00451CC2">
        <w:rPr>
          <w:rFonts w:eastAsia="Calibri"/>
          <w:highlight w:val="white"/>
          <w:lang w:val="en-US"/>
        </w:rPr>
        <w:noBreakHyphen/>
        <w:t xml:space="preserve">sized enterprises. The total loan budget stands at </w:t>
      </w:r>
      <w:r w:rsidRPr="00451CC2">
        <w:rPr>
          <w:rFonts w:eastAsia="Calibri"/>
          <w:b/>
          <w:bCs/>
          <w:highlight w:val="white"/>
          <w:lang w:val="en-US"/>
        </w:rPr>
        <w:t>€21.45 billion</w:t>
      </w:r>
      <w:r w:rsidR="00CA62F8">
        <w:rPr>
          <w:rFonts w:eastAsia="Calibri"/>
          <w:b/>
          <w:bCs/>
          <w:highlight w:val="white"/>
          <w:lang w:val="en-US"/>
        </w:rPr>
        <w:t xml:space="preserve"> </w:t>
      </w:r>
      <w:r w:rsidRPr="00451CC2">
        <w:rPr>
          <w:rFonts w:eastAsia="Calibri"/>
          <w:highlight w:val="white"/>
          <w:lang w:val="en-US"/>
        </w:rPr>
        <w:t>—</w:t>
      </w:r>
      <w:r w:rsidRPr="00451CC2">
        <w:rPr>
          <w:rFonts w:eastAsia="Calibri"/>
          <w:b/>
          <w:bCs/>
          <w:highlight w:val="white"/>
          <w:lang w:val="en-US"/>
        </w:rPr>
        <w:t>€9.55 billion</w:t>
      </w:r>
      <w:r w:rsidRPr="00451CC2">
        <w:rPr>
          <w:rFonts w:eastAsia="Calibri"/>
          <w:highlight w:val="white"/>
          <w:lang w:val="en-US"/>
        </w:rPr>
        <w:t xml:space="preserve"> from the Recovery Fund, </w:t>
      </w:r>
      <w:r w:rsidRPr="00451CC2">
        <w:rPr>
          <w:rFonts w:eastAsia="Calibri"/>
          <w:b/>
          <w:bCs/>
          <w:highlight w:val="white"/>
          <w:lang w:val="en-US"/>
        </w:rPr>
        <w:t>€6.99 billion</w:t>
      </w:r>
      <w:r w:rsidRPr="00451CC2">
        <w:rPr>
          <w:rFonts w:eastAsia="Calibri"/>
          <w:highlight w:val="white"/>
          <w:lang w:val="en-US"/>
        </w:rPr>
        <w:t xml:space="preserve"> from bank capital, and </w:t>
      </w:r>
      <w:r w:rsidRPr="00451CC2">
        <w:rPr>
          <w:rFonts w:eastAsia="Calibri"/>
          <w:b/>
          <w:bCs/>
          <w:highlight w:val="white"/>
          <w:lang w:val="en-US"/>
        </w:rPr>
        <w:t>€4.92 billion</w:t>
      </w:r>
      <w:r w:rsidRPr="00451CC2">
        <w:rPr>
          <w:rFonts w:eastAsia="Calibri"/>
          <w:highlight w:val="white"/>
          <w:lang w:val="en-US"/>
        </w:rPr>
        <w:t xml:space="preserve"> from investors’ own contributions. Funds disbursed to the market from contracted loans amount to </w:t>
      </w:r>
      <w:r w:rsidRPr="00451CC2">
        <w:rPr>
          <w:rFonts w:eastAsia="Calibri"/>
          <w:b/>
          <w:bCs/>
          <w:highlight w:val="white"/>
          <w:lang w:val="en-US"/>
        </w:rPr>
        <w:t>€11.2 billion</w:t>
      </w:r>
      <w:r w:rsidRPr="00451CC2">
        <w:rPr>
          <w:rFonts w:eastAsia="Calibri"/>
          <w:highlight w:val="white"/>
          <w:lang w:val="en-US"/>
        </w:rPr>
        <w:t xml:space="preserve">. The portfolio’s weighted average interest rate is </w:t>
      </w:r>
      <w:r w:rsidRPr="00451CC2">
        <w:rPr>
          <w:rFonts w:eastAsia="Calibri"/>
          <w:b/>
          <w:bCs/>
          <w:highlight w:val="white"/>
          <w:lang w:val="en-US"/>
        </w:rPr>
        <w:t>1.72%</w:t>
      </w:r>
      <w:r w:rsidRPr="00451CC2">
        <w:rPr>
          <w:rFonts w:eastAsia="Calibri"/>
          <w:highlight w:val="white"/>
          <w:lang w:val="en-US"/>
        </w:rPr>
        <w:t xml:space="preserve">, with an average repayment term of </w:t>
      </w:r>
      <w:r w:rsidRPr="00451CC2">
        <w:rPr>
          <w:rFonts w:eastAsia="Calibri"/>
          <w:b/>
          <w:bCs/>
          <w:highlight w:val="white"/>
          <w:lang w:val="en-US"/>
        </w:rPr>
        <w:t>15 years</w:t>
      </w:r>
      <w:r w:rsidRPr="00451CC2">
        <w:rPr>
          <w:rFonts w:eastAsia="Calibri"/>
          <w:highlight w:val="white"/>
          <w:lang w:val="en-US"/>
        </w:rPr>
        <w:t>.  The implementation of the investment is expected to be completed in August 2026.</w:t>
      </w:r>
    </w:p>
    <w:p w14:paraId="01D9235C" w14:textId="77777777" w:rsidR="00451CC2" w:rsidRPr="00451CC2" w:rsidRDefault="00451CC2" w:rsidP="000F3F38">
      <w:pPr>
        <w:rPr>
          <w:rFonts w:eastAsia="Calibri"/>
          <w:lang w:val="en-US"/>
        </w:rPr>
      </w:pPr>
      <w:r w:rsidRPr="00451CC2">
        <w:rPr>
          <w:rFonts w:eastAsia="Calibri"/>
          <w:lang w:val="en-US"/>
        </w:rPr>
        <w:t xml:space="preserve">The </w:t>
      </w:r>
      <w:r w:rsidRPr="00451CC2">
        <w:rPr>
          <w:rFonts w:eastAsia="Calibri"/>
          <w:b/>
          <w:bCs/>
          <w:lang w:val="en-US"/>
        </w:rPr>
        <w:t xml:space="preserve">Just Transition Program (JTP) </w:t>
      </w:r>
      <w:r w:rsidRPr="00451CC2">
        <w:rPr>
          <w:rFonts w:eastAsia="Calibri"/>
          <w:lang w:val="en-US"/>
        </w:rPr>
        <w:t xml:space="preserve">of Greece is using the Just Transition Mechanism to address the wider social, economic, and environmental impacts in regions, where employment and income are heavily dependent on fossil fuels or emission intensive industries (W. Macedonia, North and South Aegean, Crete, municipalities in the Peloponnese region). The JTP Greece (2021-2027) focuses on five priorities: improving the business environment, supporting energy transition and climate neutrality, regenerating degraded land and promoting circular economy practices, addressing socio-economic impacts through skills adaptation, and enhancing residents' quality of life and local economic diversification. All measures and investments will be completed by the end of the programming period. Complementing these efforts, the Greek Recovery and Resilience Plan supplements the JTP by targeting specific reforms and investments that further support the economic and social transition of coal-dependent areas. </w:t>
      </w:r>
    </w:p>
    <w:p w14:paraId="022E2152" w14:textId="77777777" w:rsidR="00451CC2" w:rsidRPr="00451CC2" w:rsidRDefault="00451CC2" w:rsidP="000F3F38">
      <w:pPr>
        <w:rPr>
          <w:rFonts w:eastAsia="Calibri"/>
          <w:lang w:val="en-US"/>
        </w:rPr>
      </w:pPr>
      <w:r w:rsidRPr="00451CC2">
        <w:rPr>
          <w:rFonts w:eastAsia="Calibri"/>
          <w:lang w:val="en-US"/>
        </w:rPr>
        <w:t xml:space="preserve">The </w:t>
      </w:r>
      <w:r w:rsidRPr="00451CC2">
        <w:rPr>
          <w:rFonts w:eastAsia="Calibri"/>
          <w:b/>
          <w:lang w:val="en-US"/>
        </w:rPr>
        <w:t>RRF investment</w:t>
      </w:r>
      <w:r w:rsidRPr="00451CC2">
        <w:rPr>
          <w:rFonts w:eastAsia="Calibri"/>
          <w:lang w:val="en-US"/>
        </w:rPr>
        <w:t xml:space="preserve"> </w:t>
      </w:r>
      <w:r w:rsidRPr="00451CC2">
        <w:rPr>
          <w:rFonts w:eastAsia="Calibri"/>
          <w:b/>
          <w:bCs/>
          <w:lang w:val="en-US"/>
        </w:rPr>
        <w:t>“Revitalization actions of the most affected territories (Just transition territories)”</w:t>
      </w:r>
      <w:r w:rsidRPr="00451CC2">
        <w:rPr>
          <w:rFonts w:eastAsia="Calibri"/>
          <w:color w:val="EE0000"/>
          <w:lang w:val="en-US"/>
        </w:rPr>
        <w:t xml:space="preserve"> </w:t>
      </w:r>
      <w:r w:rsidRPr="00451CC2">
        <w:rPr>
          <w:rFonts w:eastAsia="Calibri"/>
          <w:lang w:val="en-US"/>
        </w:rPr>
        <w:t xml:space="preserve">finances the rehabilitation of old mining areas in Western Macedonia and Megalopolis, promoting environmental sustainability and economic cohesion, as it directly mitigates the negative impacts of the phasing-out of the use of lignite in electricity production and supports the green transition, while preparing these areas for future economic activities. Additionally, it contributes to job preservation and the creation of new employment opportunities. The transfer of 5,479 hectares of restored or undisturbed land has already been completed under Milestone 10 of the 6th payment request (July 2025). The next step is the certification of the remaining 2,623 hectares to complete the project by the end of June 2026. </w:t>
      </w:r>
    </w:p>
    <w:p w14:paraId="3EC0F04D" w14:textId="77777777" w:rsidR="00451CC2" w:rsidRPr="00451CC2" w:rsidRDefault="00451CC2" w:rsidP="000F3F38">
      <w:pPr>
        <w:rPr>
          <w:rFonts w:eastAsia="Calibri"/>
          <w:lang w:val="en-US"/>
        </w:rPr>
      </w:pPr>
      <w:r w:rsidRPr="00451CC2">
        <w:rPr>
          <w:rFonts w:eastAsia="Calibri"/>
          <w:lang w:val="en-US"/>
        </w:rPr>
        <w:t xml:space="preserve">The </w:t>
      </w:r>
      <w:r w:rsidRPr="00451CC2">
        <w:rPr>
          <w:rFonts w:eastAsia="Calibri"/>
          <w:b/>
          <w:bCs/>
          <w:lang w:val="en-US"/>
        </w:rPr>
        <w:t>Partnership Agreement for the 2021-2027</w:t>
      </w:r>
      <w:r w:rsidRPr="00451CC2">
        <w:rPr>
          <w:rFonts w:eastAsia="Calibri"/>
          <w:lang w:val="en-US"/>
        </w:rPr>
        <w:t xml:space="preserve"> programming period for Greece, is a key basic strategic plan aiming to enhance growth and development. It was approved by the European Commission on July 29, 2021, with resources of a total amount of </w:t>
      </w:r>
      <w:r w:rsidR="00741C54">
        <w:rPr>
          <w:rFonts w:eastAsia="Calibri"/>
          <w:lang w:val="en-US"/>
        </w:rPr>
        <w:t>€</w:t>
      </w:r>
      <w:r w:rsidRPr="00451CC2">
        <w:rPr>
          <w:rFonts w:eastAsia="Calibri"/>
          <w:lang w:val="en-US"/>
        </w:rPr>
        <w:t xml:space="preserve">26.2 billion to be allocated to the country for the period 2021-2027, of which </w:t>
      </w:r>
      <w:r w:rsidR="00741C54">
        <w:rPr>
          <w:rFonts w:eastAsia="Calibri"/>
          <w:lang w:val="en-US"/>
        </w:rPr>
        <w:t>€</w:t>
      </w:r>
      <w:r w:rsidRPr="00451CC2">
        <w:rPr>
          <w:rFonts w:eastAsia="Calibri"/>
          <w:lang w:val="en-US"/>
        </w:rPr>
        <w:t xml:space="preserve">20.9 billion concern the Union Support and an amount of </w:t>
      </w:r>
      <w:r w:rsidR="00741C54">
        <w:rPr>
          <w:rFonts w:eastAsia="Calibri"/>
          <w:lang w:val="en-US"/>
        </w:rPr>
        <w:t>€</w:t>
      </w:r>
      <w:r w:rsidRPr="00451CC2">
        <w:rPr>
          <w:rFonts w:eastAsia="Calibri"/>
          <w:lang w:val="en-US"/>
        </w:rPr>
        <w:t>5.3 billion refers to the National Contribution. The new "NSRF 2021-2027" sets priorities for strengthening the productive potential of the economy, developing infrastructure, human skills and strengthening social protection. The NSRF 2021-2027 is structured around several key Programs, each designed to target specific areas of development:</w:t>
      </w:r>
    </w:p>
    <w:p w14:paraId="0ACF9C94" w14:textId="77777777" w:rsidR="00451CC2" w:rsidRPr="00451CC2" w:rsidRDefault="00451CC2" w:rsidP="00C20FE1">
      <w:pPr>
        <w:spacing w:after="120"/>
        <w:ind w:left="284"/>
        <w:rPr>
          <w:rFonts w:eastAsia="Calibri"/>
          <w:lang w:val="en-US"/>
        </w:rPr>
      </w:pPr>
      <w:r w:rsidRPr="00451CC2">
        <w:rPr>
          <w:rFonts w:eastAsia="Calibri"/>
          <w:lang w:val="en-US"/>
        </w:rPr>
        <w:t xml:space="preserve">1. </w:t>
      </w:r>
      <w:r w:rsidRPr="00451CC2">
        <w:rPr>
          <w:rFonts w:eastAsia="Calibri"/>
          <w:b/>
          <w:bCs/>
          <w:lang w:val="en-US"/>
        </w:rPr>
        <w:t>Competitiveness</w:t>
      </w:r>
      <w:r w:rsidRPr="00451CC2">
        <w:rPr>
          <w:rFonts w:eastAsia="Calibri"/>
          <w:lang w:val="en-US"/>
        </w:rPr>
        <w:t xml:space="preserve"> (€3.8 billion): This program is focused on the economic transformation of Greece by enhancing the digital and innovative capacities of small and medium-sized enterprises (SMEs), improving research infrastructures, and promoting Industry 4.0. The approved projects’ budget is €3 billion.</w:t>
      </w:r>
    </w:p>
    <w:p w14:paraId="59B68719" w14:textId="77777777" w:rsidR="00451CC2" w:rsidRPr="00451CC2" w:rsidRDefault="00451CC2" w:rsidP="00C20FE1">
      <w:pPr>
        <w:spacing w:after="120"/>
        <w:ind w:left="284"/>
        <w:rPr>
          <w:rFonts w:eastAsia="Calibri"/>
          <w:lang w:val="en-US"/>
        </w:rPr>
      </w:pPr>
      <w:r w:rsidRPr="00451CC2">
        <w:rPr>
          <w:rFonts w:eastAsia="Calibri"/>
          <w:lang w:val="en-US"/>
        </w:rPr>
        <w:t xml:space="preserve">2. </w:t>
      </w:r>
      <w:r w:rsidRPr="00451CC2">
        <w:rPr>
          <w:rFonts w:eastAsia="Calibri"/>
          <w:b/>
          <w:bCs/>
          <w:lang w:val="en-US"/>
        </w:rPr>
        <w:t>Human Resources and Social Cohesion</w:t>
      </w:r>
      <w:r w:rsidRPr="00451CC2">
        <w:rPr>
          <w:rFonts w:eastAsia="Calibri"/>
          <w:lang w:val="en-US"/>
        </w:rPr>
        <w:t xml:space="preserve"> (€4.2 billion): This program aims to improve access to employment and enhance the skills of the workforce. It emphasizes supporting young </w:t>
      </w:r>
      <w:r w:rsidRPr="00451CC2">
        <w:rPr>
          <w:rFonts w:eastAsia="Calibri"/>
          <w:lang w:val="en-US"/>
        </w:rPr>
        <w:lastRenderedPageBreak/>
        <w:t>people, promoting equal opportunities in education, lifelong learning, and social inclusion. It also aims to tackle material deprivation and ensure equal access to quality healthcare services.  Until now, the approved projects’ budget is €2.9 billion.</w:t>
      </w:r>
    </w:p>
    <w:p w14:paraId="4A699FCD" w14:textId="77777777" w:rsidR="00451CC2" w:rsidRPr="00451CC2" w:rsidRDefault="00451CC2" w:rsidP="00C20FE1">
      <w:pPr>
        <w:spacing w:after="120"/>
        <w:ind w:left="284"/>
        <w:rPr>
          <w:rFonts w:eastAsia="Calibri"/>
          <w:lang w:val="en-US"/>
        </w:rPr>
      </w:pPr>
      <w:r w:rsidRPr="00451CC2">
        <w:rPr>
          <w:rFonts w:eastAsia="Calibri"/>
          <w:lang w:val="en-US"/>
        </w:rPr>
        <w:t xml:space="preserve">3. </w:t>
      </w:r>
      <w:r w:rsidRPr="00451CC2">
        <w:rPr>
          <w:rFonts w:eastAsia="Calibri"/>
          <w:b/>
          <w:bCs/>
          <w:lang w:val="en-US"/>
        </w:rPr>
        <w:t>Digital Transformation</w:t>
      </w:r>
      <w:r w:rsidRPr="00451CC2">
        <w:rPr>
          <w:rFonts w:eastAsia="Calibri"/>
          <w:lang w:val="en-US"/>
        </w:rPr>
        <w:t xml:space="preserve"> (€0.9 billion): The goal of this program is to upgrade Greece’s public digital services and applications, ensuring that businesses and citizens have access to modern, efficient digital tools. It also seeks to enhance digital connectivity and address the digital skills gap, thereby supporting the broader digital transformation of the country. So far, the approved projects’ budget is €0.9 billion.</w:t>
      </w:r>
    </w:p>
    <w:p w14:paraId="51244D85" w14:textId="77777777" w:rsidR="00451CC2" w:rsidRPr="00451CC2" w:rsidRDefault="00451CC2" w:rsidP="00C20FE1">
      <w:pPr>
        <w:spacing w:after="120"/>
        <w:ind w:left="284"/>
        <w:rPr>
          <w:rFonts w:eastAsia="Calibri"/>
          <w:lang w:val="en-US"/>
        </w:rPr>
      </w:pPr>
      <w:r w:rsidRPr="00451CC2">
        <w:rPr>
          <w:rFonts w:eastAsia="Calibri"/>
          <w:lang w:val="en-US"/>
        </w:rPr>
        <w:t xml:space="preserve">4. </w:t>
      </w:r>
      <w:r w:rsidRPr="00451CC2">
        <w:rPr>
          <w:rFonts w:eastAsia="Calibri"/>
          <w:b/>
          <w:bCs/>
          <w:lang w:val="en-US"/>
        </w:rPr>
        <w:t>Environment and Climate Change</w:t>
      </w:r>
      <w:r w:rsidRPr="00451CC2">
        <w:rPr>
          <w:rFonts w:eastAsia="Calibri"/>
          <w:lang w:val="en-US"/>
        </w:rPr>
        <w:t xml:space="preserve"> (€3.6 billion): This program is dedicated to promoting a green economy through investments in clean energy, climate change mitigation and adaptation, and the circular economy. It also focuses on sustainable urban mobility, flood protection, and energy efficiency, aligning with the National Energy and Climate Plan. Up to now, the approved investments’ budget is €3 billion</w:t>
      </w:r>
    </w:p>
    <w:p w14:paraId="78BEBD2E" w14:textId="77777777" w:rsidR="00451CC2" w:rsidRPr="00451CC2" w:rsidRDefault="00451CC2" w:rsidP="00C20FE1">
      <w:pPr>
        <w:spacing w:after="120"/>
        <w:ind w:left="284"/>
        <w:rPr>
          <w:rFonts w:eastAsia="Calibri"/>
          <w:lang w:val="en-US"/>
        </w:rPr>
      </w:pPr>
      <w:r w:rsidRPr="00451CC2">
        <w:rPr>
          <w:rFonts w:eastAsia="Calibri"/>
          <w:lang w:val="en-US"/>
        </w:rPr>
        <w:t xml:space="preserve">5. </w:t>
      </w:r>
      <w:r w:rsidRPr="00451CC2">
        <w:rPr>
          <w:rFonts w:eastAsia="Calibri"/>
          <w:b/>
          <w:bCs/>
          <w:lang w:val="en-US"/>
        </w:rPr>
        <w:t>Transport</w:t>
      </w:r>
      <w:r w:rsidRPr="00451CC2">
        <w:rPr>
          <w:rFonts w:eastAsia="Calibri"/>
          <w:lang w:val="en-US"/>
        </w:rPr>
        <w:t xml:space="preserve"> (€2.2 billion): The transport program aims to develop and upgrade Greece’s transport infrastructure. This includes promoting sustainable urban transportation, enhancing connectivity between islands, and completing key projects within the Trans-European Transport Network (TEN-T). It also emphasizes improving transport safety and efficiency, particularly in major urban centers like Athens and Thessaloniki with an approved projects’ budget of €2.51 billion, exceeding the original approved budget by €402.88 million.</w:t>
      </w:r>
    </w:p>
    <w:p w14:paraId="486C940F" w14:textId="77777777" w:rsidR="00451CC2" w:rsidRPr="00451CC2" w:rsidRDefault="00451CC2" w:rsidP="00C20FE1">
      <w:pPr>
        <w:spacing w:after="120"/>
        <w:ind w:left="284"/>
        <w:rPr>
          <w:rFonts w:eastAsia="Calibri"/>
          <w:lang w:val="en-US"/>
        </w:rPr>
      </w:pPr>
      <w:r w:rsidRPr="00451CC2">
        <w:rPr>
          <w:rFonts w:eastAsia="Calibri"/>
          <w:lang w:val="en-US"/>
        </w:rPr>
        <w:t xml:space="preserve">6. </w:t>
      </w:r>
      <w:r w:rsidRPr="00451CC2">
        <w:rPr>
          <w:rFonts w:eastAsia="Calibri"/>
          <w:b/>
          <w:bCs/>
          <w:lang w:val="en-US"/>
        </w:rPr>
        <w:t>Civil Protection</w:t>
      </w:r>
      <w:r w:rsidRPr="00451CC2">
        <w:rPr>
          <w:rFonts w:eastAsia="Calibri"/>
          <w:lang w:val="en-US"/>
        </w:rPr>
        <w:t xml:space="preserve"> (€0.7 billion): This program seeks to establish a modern and effective civil protection mechanism. It focuses on disaster prevention, preparedness, and response, ensuring that Greece can protect its citizens, environment, and infrastructure from natural and technological hazards. So far, the approved projects’ budget is almost absorbed (€0.66 billion).</w:t>
      </w:r>
    </w:p>
    <w:p w14:paraId="0878D127" w14:textId="77777777" w:rsidR="00451CC2" w:rsidRPr="00451CC2" w:rsidRDefault="00451CC2" w:rsidP="00C20FE1">
      <w:pPr>
        <w:spacing w:after="120"/>
        <w:ind w:left="284"/>
        <w:rPr>
          <w:rFonts w:eastAsia="Calibri"/>
          <w:lang w:val="en-US"/>
        </w:rPr>
      </w:pPr>
      <w:r w:rsidRPr="00451CC2">
        <w:rPr>
          <w:rFonts w:eastAsia="Calibri"/>
          <w:lang w:val="en-US"/>
        </w:rPr>
        <w:t xml:space="preserve">7.  </w:t>
      </w:r>
      <w:r w:rsidRPr="00451CC2">
        <w:rPr>
          <w:rFonts w:eastAsia="Calibri"/>
          <w:b/>
          <w:bCs/>
          <w:lang w:val="en-US"/>
        </w:rPr>
        <w:t>Just Development Transition</w:t>
      </w:r>
      <w:r w:rsidRPr="00451CC2">
        <w:rPr>
          <w:rFonts w:eastAsia="Calibri"/>
          <w:lang w:val="en-US"/>
        </w:rPr>
        <w:t xml:space="preserve"> (€1.6 billion): This program addresses the economic and social challenges posed by Greece's transition away from lignite production. Up to now, the approved budget is €1.1 billion.</w:t>
      </w:r>
    </w:p>
    <w:p w14:paraId="1DFC8682" w14:textId="77777777" w:rsidR="00451CC2" w:rsidRPr="00451CC2" w:rsidRDefault="00451CC2" w:rsidP="00C20FE1">
      <w:pPr>
        <w:spacing w:after="120"/>
        <w:ind w:left="284"/>
        <w:rPr>
          <w:rFonts w:eastAsia="Calibri"/>
          <w:lang w:val="en-US"/>
        </w:rPr>
      </w:pPr>
      <w:r w:rsidRPr="00451CC2">
        <w:rPr>
          <w:rFonts w:eastAsia="Calibri"/>
          <w:lang w:val="en-US"/>
        </w:rPr>
        <w:t xml:space="preserve">8. </w:t>
      </w:r>
      <w:r w:rsidRPr="00451CC2">
        <w:rPr>
          <w:rFonts w:eastAsia="Calibri"/>
          <w:b/>
          <w:bCs/>
          <w:lang w:val="en-US"/>
        </w:rPr>
        <w:t>Fisheries, Aquaculture, and the Sea</w:t>
      </w:r>
      <w:r w:rsidRPr="00451CC2">
        <w:rPr>
          <w:rFonts w:eastAsia="Calibri"/>
          <w:lang w:val="en-US"/>
        </w:rPr>
        <w:t xml:space="preserve"> (€0.5 billion): This program promotes sustainable practices in Greece's fishing and aquaculture sectors, ensuring that these industries can thrive while preserving marine ecosystems. The approved projects’ budget is up to €0.25 billion</w:t>
      </w:r>
    </w:p>
    <w:p w14:paraId="7BC0EBAF" w14:textId="77777777" w:rsidR="00451CC2" w:rsidRPr="00451CC2" w:rsidRDefault="00451CC2" w:rsidP="00C20FE1">
      <w:pPr>
        <w:spacing w:after="120"/>
        <w:ind w:left="284"/>
        <w:rPr>
          <w:rFonts w:eastAsia="Calibri"/>
          <w:lang w:val="en-US"/>
        </w:rPr>
      </w:pPr>
      <w:r w:rsidRPr="00451CC2">
        <w:rPr>
          <w:rFonts w:eastAsia="Calibri"/>
          <w:lang w:val="en-US"/>
        </w:rPr>
        <w:t xml:space="preserve">9.  </w:t>
      </w:r>
      <w:r w:rsidRPr="00451CC2">
        <w:rPr>
          <w:rFonts w:eastAsia="Calibri"/>
          <w:b/>
          <w:bCs/>
          <w:lang w:val="en-US"/>
        </w:rPr>
        <w:t xml:space="preserve">Regional Programs </w:t>
      </w:r>
      <w:r w:rsidRPr="00451CC2">
        <w:rPr>
          <w:rFonts w:eastAsia="Calibri"/>
          <w:lang w:val="en-US"/>
        </w:rPr>
        <w:t>(€8.03 billion)</w:t>
      </w:r>
      <w:r w:rsidRPr="00451CC2">
        <w:rPr>
          <w:rFonts w:eastAsia="Calibri"/>
          <w:b/>
          <w:bCs/>
          <w:lang w:val="en-US"/>
        </w:rPr>
        <w:t xml:space="preserve">: </w:t>
      </w:r>
      <w:r w:rsidRPr="00451CC2">
        <w:rPr>
          <w:rFonts w:eastAsia="Calibri"/>
          <w:lang w:val="en-US"/>
        </w:rPr>
        <w:t>There are 13 regional programs that correspond to each administrative region in Greece that address specific regional needs, with an approved projects’ budget reaching €6.45 billion</w:t>
      </w:r>
      <w:r w:rsidR="00F84539">
        <w:rPr>
          <w:rFonts w:eastAsia="Calibri"/>
          <w:lang w:val="en-US"/>
        </w:rPr>
        <w:t>.</w:t>
      </w:r>
    </w:p>
    <w:p w14:paraId="331E9D33" w14:textId="77777777" w:rsidR="00451CC2" w:rsidRPr="00451CC2" w:rsidRDefault="00451CC2" w:rsidP="000F3F38">
      <w:pPr>
        <w:rPr>
          <w:rFonts w:eastAsia="Calibri"/>
          <w:lang w:val="en-US"/>
        </w:rPr>
      </w:pPr>
      <w:r w:rsidRPr="00451CC2">
        <w:rPr>
          <w:rFonts w:eastAsia="Calibri"/>
          <w:lang w:val="en-US"/>
        </w:rPr>
        <w:t xml:space="preserve">Appropriate measures and guidelines are issued throughout the programming period to ensure comprehensive evaluations of each cohesion sectoral and regional program. </w:t>
      </w:r>
      <w:r w:rsidRPr="00451CC2">
        <w:rPr>
          <w:rFonts w:eastAsia="Calibri"/>
          <w:highlight w:val="white"/>
          <w:lang w:val="en-US"/>
        </w:rPr>
        <w:t>The overall absorption rate of certified expenditure by</w:t>
      </w:r>
      <w:r w:rsidRPr="00451CC2">
        <w:rPr>
          <w:rFonts w:eastAsia="Calibri"/>
          <w:color w:val="0000FF"/>
          <w:highlight w:val="white"/>
          <w:lang w:val="en-US"/>
        </w:rPr>
        <w:t xml:space="preserve"> </w:t>
      </w:r>
      <w:r w:rsidRPr="00451CC2">
        <w:rPr>
          <w:rFonts w:eastAsia="Calibri"/>
          <w:highlight w:val="white"/>
          <w:lang w:val="en-US"/>
        </w:rPr>
        <w:t xml:space="preserve">April 2026 is 23%. </w:t>
      </w:r>
    </w:p>
    <w:p w14:paraId="3881747C" w14:textId="77777777" w:rsidR="00451CC2" w:rsidRPr="007A373B" w:rsidRDefault="00451CC2" w:rsidP="007A373B">
      <w:pPr>
        <w:rPr>
          <w:rFonts w:eastAsia="Calibri"/>
          <w:highlight w:val="white"/>
          <w:lang w:val="en-US"/>
        </w:rPr>
      </w:pPr>
      <w:r w:rsidRPr="00451CC2">
        <w:rPr>
          <w:rFonts w:eastAsia="Calibri"/>
          <w:lang w:val="en-US"/>
        </w:rPr>
        <w:t>Greece amended its Cohesion Programmes by the end of 2025 following updates to key EU regulations. The revisions redirected €2.16 billion in EU funding toward new strategic priorities: boosting competitiveness and decarbonization, strengthening industrial and defen</w:t>
      </w:r>
      <w:r w:rsidR="00B913EE">
        <w:rPr>
          <w:rFonts w:eastAsia="Calibri"/>
          <w:lang w:val="en-US"/>
        </w:rPr>
        <w:t>c</w:t>
      </w:r>
      <w:r w:rsidRPr="00451CC2">
        <w:rPr>
          <w:rFonts w:eastAsia="Calibri"/>
          <w:lang w:val="en-US"/>
        </w:rPr>
        <w:t xml:space="preserve">e-related capacities, improving access to affordable and sustainable housing, ensuring secure and </w:t>
      </w:r>
      <w:r w:rsidRPr="00451CC2">
        <w:rPr>
          <w:rFonts w:eastAsia="Calibri"/>
          <w:lang w:val="en-US"/>
        </w:rPr>
        <w:lastRenderedPageBreak/>
        <w:t xml:space="preserve">resilient water management, and accelerating the energy transition (including infrastructure and interconnectivity). Most programmes successfully reallocated at least 10% of their EU funding, which enabled benefits such as a one-year extension for eligible expenditures and €600 million in additional pre-financing. The updated “Human Resources and Social Cohesion” programme was approved on 9 March 2026, while the revised Just Transition Programme received European Commission approval on 16 February 2026 </w:t>
      </w:r>
      <w:r w:rsidRPr="00451CC2">
        <w:rPr>
          <w:rFonts w:eastAsia="Calibri"/>
          <w:highlight w:val="white"/>
          <w:lang w:val="en-US"/>
        </w:rPr>
        <w:t>(please see 2025 CSR 2.1 for more details)</w:t>
      </w:r>
      <w:r w:rsidRPr="00451CC2">
        <w:rPr>
          <w:rFonts w:eastAsia="Calibri"/>
          <w:lang w:val="en-US"/>
        </w:rPr>
        <w:t>.</w:t>
      </w:r>
      <w:r w:rsidRPr="00451CC2">
        <w:rPr>
          <w:rFonts w:eastAsia="Calibri"/>
          <w:highlight w:val="white"/>
          <w:lang w:val="en-US"/>
        </w:rPr>
        <w:t xml:space="preserve"> </w:t>
      </w:r>
      <w:r w:rsidRPr="0024653A">
        <w:rPr>
          <w:rFonts w:eastAsia="Calibri"/>
          <w:highlight w:val="white"/>
        </w:rPr>
        <w:t>Τ</w:t>
      </w:r>
      <w:r w:rsidRPr="00451CC2">
        <w:rPr>
          <w:rFonts w:eastAsia="Calibri"/>
          <w:highlight w:val="white"/>
          <w:lang w:val="en-US"/>
        </w:rPr>
        <w:t xml:space="preserve">he </w:t>
      </w:r>
      <w:proofErr w:type="spellStart"/>
      <w:r w:rsidRPr="00451CC2">
        <w:rPr>
          <w:rFonts w:eastAsia="Calibri"/>
          <w:highlight w:val="white"/>
          <w:lang w:val="en-US"/>
        </w:rPr>
        <w:t>new</w:t>
      </w:r>
      <w:proofErr w:type="spellEnd"/>
      <w:r w:rsidRPr="00451CC2">
        <w:rPr>
          <w:rFonts w:eastAsia="Calibri"/>
          <w:highlight w:val="white"/>
          <w:lang w:val="en-US"/>
        </w:rPr>
        <w:t xml:space="preserve"> </w:t>
      </w:r>
      <w:r w:rsidRPr="00451CC2">
        <w:rPr>
          <w:rFonts w:eastAsia="Calibri"/>
          <w:b/>
          <w:bCs/>
          <w:highlight w:val="white"/>
          <w:lang w:val="en-US"/>
        </w:rPr>
        <w:t>Housing Priority</w:t>
      </w:r>
      <w:r w:rsidRPr="00451CC2">
        <w:rPr>
          <w:rFonts w:eastAsia="Calibri"/>
          <w:highlight w:val="white"/>
          <w:lang w:val="en-US"/>
        </w:rPr>
        <w:t xml:space="preserve"> introduced under the Programmes of Partnership Agreement 2021-27 (ESPA) is included in the framework of the mid-term review of the Cohesion Policy Programmes and reflects the new policy focus at both European and national level on addressing housing challenges and improving access to affordable housing. The priority supports interventions related to the renovation of private residential properties (both occupied and vacant), including energy-efficiency upgrades, as well as the renovation of Municipal and Regional buildings to be made available for rental to public sector employees and students, thereby contributing to the provision of social and affordable housing and to mitigating housing shortages. The total public allocation foreseen for these interventions amounts to EUR 287 million (public expenditure).</w:t>
      </w:r>
    </w:p>
    <w:p w14:paraId="595E9369" w14:textId="77777777" w:rsidR="00451CC2" w:rsidRPr="001335B5" w:rsidRDefault="000B61F1" w:rsidP="00285644">
      <w:pPr>
        <w:pStyle w:val="Heading2"/>
        <w:pBdr>
          <w:bottom w:val="single" w:sz="4" w:space="1" w:color="4F81BD" w:themeColor="accent1"/>
        </w:pBdr>
        <w:spacing w:before="1080"/>
        <w:rPr>
          <w:rFonts w:eastAsia="Calibri"/>
          <w:sz w:val="36"/>
          <w:lang w:val="en-US"/>
        </w:rPr>
      </w:pPr>
      <w:hyperlink w:anchor="_heading=h.2s8eyo1">
        <w:bookmarkStart w:id="39" w:name="_Toc227932493"/>
        <w:bookmarkStart w:id="40" w:name="_Toc228279086"/>
        <w:r w:rsidR="001335B5">
          <w:rPr>
            <w:rFonts w:eastAsia="Calibri"/>
            <w:sz w:val="36"/>
            <w:lang w:val="en-US"/>
          </w:rPr>
          <w:t>M</w:t>
        </w:r>
        <w:r w:rsidR="001335B5" w:rsidRPr="001335B5">
          <w:rPr>
            <w:rFonts w:eastAsia="Calibri"/>
            <w:sz w:val="36"/>
            <w:lang w:val="en-US"/>
          </w:rPr>
          <w:t xml:space="preserve">inistry of </w:t>
        </w:r>
        <w:r w:rsidR="001335B5">
          <w:rPr>
            <w:rFonts w:eastAsia="Calibri"/>
            <w:sz w:val="36"/>
            <w:lang w:val="en-US"/>
          </w:rPr>
          <w:t>F</w:t>
        </w:r>
        <w:r w:rsidR="001335B5" w:rsidRPr="001335B5">
          <w:rPr>
            <w:rFonts w:eastAsia="Calibri"/>
            <w:sz w:val="36"/>
            <w:lang w:val="en-US"/>
          </w:rPr>
          <w:t xml:space="preserve">oreign </w:t>
        </w:r>
      </w:hyperlink>
      <w:hyperlink w:anchor="_heading=h.2s8eyo1">
        <w:r w:rsidR="001335B5">
          <w:rPr>
            <w:rFonts w:eastAsia="Calibri"/>
            <w:sz w:val="36"/>
            <w:lang w:val="en-US"/>
          </w:rPr>
          <w:t>A</w:t>
        </w:r>
        <w:r w:rsidR="001335B5" w:rsidRPr="001335B5">
          <w:rPr>
            <w:rFonts w:eastAsia="Calibri"/>
            <w:sz w:val="36"/>
            <w:lang w:val="en-US"/>
          </w:rPr>
          <w:t>ffairs</w:t>
        </w:r>
        <w:bookmarkEnd w:id="39"/>
        <w:bookmarkEnd w:id="40"/>
      </w:hyperlink>
    </w:p>
    <w:tbl>
      <w:tblPr>
        <w:tblW w:w="8902" w:type="dxa"/>
        <w:jc w:val="center"/>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Layout w:type="fixed"/>
        <w:tblLook w:val="0600" w:firstRow="0" w:lastRow="0" w:firstColumn="0" w:lastColumn="0" w:noHBand="1" w:noVBand="1"/>
      </w:tblPr>
      <w:tblGrid>
        <w:gridCol w:w="2553"/>
        <w:gridCol w:w="1447"/>
        <w:gridCol w:w="1332"/>
        <w:gridCol w:w="1519"/>
        <w:gridCol w:w="2051"/>
      </w:tblGrid>
      <w:tr w:rsidR="00451CC2" w:rsidRPr="001335B5" w14:paraId="4EE8117F" w14:textId="77777777" w:rsidTr="007A373B">
        <w:trPr>
          <w:trHeight w:val="170"/>
          <w:jc w:val="center"/>
        </w:trPr>
        <w:tc>
          <w:tcPr>
            <w:tcW w:w="2655" w:type="dxa"/>
            <w:shd w:val="clear" w:color="auto" w:fill="CFE2F3"/>
            <w:tcMar>
              <w:top w:w="0" w:type="dxa"/>
              <w:left w:w="100" w:type="dxa"/>
              <w:bottom w:w="0" w:type="dxa"/>
              <w:right w:w="100" w:type="dxa"/>
            </w:tcMar>
            <w:vAlign w:val="center"/>
          </w:tcPr>
          <w:p w14:paraId="1C49FF3C" w14:textId="77777777" w:rsidR="00451CC2" w:rsidRPr="001335B5" w:rsidRDefault="00451CC2" w:rsidP="001335B5">
            <w:pPr>
              <w:pStyle w:val="Tabletext"/>
              <w:rPr>
                <w:rFonts w:eastAsia="Calibri"/>
                <w:b/>
              </w:rPr>
            </w:pPr>
            <w:r w:rsidRPr="001335B5">
              <w:rPr>
                <w:rFonts w:eastAsia="Calibri"/>
                <w:b/>
              </w:rPr>
              <w:t>REFORM / INVESTMENT</w:t>
            </w:r>
          </w:p>
        </w:tc>
        <w:tc>
          <w:tcPr>
            <w:tcW w:w="1500" w:type="dxa"/>
            <w:shd w:val="clear" w:color="auto" w:fill="CFE2F3"/>
            <w:tcMar>
              <w:top w:w="0" w:type="dxa"/>
              <w:left w:w="100" w:type="dxa"/>
              <w:bottom w:w="0" w:type="dxa"/>
              <w:right w:w="100" w:type="dxa"/>
            </w:tcMar>
            <w:vAlign w:val="center"/>
          </w:tcPr>
          <w:p w14:paraId="5DD15D56" w14:textId="77777777" w:rsidR="00451CC2" w:rsidRPr="001335B5" w:rsidRDefault="00451CC2" w:rsidP="001335B5">
            <w:pPr>
              <w:pStyle w:val="Tabletext"/>
              <w:rPr>
                <w:rFonts w:eastAsia="Calibri"/>
                <w:b/>
              </w:rPr>
            </w:pPr>
            <w:r w:rsidRPr="001335B5">
              <w:rPr>
                <w:rFonts w:eastAsia="Calibri"/>
                <w:b/>
              </w:rPr>
              <w:t>RRF / MFF</w:t>
            </w:r>
          </w:p>
        </w:tc>
        <w:tc>
          <w:tcPr>
            <w:tcW w:w="1380" w:type="dxa"/>
            <w:shd w:val="clear" w:color="auto" w:fill="CFE2F3"/>
            <w:tcMar>
              <w:top w:w="0" w:type="dxa"/>
              <w:left w:w="100" w:type="dxa"/>
              <w:bottom w:w="0" w:type="dxa"/>
              <w:right w:w="100" w:type="dxa"/>
            </w:tcMar>
            <w:vAlign w:val="center"/>
          </w:tcPr>
          <w:p w14:paraId="43F6A374" w14:textId="77777777" w:rsidR="00451CC2" w:rsidRPr="001335B5" w:rsidRDefault="00451CC2" w:rsidP="001335B5">
            <w:pPr>
              <w:pStyle w:val="Tabletext"/>
              <w:rPr>
                <w:rFonts w:eastAsia="Calibri"/>
                <w:b/>
              </w:rPr>
            </w:pPr>
            <w:r w:rsidRPr="001335B5">
              <w:rPr>
                <w:rFonts w:eastAsia="Calibri"/>
                <w:b/>
              </w:rPr>
              <w:t>CSR</w:t>
            </w:r>
          </w:p>
        </w:tc>
        <w:tc>
          <w:tcPr>
            <w:tcW w:w="1575" w:type="dxa"/>
            <w:shd w:val="clear" w:color="auto" w:fill="CFE2F3"/>
            <w:tcMar>
              <w:top w:w="0" w:type="dxa"/>
              <w:left w:w="100" w:type="dxa"/>
              <w:bottom w:w="0" w:type="dxa"/>
              <w:right w:w="100" w:type="dxa"/>
            </w:tcMar>
            <w:vAlign w:val="center"/>
          </w:tcPr>
          <w:p w14:paraId="67E9729A" w14:textId="77777777" w:rsidR="00451CC2" w:rsidRPr="001335B5" w:rsidRDefault="00451CC2" w:rsidP="001335B5">
            <w:pPr>
              <w:pStyle w:val="Tabletext"/>
              <w:rPr>
                <w:rFonts w:eastAsia="Calibri"/>
                <w:b/>
              </w:rPr>
            </w:pPr>
            <w:r w:rsidRPr="001335B5">
              <w:rPr>
                <w:rFonts w:eastAsia="Calibri"/>
                <w:b/>
              </w:rPr>
              <w:t>COMMON PRIORITIES</w:t>
            </w:r>
          </w:p>
        </w:tc>
        <w:tc>
          <w:tcPr>
            <w:tcW w:w="2130" w:type="dxa"/>
            <w:shd w:val="clear" w:color="auto" w:fill="CFE2F3"/>
            <w:tcMar>
              <w:top w:w="0" w:type="dxa"/>
              <w:left w:w="100" w:type="dxa"/>
              <w:bottom w:w="0" w:type="dxa"/>
              <w:right w:w="100" w:type="dxa"/>
            </w:tcMar>
            <w:vAlign w:val="center"/>
          </w:tcPr>
          <w:p w14:paraId="01DE7982" w14:textId="77777777" w:rsidR="00451CC2" w:rsidRPr="001335B5" w:rsidRDefault="00451CC2" w:rsidP="001335B5">
            <w:pPr>
              <w:pStyle w:val="Tabletext"/>
              <w:rPr>
                <w:rFonts w:eastAsia="Calibri"/>
                <w:b/>
              </w:rPr>
            </w:pPr>
            <w:r w:rsidRPr="001335B5">
              <w:rPr>
                <w:rFonts w:eastAsia="Calibri"/>
                <w:b/>
              </w:rPr>
              <w:t xml:space="preserve">     On-track status</w:t>
            </w:r>
          </w:p>
        </w:tc>
      </w:tr>
      <w:tr w:rsidR="00451CC2" w14:paraId="3CAE2603" w14:textId="77777777" w:rsidTr="007A373B">
        <w:trPr>
          <w:trHeight w:val="170"/>
          <w:jc w:val="center"/>
        </w:trPr>
        <w:tc>
          <w:tcPr>
            <w:tcW w:w="2655" w:type="dxa"/>
            <w:tcMar>
              <w:top w:w="40" w:type="dxa"/>
              <w:left w:w="40" w:type="dxa"/>
              <w:bottom w:w="40" w:type="dxa"/>
              <w:right w:w="40" w:type="dxa"/>
            </w:tcMar>
            <w:vAlign w:val="center"/>
          </w:tcPr>
          <w:p w14:paraId="37F4017E" w14:textId="77777777" w:rsidR="00451CC2" w:rsidRPr="00451CC2" w:rsidRDefault="00540671" w:rsidP="001335B5">
            <w:pPr>
              <w:pStyle w:val="Tabletext"/>
              <w:rPr>
                <w:rFonts w:eastAsia="Calibri"/>
              </w:rPr>
            </w:pPr>
            <w:r w:rsidRPr="00540671">
              <w:rPr>
                <w:rFonts w:eastAsia="Calibri"/>
                <w:b/>
              </w:rPr>
              <w:t>REFORM 1:</w:t>
            </w:r>
            <w:r w:rsidR="00451CC2" w:rsidRPr="00451CC2">
              <w:rPr>
                <w:rFonts w:eastAsia="Calibri"/>
              </w:rPr>
              <w:t xml:space="preserve"> Digitalization of Economic Diplomacy Network &amp; Exporters Training Program</w:t>
            </w:r>
          </w:p>
        </w:tc>
        <w:tc>
          <w:tcPr>
            <w:tcW w:w="1500" w:type="dxa"/>
            <w:tcMar>
              <w:top w:w="40" w:type="dxa"/>
              <w:left w:w="40" w:type="dxa"/>
              <w:bottom w:w="40" w:type="dxa"/>
              <w:right w:w="40" w:type="dxa"/>
            </w:tcMar>
            <w:vAlign w:val="center"/>
          </w:tcPr>
          <w:p w14:paraId="26EA0CC7" w14:textId="77777777" w:rsidR="00451CC2" w:rsidRDefault="00451CC2" w:rsidP="001335B5">
            <w:pPr>
              <w:pStyle w:val="Tabletext"/>
              <w:rPr>
                <w:rFonts w:eastAsia="Calibri"/>
              </w:rPr>
            </w:pPr>
            <w:r>
              <w:rPr>
                <w:rFonts w:eastAsia="Calibri"/>
              </w:rPr>
              <w:t>RRF 16599</w:t>
            </w:r>
          </w:p>
          <w:p w14:paraId="7BF8E523" w14:textId="77777777" w:rsidR="00451CC2" w:rsidRDefault="00451CC2" w:rsidP="001335B5">
            <w:pPr>
              <w:pStyle w:val="Tabletext"/>
              <w:rPr>
                <w:rFonts w:eastAsia="Calibri"/>
              </w:rPr>
            </w:pPr>
            <w:r>
              <w:rPr>
                <w:rFonts w:eastAsia="Calibri"/>
              </w:rPr>
              <w:t xml:space="preserve"> </w:t>
            </w:r>
          </w:p>
        </w:tc>
        <w:tc>
          <w:tcPr>
            <w:tcW w:w="1380" w:type="dxa"/>
            <w:tcMar>
              <w:top w:w="40" w:type="dxa"/>
              <w:left w:w="40" w:type="dxa"/>
              <w:bottom w:w="40" w:type="dxa"/>
              <w:right w:w="40" w:type="dxa"/>
            </w:tcMar>
            <w:vAlign w:val="center"/>
          </w:tcPr>
          <w:p w14:paraId="167B6E6C" w14:textId="77777777" w:rsidR="00451CC2" w:rsidRDefault="00451CC2" w:rsidP="001335B5">
            <w:pPr>
              <w:pStyle w:val="Tabletext"/>
              <w:rPr>
                <w:rFonts w:eastAsia="Calibri"/>
              </w:rPr>
            </w:pPr>
            <w:r>
              <w:rPr>
                <w:rFonts w:eastAsia="Calibri"/>
              </w:rPr>
              <w:t>2020 CSR3.9</w:t>
            </w:r>
          </w:p>
          <w:p w14:paraId="1847DEB5" w14:textId="77777777" w:rsidR="00451CC2" w:rsidRDefault="00451CC2" w:rsidP="001335B5">
            <w:pPr>
              <w:pStyle w:val="Tabletext"/>
              <w:rPr>
                <w:rFonts w:eastAsia="Calibri"/>
              </w:rPr>
            </w:pPr>
            <w:r>
              <w:rPr>
                <w:rFonts w:eastAsia="Calibri"/>
              </w:rPr>
              <w:t>2019 CSR2.3</w:t>
            </w:r>
          </w:p>
        </w:tc>
        <w:tc>
          <w:tcPr>
            <w:tcW w:w="1575" w:type="dxa"/>
            <w:tcMar>
              <w:top w:w="40" w:type="dxa"/>
              <w:left w:w="40" w:type="dxa"/>
              <w:bottom w:w="40" w:type="dxa"/>
              <w:right w:w="40" w:type="dxa"/>
            </w:tcMar>
            <w:vAlign w:val="center"/>
          </w:tcPr>
          <w:p w14:paraId="18378572" w14:textId="77777777" w:rsidR="00451CC2" w:rsidRDefault="00451CC2" w:rsidP="001335B5">
            <w:pPr>
              <w:pStyle w:val="Tabletext"/>
              <w:rPr>
                <w:rFonts w:eastAsia="Calibri"/>
              </w:rPr>
            </w:pPr>
            <w:r>
              <w:rPr>
                <w:rFonts w:eastAsia="Calibri"/>
              </w:rPr>
              <w:t>Social and Economic resilience</w:t>
            </w:r>
          </w:p>
          <w:p w14:paraId="25072907" w14:textId="77777777" w:rsidR="00451CC2" w:rsidRDefault="00451CC2" w:rsidP="001335B5">
            <w:pPr>
              <w:pStyle w:val="Tabletext"/>
              <w:rPr>
                <w:rFonts w:eastAsia="Calibri"/>
              </w:rPr>
            </w:pPr>
            <w:r>
              <w:rPr>
                <w:rFonts w:eastAsia="Calibri"/>
              </w:rPr>
              <w:t xml:space="preserve"> </w:t>
            </w:r>
          </w:p>
        </w:tc>
        <w:tc>
          <w:tcPr>
            <w:tcW w:w="2130" w:type="dxa"/>
            <w:tcMar>
              <w:top w:w="0" w:type="dxa"/>
              <w:left w:w="100" w:type="dxa"/>
              <w:bottom w:w="0" w:type="dxa"/>
              <w:right w:w="100" w:type="dxa"/>
            </w:tcMar>
            <w:vAlign w:val="center"/>
          </w:tcPr>
          <w:p w14:paraId="1EBDB761" w14:textId="77777777" w:rsidR="00451CC2" w:rsidRDefault="00451CC2" w:rsidP="001335B5">
            <w:pPr>
              <w:pStyle w:val="Tabletext"/>
              <w:rPr>
                <w:rFonts w:eastAsia="Calibri"/>
              </w:rPr>
            </w:pPr>
            <w:r>
              <w:rPr>
                <w:rFonts w:eastAsia="Calibri"/>
              </w:rPr>
              <w:t>Not completed</w:t>
            </w:r>
          </w:p>
          <w:p w14:paraId="6F30C2CD" w14:textId="77777777" w:rsidR="00451CC2" w:rsidRDefault="00451CC2" w:rsidP="001335B5">
            <w:pPr>
              <w:pStyle w:val="Tabletext"/>
              <w:rPr>
                <w:rFonts w:eastAsia="Calibri"/>
                <w:highlight w:val="yellow"/>
              </w:rPr>
            </w:pPr>
            <w:r>
              <w:rPr>
                <w:rFonts w:eastAsia="Calibri"/>
                <w:highlight w:val="yellow"/>
              </w:rPr>
              <w:t xml:space="preserve"> </w:t>
            </w:r>
          </w:p>
        </w:tc>
      </w:tr>
      <w:tr w:rsidR="00451CC2" w14:paraId="20E7FA40" w14:textId="77777777" w:rsidTr="007A373B">
        <w:trPr>
          <w:trHeight w:val="170"/>
          <w:jc w:val="center"/>
        </w:trPr>
        <w:tc>
          <w:tcPr>
            <w:tcW w:w="2655" w:type="dxa"/>
            <w:tcMar>
              <w:top w:w="40" w:type="dxa"/>
              <w:left w:w="40" w:type="dxa"/>
              <w:bottom w:w="40" w:type="dxa"/>
              <w:right w:w="40" w:type="dxa"/>
            </w:tcMar>
            <w:vAlign w:val="center"/>
          </w:tcPr>
          <w:p w14:paraId="7FF51E86" w14:textId="77777777" w:rsidR="00451CC2" w:rsidRPr="00451CC2" w:rsidRDefault="00540671" w:rsidP="001335B5">
            <w:pPr>
              <w:pStyle w:val="Tabletext"/>
              <w:rPr>
                <w:rFonts w:eastAsia="Calibri"/>
              </w:rPr>
            </w:pPr>
            <w:r w:rsidRPr="00540671">
              <w:rPr>
                <w:rFonts w:eastAsia="Calibri"/>
                <w:b/>
              </w:rPr>
              <w:t>REFORM 2:</w:t>
            </w:r>
            <w:r w:rsidR="00451CC2" w:rsidRPr="00451CC2">
              <w:rPr>
                <w:rFonts w:eastAsia="Calibri"/>
              </w:rPr>
              <w:t xml:space="preserve"> The National Strategy for Trade Facilitation</w:t>
            </w:r>
          </w:p>
          <w:p w14:paraId="79A0E7EC" w14:textId="77777777" w:rsidR="00451CC2" w:rsidRPr="00451CC2" w:rsidRDefault="00451CC2" w:rsidP="001335B5">
            <w:pPr>
              <w:pStyle w:val="Tabletext"/>
              <w:rPr>
                <w:rFonts w:eastAsia="Calibri"/>
              </w:rPr>
            </w:pPr>
            <w:r w:rsidRPr="00451CC2">
              <w:rPr>
                <w:rFonts w:eastAsia="Calibri"/>
              </w:rPr>
              <w:t xml:space="preserve"> </w:t>
            </w:r>
          </w:p>
        </w:tc>
        <w:tc>
          <w:tcPr>
            <w:tcW w:w="1500" w:type="dxa"/>
            <w:tcMar>
              <w:top w:w="40" w:type="dxa"/>
              <w:left w:w="40" w:type="dxa"/>
              <w:bottom w:w="40" w:type="dxa"/>
              <w:right w:w="40" w:type="dxa"/>
            </w:tcMar>
            <w:vAlign w:val="center"/>
          </w:tcPr>
          <w:p w14:paraId="2CEE42A5" w14:textId="77777777" w:rsidR="00451CC2" w:rsidRDefault="00451CC2" w:rsidP="001335B5">
            <w:pPr>
              <w:pStyle w:val="Tabletext"/>
              <w:rPr>
                <w:rFonts w:eastAsia="Calibri"/>
              </w:rPr>
            </w:pPr>
            <w:r>
              <w:rPr>
                <w:rFonts w:eastAsia="Calibri"/>
              </w:rPr>
              <w:t>-</w:t>
            </w:r>
          </w:p>
          <w:p w14:paraId="4B7F7BCC" w14:textId="77777777" w:rsidR="00451CC2" w:rsidRDefault="00451CC2" w:rsidP="001335B5">
            <w:pPr>
              <w:pStyle w:val="Tabletext"/>
              <w:rPr>
                <w:rFonts w:eastAsia="Calibri"/>
              </w:rPr>
            </w:pPr>
            <w:r>
              <w:rPr>
                <w:rFonts w:eastAsia="Calibri"/>
              </w:rPr>
              <w:t xml:space="preserve"> </w:t>
            </w:r>
          </w:p>
          <w:p w14:paraId="74BD225D" w14:textId="77777777" w:rsidR="00451CC2" w:rsidRDefault="00451CC2" w:rsidP="001335B5">
            <w:pPr>
              <w:pStyle w:val="Tabletext"/>
              <w:rPr>
                <w:rFonts w:eastAsia="Calibri"/>
              </w:rPr>
            </w:pPr>
            <w:r>
              <w:rPr>
                <w:rFonts w:eastAsia="Calibri"/>
              </w:rPr>
              <w:t xml:space="preserve"> </w:t>
            </w:r>
          </w:p>
        </w:tc>
        <w:tc>
          <w:tcPr>
            <w:tcW w:w="1380" w:type="dxa"/>
            <w:tcMar>
              <w:top w:w="40" w:type="dxa"/>
              <w:left w:w="40" w:type="dxa"/>
              <w:bottom w:w="40" w:type="dxa"/>
              <w:right w:w="40" w:type="dxa"/>
            </w:tcMar>
            <w:vAlign w:val="center"/>
          </w:tcPr>
          <w:p w14:paraId="16DC4126" w14:textId="77777777" w:rsidR="00451CC2" w:rsidRPr="00451CC2" w:rsidRDefault="00451CC2" w:rsidP="001335B5">
            <w:pPr>
              <w:pStyle w:val="Tabletext"/>
              <w:rPr>
                <w:rFonts w:eastAsia="Calibri"/>
              </w:rPr>
            </w:pPr>
            <w:r w:rsidRPr="00451CC2">
              <w:rPr>
                <w:rFonts w:eastAsia="Calibri"/>
              </w:rPr>
              <w:t>2025 CSR 3.4</w:t>
            </w:r>
          </w:p>
          <w:p w14:paraId="1ABC0FEC" w14:textId="77777777" w:rsidR="00451CC2" w:rsidRPr="00451CC2" w:rsidRDefault="00451CC2" w:rsidP="001335B5">
            <w:pPr>
              <w:pStyle w:val="Tabletext"/>
              <w:rPr>
                <w:rFonts w:eastAsia="Calibri"/>
              </w:rPr>
            </w:pPr>
            <w:r w:rsidRPr="00451CC2">
              <w:rPr>
                <w:rFonts w:eastAsia="Calibri"/>
              </w:rPr>
              <w:t>2024 CSR1.7</w:t>
            </w:r>
          </w:p>
          <w:p w14:paraId="3BBB7E4B" w14:textId="77777777" w:rsidR="00451CC2" w:rsidRPr="00451CC2" w:rsidRDefault="00451CC2" w:rsidP="001335B5">
            <w:pPr>
              <w:pStyle w:val="Tabletext"/>
              <w:rPr>
                <w:rFonts w:eastAsia="Calibri"/>
              </w:rPr>
            </w:pPr>
            <w:r w:rsidRPr="00451CC2">
              <w:rPr>
                <w:rFonts w:eastAsia="Calibri"/>
              </w:rPr>
              <w:t>2020 CSR3.3</w:t>
            </w:r>
          </w:p>
          <w:p w14:paraId="22E8C782" w14:textId="77777777" w:rsidR="00451CC2" w:rsidRPr="00451CC2" w:rsidRDefault="00451CC2" w:rsidP="001335B5">
            <w:pPr>
              <w:pStyle w:val="Tabletext"/>
              <w:rPr>
                <w:rFonts w:eastAsia="Calibri"/>
              </w:rPr>
            </w:pPr>
            <w:r w:rsidRPr="00451CC2">
              <w:rPr>
                <w:rFonts w:eastAsia="Calibri"/>
              </w:rPr>
              <w:t>2020 CSR3.4</w:t>
            </w:r>
          </w:p>
          <w:p w14:paraId="573A8BE9" w14:textId="77777777" w:rsidR="00451CC2" w:rsidRPr="00451CC2" w:rsidRDefault="00451CC2" w:rsidP="001335B5">
            <w:pPr>
              <w:pStyle w:val="Tabletext"/>
              <w:rPr>
                <w:rFonts w:eastAsia="Calibri"/>
              </w:rPr>
            </w:pPr>
            <w:r w:rsidRPr="00451CC2">
              <w:rPr>
                <w:rFonts w:eastAsia="Calibri"/>
              </w:rPr>
              <w:t>2020 CSR3.9</w:t>
            </w:r>
          </w:p>
          <w:p w14:paraId="7C1640A2" w14:textId="77777777" w:rsidR="00451CC2" w:rsidRDefault="00451CC2" w:rsidP="001335B5">
            <w:pPr>
              <w:pStyle w:val="Tabletext"/>
              <w:rPr>
                <w:rFonts w:eastAsia="Calibri"/>
              </w:rPr>
            </w:pPr>
            <w:r>
              <w:rPr>
                <w:rFonts w:eastAsia="Calibri"/>
              </w:rPr>
              <w:t>2019 CSR2.1</w:t>
            </w:r>
          </w:p>
          <w:p w14:paraId="7CBA82A1" w14:textId="77777777" w:rsidR="00451CC2" w:rsidRDefault="00451CC2" w:rsidP="001335B5">
            <w:pPr>
              <w:pStyle w:val="Tabletext"/>
              <w:rPr>
                <w:rFonts w:eastAsia="Calibri"/>
              </w:rPr>
            </w:pPr>
            <w:r>
              <w:rPr>
                <w:rFonts w:eastAsia="Calibri"/>
              </w:rPr>
              <w:t>2019 CSR2.3</w:t>
            </w:r>
          </w:p>
        </w:tc>
        <w:tc>
          <w:tcPr>
            <w:tcW w:w="1575" w:type="dxa"/>
            <w:tcMar>
              <w:top w:w="40" w:type="dxa"/>
              <w:left w:w="40" w:type="dxa"/>
              <w:bottom w:w="40" w:type="dxa"/>
              <w:right w:w="40" w:type="dxa"/>
            </w:tcMar>
            <w:vAlign w:val="center"/>
          </w:tcPr>
          <w:p w14:paraId="1A325D64" w14:textId="77777777" w:rsidR="00451CC2" w:rsidRDefault="00451CC2" w:rsidP="001335B5">
            <w:pPr>
              <w:pStyle w:val="Tabletext"/>
              <w:rPr>
                <w:rFonts w:eastAsia="Calibri"/>
              </w:rPr>
            </w:pPr>
            <w:r>
              <w:rPr>
                <w:rFonts w:eastAsia="Calibri"/>
              </w:rPr>
              <w:t>Social and Economic resilience</w:t>
            </w:r>
          </w:p>
          <w:p w14:paraId="19358565" w14:textId="77777777" w:rsidR="00451CC2" w:rsidRDefault="00451CC2" w:rsidP="001335B5">
            <w:pPr>
              <w:pStyle w:val="Tabletext"/>
              <w:rPr>
                <w:rFonts w:eastAsia="Calibri"/>
              </w:rPr>
            </w:pPr>
            <w:r>
              <w:rPr>
                <w:rFonts w:eastAsia="Calibri"/>
              </w:rPr>
              <w:t xml:space="preserve"> </w:t>
            </w:r>
          </w:p>
        </w:tc>
        <w:tc>
          <w:tcPr>
            <w:tcW w:w="2130" w:type="dxa"/>
            <w:tcMar>
              <w:top w:w="0" w:type="dxa"/>
              <w:left w:w="100" w:type="dxa"/>
              <w:bottom w:w="0" w:type="dxa"/>
              <w:right w:w="100" w:type="dxa"/>
            </w:tcMar>
            <w:vAlign w:val="center"/>
          </w:tcPr>
          <w:p w14:paraId="354B32C8" w14:textId="790AD21A" w:rsidR="00451CC2" w:rsidRDefault="00451CC2" w:rsidP="001335B5">
            <w:pPr>
              <w:pStyle w:val="Tabletext"/>
              <w:rPr>
                <w:rFonts w:eastAsia="Calibri"/>
              </w:rPr>
            </w:pPr>
            <w:r>
              <w:rPr>
                <w:rFonts w:eastAsia="Calibri"/>
              </w:rPr>
              <w:t>On</w:t>
            </w:r>
            <w:r w:rsidR="00662FE8">
              <w:rPr>
                <w:rFonts w:eastAsia="Calibri"/>
              </w:rPr>
              <w:t xml:space="preserve"> </w:t>
            </w:r>
            <w:r>
              <w:rPr>
                <w:rFonts w:eastAsia="Calibri"/>
              </w:rPr>
              <w:t>track</w:t>
            </w:r>
          </w:p>
        </w:tc>
      </w:tr>
      <w:tr w:rsidR="00451CC2" w14:paraId="752DA87F" w14:textId="77777777" w:rsidTr="007A373B">
        <w:trPr>
          <w:trHeight w:val="170"/>
          <w:jc w:val="center"/>
        </w:trPr>
        <w:tc>
          <w:tcPr>
            <w:tcW w:w="2655" w:type="dxa"/>
            <w:tcMar>
              <w:top w:w="40" w:type="dxa"/>
              <w:left w:w="40" w:type="dxa"/>
              <w:bottom w:w="40" w:type="dxa"/>
              <w:right w:w="40" w:type="dxa"/>
            </w:tcMar>
            <w:vAlign w:val="center"/>
          </w:tcPr>
          <w:p w14:paraId="7E7829AF" w14:textId="77777777" w:rsidR="00451CC2" w:rsidRPr="00451CC2" w:rsidRDefault="00540671" w:rsidP="001335B5">
            <w:pPr>
              <w:pStyle w:val="Tabletext"/>
              <w:rPr>
                <w:rFonts w:eastAsia="Calibri"/>
              </w:rPr>
            </w:pPr>
            <w:r w:rsidRPr="00540671">
              <w:rPr>
                <w:rFonts w:eastAsia="Calibri"/>
                <w:b/>
              </w:rPr>
              <w:t>REFORM 3:</w:t>
            </w:r>
            <w:r w:rsidR="00451CC2" w:rsidRPr="00451CC2">
              <w:rPr>
                <w:rFonts w:eastAsia="Calibri"/>
              </w:rPr>
              <w:t xml:space="preserve"> The National Strategy for Extroversion</w:t>
            </w:r>
          </w:p>
        </w:tc>
        <w:tc>
          <w:tcPr>
            <w:tcW w:w="1500" w:type="dxa"/>
            <w:tcMar>
              <w:top w:w="40" w:type="dxa"/>
              <w:left w:w="40" w:type="dxa"/>
              <w:bottom w:w="40" w:type="dxa"/>
              <w:right w:w="40" w:type="dxa"/>
            </w:tcMar>
            <w:vAlign w:val="center"/>
          </w:tcPr>
          <w:p w14:paraId="62E426DE" w14:textId="77777777" w:rsidR="00451CC2" w:rsidRDefault="00451CC2" w:rsidP="001335B5">
            <w:pPr>
              <w:pStyle w:val="Tabletext"/>
              <w:rPr>
                <w:rFonts w:eastAsia="Calibri"/>
              </w:rPr>
            </w:pPr>
            <w:r>
              <w:rPr>
                <w:rFonts w:eastAsia="Calibri"/>
              </w:rPr>
              <w:t>-</w:t>
            </w:r>
          </w:p>
        </w:tc>
        <w:tc>
          <w:tcPr>
            <w:tcW w:w="1380" w:type="dxa"/>
            <w:tcMar>
              <w:top w:w="40" w:type="dxa"/>
              <w:left w:w="40" w:type="dxa"/>
              <w:bottom w:w="40" w:type="dxa"/>
              <w:right w:w="40" w:type="dxa"/>
            </w:tcMar>
            <w:vAlign w:val="center"/>
          </w:tcPr>
          <w:p w14:paraId="65B3FC12" w14:textId="77777777" w:rsidR="00451CC2" w:rsidRDefault="00451CC2" w:rsidP="001335B5">
            <w:pPr>
              <w:pStyle w:val="Tabletext"/>
              <w:rPr>
                <w:rFonts w:eastAsia="Calibri"/>
              </w:rPr>
            </w:pPr>
            <w:r>
              <w:rPr>
                <w:rFonts w:eastAsia="Calibri"/>
              </w:rPr>
              <w:t>2024 CSR1.7</w:t>
            </w:r>
          </w:p>
          <w:p w14:paraId="44DA2E2F" w14:textId="77777777" w:rsidR="00451CC2" w:rsidRDefault="00451CC2" w:rsidP="001335B5">
            <w:pPr>
              <w:pStyle w:val="Tabletext"/>
              <w:rPr>
                <w:rFonts w:eastAsia="Calibri"/>
              </w:rPr>
            </w:pPr>
            <w:r>
              <w:rPr>
                <w:rFonts w:eastAsia="Calibri"/>
              </w:rPr>
              <w:t>2020 CSR3.3</w:t>
            </w:r>
          </w:p>
        </w:tc>
        <w:tc>
          <w:tcPr>
            <w:tcW w:w="1575" w:type="dxa"/>
            <w:tcMar>
              <w:top w:w="40" w:type="dxa"/>
              <w:left w:w="40" w:type="dxa"/>
              <w:bottom w:w="40" w:type="dxa"/>
              <w:right w:w="40" w:type="dxa"/>
            </w:tcMar>
            <w:vAlign w:val="center"/>
          </w:tcPr>
          <w:p w14:paraId="012A8D48" w14:textId="77777777" w:rsidR="00451CC2" w:rsidRDefault="00451CC2" w:rsidP="001335B5">
            <w:pPr>
              <w:pStyle w:val="Tabletext"/>
              <w:rPr>
                <w:rFonts w:eastAsia="Calibri"/>
              </w:rPr>
            </w:pPr>
            <w:r>
              <w:rPr>
                <w:rFonts w:eastAsia="Calibri"/>
              </w:rPr>
              <w:t>Social and Economic resilience</w:t>
            </w:r>
          </w:p>
        </w:tc>
        <w:tc>
          <w:tcPr>
            <w:tcW w:w="2130" w:type="dxa"/>
            <w:tcMar>
              <w:top w:w="0" w:type="dxa"/>
              <w:left w:w="100" w:type="dxa"/>
              <w:bottom w:w="0" w:type="dxa"/>
              <w:right w:w="100" w:type="dxa"/>
            </w:tcMar>
            <w:vAlign w:val="center"/>
          </w:tcPr>
          <w:p w14:paraId="587AAC37" w14:textId="2506B98B" w:rsidR="00451CC2" w:rsidRDefault="00451CC2" w:rsidP="001335B5">
            <w:pPr>
              <w:pStyle w:val="Tabletext"/>
              <w:rPr>
                <w:rFonts w:eastAsia="Calibri"/>
              </w:rPr>
            </w:pPr>
            <w:r>
              <w:rPr>
                <w:rFonts w:eastAsia="Calibri"/>
              </w:rPr>
              <w:t>On</w:t>
            </w:r>
            <w:r w:rsidR="00662FE8">
              <w:rPr>
                <w:rFonts w:eastAsia="Calibri"/>
              </w:rPr>
              <w:t xml:space="preserve"> </w:t>
            </w:r>
            <w:r>
              <w:rPr>
                <w:rFonts w:eastAsia="Calibri"/>
              </w:rPr>
              <w:t>track</w:t>
            </w:r>
          </w:p>
        </w:tc>
      </w:tr>
      <w:tr w:rsidR="00451CC2" w14:paraId="4A7107FE" w14:textId="77777777" w:rsidTr="007A373B">
        <w:trPr>
          <w:trHeight w:val="170"/>
          <w:jc w:val="center"/>
        </w:trPr>
        <w:tc>
          <w:tcPr>
            <w:tcW w:w="2655" w:type="dxa"/>
            <w:tcMar>
              <w:top w:w="40" w:type="dxa"/>
              <w:left w:w="40" w:type="dxa"/>
              <w:bottom w:w="40" w:type="dxa"/>
              <w:right w:w="40" w:type="dxa"/>
            </w:tcMar>
            <w:vAlign w:val="center"/>
          </w:tcPr>
          <w:p w14:paraId="73A618BA" w14:textId="77777777" w:rsidR="00451CC2" w:rsidRPr="00451CC2" w:rsidRDefault="00540671" w:rsidP="001335B5">
            <w:pPr>
              <w:pStyle w:val="Tabletext"/>
              <w:rPr>
                <w:rFonts w:eastAsia="Calibri"/>
              </w:rPr>
            </w:pPr>
            <w:r w:rsidRPr="00540671">
              <w:rPr>
                <w:rFonts w:eastAsia="Calibri"/>
                <w:b/>
              </w:rPr>
              <w:t>REFORM 4:</w:t>
            </w:r>
            <w:r w:rsidR="00451CC2" w:rsidRPr="00451CC2">
              <w:rPr>
                <w:rFonts w:eastAsia="Calibri"/>
              </w:rPr>
              <w:t xml:space="preserve"> Transformation of “Enterprise Greece” into an integrated hub of extroversion</w:t>
            </w:r>
          </w:p>
        </w:tc>
        <w:tc>
          <w:tcPr>
            <w:tcW w:w="1500" w:type="dxa"/>
            <w:tcMar>
              <w:top w:w="40" w:type="dxa"/>
              <w:left w:w="40" w:type="dxa"/>
              <w:bottom w:w="40" w:type="dxa"/>
              <w:right w:w="40" w:type="dxa"/>
            </w:tcMar>
            <w:vAlign w:val="center"/>
          </w:tcPr>
          <w:p w14:paraId="460F9CDE" w14:textId="77777777" w:rsidR="00451CC2" w:rsidRDefault="00451CC2" w:rsidP="001335B5">
            <w:pPr>
              <w:pStyle w:val="Tabletext"/>
              <w:rPr>
                <w:rFonts w:eastAsia="Calibri"/>
              </w:rPr>
            </w:pPr>
            <w:r>
              <w:rPr>
                <w:rFonts w:eastAsia="Calibri"/>
              </w:rPr>
              <w:t>-</w:t>
            </w:r>
          </w:p>
        </w:tc>
        <w:tc>
          <w:tcPr>
            <w:tcW w:w="1380" w:type="dxa"/>
            <w:tcMar>
              <w:top w:w="40" w:type="dxa"/>
              <w:left w:w="40" w:type="dxa"/>
              <w:bottom w:w="40" w:type="dxa"/>
              <w:right w:w="40" w:type="dxa"/>
            </w:tcMar>
            <w:vAlign w:val="center"/>
          </w:tcPr>
          <w:p w14:paraId="6001CFE1" w14:textId="77777777" w:rsidR="00451CC2" w:rsidRDefault="00451CC2" w:rsidP="001335B5">
            <w:pPr>
              <w:pStyle w:val="Tabletext"/>
              <w:rPr>
                <w:rFonts w:eastAsia="Calibri"/>
              </w:rPr>
            </w:pPr>
            <w:r>
              <w:rPr>
                <w:rFonts w:eastAsia="Calibri"/>
              </w:rPr>
              <w:t>2025 CSR 3.1</w:t>
            </w:r>
          </w:p>
          <w:p w14:paraId="4090E5C5" w14:textId="77777777" w:rsidR="00451CC2" w:rsidRDefault="00451CC2" w:rsidP="001335B5">
            <w:pPr>
              <w:pStyle w:val="Tabletext"/>
              <w:rPr>
                <w:rFonts w:eastAsia="Calibri"/>
              </w:rPr>
            </w:pPr>
            <w:r>
              <w:rPr>
                <w:rFonts w:eastAsia="Calibri"/>
              </w:rPr>
              <w:t>2024 CSR1.7</w:t>
            </w:r>
          </w:p>
          <w:p w14:paraId="11CB9A26" w14:textId="77777777" w:rsidR="00451CC2" w:rsidRDefault="00451CC2" w:rsidP="001335B5">
            <w:pPr>
              <w:pStyle w:val="Tabletext"/>
              <w:rPr>
                <w:rFonts w:eastAsia="Calibri"/>
              </w:rPr>
            </w:pPr>
            <w:r>
              <w:rPr>
                <w:rFonts w:eastAsia="Calibri"/>
              </w:rPr>
              <w:t>2020 CSR3.3</w:t>
            </w:r>
          </w:p>
        </w:tc>
        <w:tc>
          <w:tcPr>
            <w:tcW w:w="1575" w:type="dxa"/>
            <w:tcMar>
              <w:top w:w="40" w:type="dxa"/>
              <w:left w:w="40" w:type="dxa"/>
              <w:bottom w:w="40" w:type="dxa"/>
              <w:right w:w="40" w:type="dxa"/>
            </w:tcMar>
            <w:vAlign w:val="center"/>
          </w:tcPr>
          <w:p w14:paraId="4AE566A4" w14:textId="77777777" w:rsidR="00451CC2" w:rsidRDefault="00451CC2" w:rsidP="001335B5">
            <w:pPr>
              <w:pStyle w:val="Tabletext"/>
              <w:rPr>
                <w:rFonts w:eastAsia="Calibri"/>
              </w:rPr>
            </w:pPr>
            <w:r>
              <w:rPr>
                <w:rFonts w:eastAsia="Calibri"/>
              </w:rPr>
              <w:t>Social and Economic resilience</w:t>
            </w:r>
          </w:p>
        </w:tc>
        <w:tc>
          <w:tcPr>
            <w:tcW w:w="2130" w:type="dxa"/>
            <w:tcMar>
              <w:top w:w="0" w:type="dxa"/>
              <w:left w:w="100" w:type="dxa"/>
              <w:bottom w:w="0" w:type="dxa"/>
              <w:right w:w="100" w:type="dxa"/>
            </w:tcMar>
            <w:vAlign w:val="center"/>
          </w:tcPr>
          <w:p w14:paraId="5D9F7C51" w14:textId="00AB099B" w:rsidR="00451CC2" w:rsidRDefault="00451CC2" w:rsidP="001335B5">
            <w:pPr>
              <w:pStyle w:val="Tabletext"/>
              <w:rPr>
                <w:rFonts w:eastAsia="Calibri"/>
              </w:rPr>
            </w:pPr>
            <w:r>
              <w:rPr>
                <w:rFonts w:eastAsia="Calibri"/>
              </w:rPr>
              <w:t>On</w:t>
            </w:r>
            <w:r w:rsidR="00662FE8">
              <w:rPr>
                <w:rFonts w:eastAsia="Calibri"/>
              </w:rPr>
              <w:t xml:space="preserve"> </w:t>
            </w:r>
            <w:r>
              <w:rPr>
                <w:rFonts w:eastAsia="Calibri"/>
              </w:rPr>
              <w:t>track</w:t>
            </w:r>
          </w:p>
        </w:tc>
      </w:tr>
      <w:tr w:rsidR="00451CC2" w14:paraId="756BB5A0" w14:textId="77777777" w:rsidTr="007A373B">
        <w:trPr>
          <w:trHeight w:val="170"/>
          <w:jc w:val="center"/>
        </w:trPr>
        <w:tc>
          <w:tcPr>
            <w:tcW w:w="2655" w:type="dxa"/>
            <w:tcMar>
              <w:top w:w="40" w:type="dxa"/>
              <w:left w:w="40" w:type="dxa"/>
              <w:bottom w:w="40" w:type="dxa"/>
              <w:right w:w="40" w:type="dxa"/>
            </w:tcMar>
            <w:vAlign w:val="center"/>
          </w:tcPr>
          <w:p w14:paraId="6D4C6992" w14:textId="77777777" w:rsidR="00451CC2" w:rsidRPr="00451CC2" w:rsidRDefault="00540671" w:rsidP="001335B5">
            <w:pPr>
              <w:pStyle w:val="Tabletext"/>
              <w:rPr>
                <w:rFonts w:eastAsia="Calibri"/>
              </w:rPr>
            </w:pPr>
            <w:r w:rsidRPr="00540671">
              <w:rPr>
                <w:rFonts w:eastAsia="Calibri"/>
                <w:b/>
              </w:rPr>
              <w:t>REFORM 5:</w:t>
            </w:r>
            <w:r w:rsidR="00451CC2" w:rsidRPr="00451CC2">
              <w:rPr>
                <w:rFonts w:eastAsia="Calibri"/>
              </w:rPr>
              <w:t xml:space="preserve"> Reform of “Export Credit Greece”</w:t>
            </w:r>
          </w:p>
        </w:tc>
        <w:tc>
          <w:tcPr>
            <w:tcW w:w="1500" w:type="dxa"/>
            <w:tcMar>
              <w:top w:w="40" w:type="dxa"/>
              <w:left w:w="40" w:type="dxa"/>
              <w:bottom w:w="40" w:type="dxa"/>
              <w:right w:w="40" w:type="dxa"/>
            </w:tcMar>
            <w:vAlign w:val="center"/>
          </w:tcPr>
          <w:p w14:paraId="277AFF20" w14:textId="77777777" w:rsidR="00451CC2" w:rsidRDefault="00451CC2" w:rsidP="001335B5">
            <w:pPr>
              <w:pStyle w:val="Tabletext"/>
              <w:rPr>
                <w:rFonts w:eastAsia="Calibri"/>
              </w:rPr>
            </w:pPr>
            <w:r>
              <w:rPr>
                <w:rFonts w:eastAsia="Calibri"/>
              </w:rPr>
              <w:t>-</w:t>
            </w:r>
          </w:p>
        </w:tc>
        <w:tc>
          <w:tcPr>
            <w:tcW w:w="1380" w:type="dxa"/>
            <w:tcMar>
              <w:top w:w="40" w:type="dxa"/>
              <w:left w:w="40" w:type="dxa"/>
              <w:bottom w:w="40" w:type="dxa"/>
              <w:right w:w="40" w:type="dxa"/>
            </w:tcMar>
            <w:vAlign w:val="center"/>
          </w:tcPr>
          <w:p w14:paraId="349A367B" w14:textId="77777777" w:rsidR="00451CC2" w:rsidRDefault="00451CC2" w:rsidP="001335B5">
            <w:pPr>
              <w:pStyle w:val="Tabletext"/>
              <w:rPr>
                <w:rFonts w:eastAsia="Calibri"/>
              </w:rPr>
            </w:pPr>
            <w:r>
              <w:rPr>
                <w:rFonts w:eastAsia="Calibri"/>
              </w:rPr>
              <w:t>2025 CSR 3.1</w:t>
            </w:r>
          </w:p>
          <w:p w14:paraId="1B28EDF1" w14:textId="77777777" w:rsidR="00451CC2" w:rsidRDefault="00451CC2" w:rsidP="001335B5">
            <w:pPr>
              <w:pStyle w:val="Tabletext"/>
              <w:rPr>
                <w:rFonts w:eastAsia="Calibri"/>
              </w:rPr>
            </w:pPr>
            <w:r>
              <w:rPr>
                <w:rFonts w:eastAsia="Calibri"/>
              </w:rPr>
              <w:t>2024 CSR1.7</w:t>
            </w:r>
          </w:p>
          <w:p w14:paraId="0C3D078D" w14:textId="77777777" w:rsidR="00451CC2" w:rsidRDefault="00451CC2" w:rsidP="001335B5">
            <w:pPr>
              <w:pStyle w:val="Tabletext"/>
              <w:rPr>
                <w:rFonts w:eastAsia="Calibri"/>
              </w:rPr>
            </w:pPr>
            <w:r>
              <w:rPr>
                <w:rFonts w:eastAsia="Calibri"/>
              </w:rPr>
              <w:t>2020 CSR3.3</w:t>
            </w:r>
          </w:p>
        </w:tc>
        <w:tc>
          <w:tcPr>
            <w:tcW w:w="1575" w:type="dxa"/>
            <w:tcMar>
              <w:top w:w="40" w:type="dxa"/>
              <w:left w:w="40" w:type="dxa"/>
              <w:bottom w:w="40" w:type="dxa"/>
              <w:right w:w="40" w:type="dxa"/>
            </w:tcMar>
            <w:vAlign w:val="center"/>
          </w:tcPr>
          <w:p w14:paraId="1C576D43" w14:textId="77777777" w:rsidR="00451CC2" w:rsidRDefault="00451CC2" w:rsidP="001335B5">
            <w:pPr>
              <w:pStyle w:val="Tabletext"/>
              <w:rPr>
                <w:rFonts w:eastAsia="Calibri"/>
              </w:rPr>
            </w:pPr>
            <w:r>
              <w:rPr>
                <w:rFonts w:eastAsia="Calibri"/>
              </w:rPr>
              <w:t>Social and Economic resilience</w:t>
            </w:r>
          </w:p>
        </w:tc>
        <w:tc>
          <w:tcPr>
            <w:tcW w:w="2130" w:type="dxa"/>
            <w:tcMar>
              <w:top w:w="0" w:type="dxa"/>
              <w:left w:w="100" w:type="dxa"/>
              <w:bottom w:w="0" w:type="dxa"/>
              <w:right w:w="100" w:type="dxa"/>
            </w:tcMar>
            <w:vAlign w:val="center"/>
          </w:tcPr>
          <w:p w14:paraId="6107704A" w14:textId="50A56B90" w:rsidR="00451CC2" w:rsidRDefault="00451CC2" w:rsidP="001335B5">
            <w:pPr>
              <w:pStyle w:val="Tabletext"/>
              <w:rPr>
                <w:rFonts w:eastAsia="Calibri"/>
              </w:rPr>
            </w:pPr>
            <w:r>
              <w:rPr>
                <w:rFonts w:eastAsia="Calibri"/>
              </w:rPr>
              <w:t>On</w:t>
            </w:r>
            <w:r w:rsidR="00662FE8">
              <w:rPr>
                <w:rFonts w:eastAsia="Calibri"/>
              </w:rPr>
              <w:t xml:space="preserve"> </w:t>
            </w:r>
            <w:r>
              <w:rPr>
                <w:rFonts w:eastAsia="Calibri"/>
              </w:rPr>
              <w:t>track</w:t>
            </w:r>
          </w:p>
        </w:tc>
      </w:tr>
      <w:tr w:rsidR="00451CC2" w14:paraId="349F95ED" w14:textId="77777777" w:rsidTr="007A373B">
        <w:trPr>
          <w:trHeight w:val="170"/>
          <w:jc w:val="center"/>
        </w:trPr>
        <w:tc>
          <w:tcPr>
            <w:tcW w:w="2655" w:type="dxa"/>
            <w:tcMar>
              <w:top w:w="40" w:type="dxa"/>
              <w:left w:w="40" w:type="dxa"/>
              <w:bottom w:w="40" w:type="dxa"/>
              <w:right w:w="40" w:type="dxa"/>
            </w:tcMar>
            <w:vAlign w:val="center"/>
          </w:tcPr>
          <w:p w14:paraId="4023A6CC" w14:textId="77777777" w:rsidR="00451CC2" w:rsidRPr="00451CC2" w:rsidRDefault="00540671" w:rsidP="001335B5">
            <w:pPr>
              <w:pStyle w:val="Tabletext"/>
              <w:rPr>
                <w:rFonts w:eastAsia="Calibri"/>
              </w:rPr>
            </w:pPr>
            <w:r w:rsidRPr="00540671">
              <w:rPr>
                <w:rFonts w:eastAsia="Calibri"/>
                <w:b/>
              </w:rPr>
              <w:t>REFORM 6:</w:t>
            </w:r>
            <w:r w:rsidR="00451CC2" w:rsidRPr="00451CC2">
              <w:rPr>
                <w:rFonts w:eastAsia="Calibri"/>
              </w:rPr>
              <w:t xml:space="preserve"> Digitalization of </w:t>
            </w:r>
            <w:proofErr w:type="spellStart"/>
            <w:r w:rsidR="00451CC2" w:rsidRPr="00451CC2">
              <w:rPr>
                <w:rFonts w:eastAsia="Calibri"/>
              </w:rPr>
              <w:t>licencing</w:t>
            </w:r>
            <w:proofErr w:type="spellEnd"/>
            <w:r w:rsidR="00451CC2" w:rsidRPr="00451CC2">
              <w:rPr>
                <w:rFonts w:eastAsia="Calibri"/>
              </w:rPr>
              <w:t xml:space="preserve"> procedures for the export of controlled items”</w:t>
            </w:r>
          </w:p>
        </w:tc>
        <w:tc>
          <w:tcPr>
            <w:tcW w:w="1500" w:type="dxa"/>
            <w:tcMar>
              <w:top w:w="40" w:type="dxa"/>
              <w:left w:w="40" w:type="dxa"/>
              <w:bottom w:w="40" w:type="dxa"/>
              <w:right w:w="40" w:type="dxa"/>
            </w:tcMar>
            <w:vAlign w:val="center"/>
          </w:tcPr>
          <w:p w14:paraId="32C2BAB3" w14:textId="77777777" w:rsidR="00451CC2" w:rsidRDefault="00451CC2" w:rsidP="001335B5">
            <w:pPr>
              <w:pStyle w:val="Tabletext"/>
              <w:rPr>
                <w:rFonts w:eastAsia="Calibri"/>
              </w:rPr>
            </w:pPr>
            <w:r>
              <w:rPr>
                <w:rFonts w:eastAsia="Calibri"/>
              </w:rPr>
              <w:t>-</w:t>
            </w:r>
          </w:p>
        </w:tc>
        <w:tc>
          <w:tcPr>
            <w:tcW w:w="1380" w:type="dxa"/>
            <w:tcMar>
              <w:top w:w="40" w:type="dxa"/>
              <w:left w:w="40" w:type="dxa"/>
              <w:bottom w:w="40" w:type="dxa"/>
              <w:right w:w="40" w:type="dxa"/>
            </w:tcMar>
            <w:vAlign w:val="center"/>
          </w:tcPr>
          <w:p w14:paraId="73812FA7" w14:textId="77777777" w:rsidR="00451CC2" w:rsidRDefault="00451CC2" w:rsidP="001335B5">
            <w:pPr>
              <w:pStyle w:val="Tabletext"/>
              <w:rPr>
                <w:rFonts w:eastAsia="Calibri"/>
              </w:rPr>
            </w:pPr>
            <w:r>
              <w:rPr>
                <w:rFonts w:eastAsia="Calibri"/>
              </w:rPr>
              <w:t>2025 CSR 3.1</w:t>
            </w:r>
          </w:p>
          <w:p w14:paraId="3E0E1693" w14:textId="77777777" w:rsidR="00451CC2" w:rsidRDefault="00451CC2" w:rsidP="001335B5">
            <w:pPr>
              <w:pStyle w:val="Tabletext"/>
              <w:rPr>
                <w:rFonts w:eastAsia="Calibri"/>
              </w:rPr>
            </w:pPr>
            <w:r>
              <w:rPr>
                <w:rFonts w:eastAsia="Calibri"/>
              </w:rPr>
              <w:t>2024 CSR 1.7</w:t>
            </w:r>
            <w:r>
              <w:rPr>
                <w:rFonts w:eastAsia="Calibri"/>
              </w:rPr>
              <w:br/>
              <w:t xml:space="preserve"> 2020 CSR 3.3</w:t>
            </w:r>
            <w:r>
              <w:rPr>
                <w:rFonts w:eastAsia="Calibri"/>
              </w:rPr>
              <w:br/>
              <w:t xml:space="preserve"> 2020 CSR 3.9</w:t>
            </w:r>
          </w:p>
        </w:tc>
        <w:tc>
          <w:tcPr>
            <w:tcW w:w="1575" w:type="dxa"/>
            <w:tcMar>
              <w:top w:w="40" w:type="dxa"/>
              <w:left w:w="40" w:type="dxa"/>
              <w:bottom w:w="40" w:type="dxa"/>
              <w:right w:w="40" w:type="dxa"/>
            </w:tcMar>
            <w:vAlign w:val="center"/>
          </w:tcPr>
          <w:p w14:paraId="3D84D773" w14:textId="77777777" w:rsidR="00451CC2" w:rsidRDefault="00451CC2" w:rsidP="001335B5">
            <w:pPr>
              <w:pStyle w:val="Tabletext"/>
              <w:rPr>
                <w:rFonts w:eastAsia="Calibri"/>
              </w:rPr>
            </w:pPr>
            <w:r>
              <w:rPr>
                <w:rFonts w:eastAsia="Calibri"/>
              </w:rPr>
              <w:t>Social and Economic resilience</w:t>
            </w:r>
          </w:p>
        </w:tc>
        <w:tc>
          <w:tcPr>
            <w:tcW w:w="2130" w:type="dxa"/>
            <w:tcMar>
              <w:top w:w="0" w:type="dxa"/>
              <w:left w:w="100" w:type="dxa"/>
              <w:bottom w:w="0" w:type="dxa"/>
              <w:right w:w="100" w:type="dxa"/>
            </w:tcMar>
            <w:vAlign w:val="center"/>
          </w:tcPr>
          <w:p w14:paraId="2C4A2CA6" w14:textId="582AB576" w:rsidR="00451CC2" w:rsidRDefault="00451CC2" w:rsidP="001335B5">
            <w:pPr>
              <w:pStyle w:val="Tabletext"/>
              <w:rPr>
                <w:rFonts w:eastAsia="Calibri"/>
              </w:rPr>
            </w:pPr>
            <w:r>
              <w:rPr>
                <w:rFonts w:eastAsia="Calibri"/>
              </w:rPr>
              <w:t>On</w:t>
            </w:r>
            <w:r w:rsidR="00662FE8">
              <w:rPr>
                <w:rFonts w:eastAsia="Calibri"/>
              </w:rPr>
              <w:t xml:space="preserve"> </w:t>
            </w:r>
            <w:r>
              <w:rPr>
                <w:rFonts w:eastAsia="Calibri"/>
              </w:rPr>
              <w:t>track</w:t>
            </w:r>
          </w:p>
        </w:tc>
      </w:tr>
      <w:tr w:rsidR="00451CC2" w14:paraId="3A924B4F" w14:textId="77777777" w:rsidTr="007A373B">
        <w:trPr>
          <w:trHeight w:val="170"/>
          <w:jc w:val="center"/>
        </w:trPr>
        <w:tc>
          <w:tcPr>
            <w:tcW w:w="2655" w:type="dxa"/>
            <w:tcMar>
              <w:top w:w="40" w:type="dxa"/>
              <w:left w:w="40" w:type="dxa"/>
              <w:bottom w:w="40" w:type="dxa"/>
              <w:right w:w="40" w:type="dxa"/>
            </w:tcMar>
            <w:vAlign w:val="center"/>
          </w:tcPr>
          <w:p w14:paraId="694772B9" w14:textId="77777777" w:rsidR="00451CC2" w:rsidRPr="00451CC2" w:rsidRDefault="00451CC2" w:rsidP="001335B5">
            <w:pPr>
              <w:pStyle w:val="Tabletext"/>
              <w:rPr>
                <w:rFonts w:eastAsia="Calibri"/>
              </w:rPr>
            </w:pPr>
            <w:r w:rsidRPr="008E2AC6">
              <w:rPr>
                <w:rFonts w:eastAsia="Calibri"/>
                <w:b/>
              </w:rPr>
              <w:lastRenderedPageBreak/>
              <w:t>IΝVESTMENT 1:</w:t>
            </w:r>
            <w:r w:rsidRPr="00451CC2">
              <w:rPr>
                <w:rFonts w:eastAsia="Calibri"/>
              </w:rPr>
              <w:t xml:space="preserve"> Digital transformation of the Ministry of Foreign Affairs</w:t>
            </w:r>
          </w:p>
        </w:tc>
        <w:tc>
          <w:tcPr>
            <w:tcW w:w="1500" w:type="dxa"/>
            <w:tcMar>
              <w:top w:w="40" w:type="dxa"/>
              <w:left w:w="40" w:type="dxa"/>
              <w:bottom w:w="40" w:type="dxa"/>
              <w:right w:w="40" w:type="dxa"/>
            </w:tcMar>
            <w:vAlign w:val="center"/>
          </w:tcPr>
          <w:p w14:paraId="750903F0" w14:textId="77777777" w:rsidR="00451CC2" w:rsidRDefault="00451CC2" w:rsidP="001335B5">
            <w:pPr>
              <w:pStyle w:val="Tabletext"/>
              <w:rPr>
                <w:rFonts w:eastAsia="Calibri"/>
              </w:rPr>
            </w:pPr>
            <w:r>
              <w:rPr>
                <w:rFonts w:eastAsia="Calibri"/>
              </w:rPr>
              <w:t>RRF 16742</w:t>
            </w:r>
          </w:p>
          <w:p w14:paraId="75E8FB21" w14:textId="77777777" w:rsidR="00451CC2" w:rsidRDefault="00451CC2" w:rsidP="001335B5">
            <w:pPr>
              <w:pStyle w:val="Tabletext"/>
              <w:rPr>
                <w:rFonts w:eastAsia="Calibri"/>
              </w:rPr>
            </w:pPr>
            <w:r>
              <w:rPr>
                <w:rFonts w:eastAsia="Calibri"/>
              </w:rPr>
              <w:t xml:space="preserve"> </w:t>
            </w:r>
          </w:p>
        </w:tc>
        <w:tc>
          <w:tcPr>
            <w:tcW w:w="1380" w:type="dxa"/>
            <w:tcMar>
              <w:top w:w="40" w:type="dxa"/>
              <w:left w:w="40" w:type="dxa"/>
              <w:bottom w:w="40" w:type="dxa"/>
              <w:right w:w="40" w:type="dxa"/>
            </w:tcMar>
            <w:vAlign w:val="center"/>
          </w:tcPr>
          <w:p w14:paraId="05F72564" w14:textId="77777777" w:rsidR="00451CC2" w:rsidRDefault="00451CC2" w:rsidP="001335B5">
            <w:pPr>
              <w:pStyle w:val="Tabletext"/>
              <w:rPr>
                <w:rFonts w:eastAsia="Calibri"/>
              </w:rPr>
            </w:pPr>
            <w:r>
              <w:rPr>
                <w:rFonts w:eastAsia="Calibri"/>
              </w:rPr>
              <w:t>2020 CSR3.9</w:t>
            </w:r>
          </w:p>
          <w:p w14:paraId="75621F4D" w14:textId="77777777" w:rsidR="00451CC2" w:rsidRDefault="00451CC2" w:rsidP="001335B5">
            <w:pPr>
              <w:pStyle w:val="Tabletext"/>
              <w:rPr>
                <w:rFonts w:eastAsia="Calibri"/>
              </w:rPr>
            </w:pPr>
            <w:r>
              <w:rPr>
                <w:rFonts w:eastAsia="Calibri"/>
              </w:rPr>
              <w:t>2019 CSR2.3</w:t>
            </w:r>
          </w:p>
        </w:tc>
        <w:tc>
          <w:tcPr>
            <w:tcW w:w="1575" w:type="dxa"/>
            <w:tcMar>
              <w:top w:w="40" w:type="dxa"/>
              <w:left w:w="40" w:type="dxa"/>
              <w:bottom w:w="40" w:type="dxa"/>
              <w:right w:w="40" w:type="dxa"/>
            </w:tcMar>
            <w:vAlign w:val="center"/>
          </w:tcPr>
          <w:p w14:paraId="5057D318" w14:textId="77777777" w:rsidR="00451CC2" w:rsidRDefault="00451CC2" w:rsidP="001335B5">
            <w:pPr>
              <w:pStyle w:val="Tabletext"/>
              <w:rPr>
                <w:rFonts w:eastAsia="Calibri"/>
              </w:rPr>
            </w:pPr>
            <w:r>
              <w:rPr>
                <w:rFonts w:eastAsia="Calibri"/>
              </w:rPr>
              <w:t>Fair green &amp; digital transition</w:t>
            </w:r>
          </w:p>
        </w:tc>
        <w:tc>
          <w:tcPr>
            <w:tcW w:w="2130" w:type="dxa"/>
            <w:tcMar>
              <w:top w:w="0" w:type="dxa"/>
              <w:left w:w="100" w:type="dxa"/>
              <w:bottom w:w="0" w:type="dxa"/>
              <w:right w:w="100" w:type="dxa"/>
            </w:tcMar>
            <w:vAlign w:val="center"/>
          </w:tcPr>
          <w:p w14:paraId="544A1EF4" w14:textId="4C3ED7E8" w:rsidR="00451CC2" w:rsidRDefault="00451CC2" w:rsidP="001335B5">
            <w:pPr>
              <w:pStyle w:val="Tabletext"/>
              <w:rPr>
                <w:rFonts w:eastAsia="Calibri"/>
              </w:rPr>
            </w:pPr>
            <w:r>
              <w:rPr>
                <w:rFonts w:eastAsia="Calibri"/>
              </w:rPr>
              <w:t>On</w:t>
            </w:r>
            <w:r w:rsidR="00662FE8">
              <w:rPr>
                <w:rFonts w:eastAsia="Calibri"/>
              </w:rPr>
              <w:t xml:space="preserve"> </w:t>
            </w:r>
            <w:r>
              <w:rPr>
                <w:rFonts w:eastAsia="Calibri"/>
              </w:rPr>
              <w:t>track</w:t>
            </w:r>
          </w:p>
        </w:tc>
      </w:tr>
      <w:tr w:rsidR="00451CC2" w14:paraId="6099F4BB" w14:textId="77777777" w:rsidTr="007A373B">
        <w:trPr>
          <w:trHeight w:val="170"/>
          <w:jc w:val="center"/>
        </w:trPr>
        <w:tc>
          <w:tcPr>
            <w:tcW w:w="2655" w:type="dxa"/>
            <w:tcMar>
              <w:top w:w="40" w:type="dxa"/>
              <w:left w:w="40" w:type="dxa"/>
              <w:bottom w:w="40" w:type="dxa"/>
              <w:right w:w="40" w:type="dxa"/>
            </w:tcMar>
            <w:vAlign w:val="center"/>
          </w:tcPr>
          <w:p w14:paraId="195FF948" w14:textId="77777777" w:rsidR="00451CC2" w:rsidRPr="00451CC2" w:rsidRDefault="00451CC2" w:rsidP="001335B5">
            <w:pPr>
              <w:pStyle w:val="Tabletext"/>
              <w:rPr>
                <w:rFonts w:eastAsia="Calibri"/>
              </w:rPr>
            </w:pPr>
            <w:r w:rsidRPr="008E2AC6">
              <w:rPr>
                <w:rFonts w:eastAsia="Calibri"/>
                <w:b/>
              </w:rPr>
              <w:t>IΝVESTMENT 2:</w:t>
            </w:r>
            <w:r w:rsidRPr="00451CC2">
              <w:rPr>
                <w:rFonts w:eastAsia="Calibri"/>
              </w:rPr>
              <w:t xml:space="preserve"> Development of large-scale IT systems in accordance with Schengen acquis in the area of border management</w:t>
            </w:r>
          </w:p>
        </w:tc>
        <w:tc>
          <w:tcPr>
            <w:tcW w:w="1500" w:type="dxa"/>
            <w:tcMar>
              <w:top w:w="40" w:type="dxa"/>
              <w:left w:w="40" w:type="dxa"/>
              <w:bottom w:w="40" w:type="dxa"/>
              <w:right w:w="40" w:type="dxa"/>
            </w:tcMar>
            <w:vAlign w:val="center"/>
          </w:tcPr>
          <w:p w14:paraId="11EB01FF" w14:textId="77777777" w:rsidR="00451CC2" w:rsidRDefault="00451CC2" w:rsidP="001335B5">
            <w:pPr>
              <w:pStyle w:val="Tabletext"/>
              <w:rPr>
                <w:rFonts w:eastAsia="Calibri"/>
              </w:rPr>
            </w:pPr>
            <w:r>
              <w:rPr>
                <w:rFonts w:eastAsia="Calibri"/>
              </w:rPr>
              <w:t>MFF</w:t>
            </w:r>
          </w:p>
        </w:tc>
        <w:tc>
          <w:tcPr>
            <w:tcW w:w="1380" w:type="dxa"/>
            <w:tcMar>
              <w:top w:w="40" w:type="dxa"/>
              <w:left w:w="40" w:type="dxa"/>
              <w:bottom w:w="40" w:type="dxa"/>
              <w:right w:w="40" w:type="dxa"/>
            </w:tcMar>
            <w:vAlign w:val="center"/>
          </w:tcPr>
          <w:p w14:paraId="7FB84802" w14:textId="77777777" w:rsidR="00451CC2" w:rsidRDefault="00451CC2" w:rsidP="001335B5">
            <w:pPr>
              <w:pStyle w:val="Tabletext"/>
              <w:rPr>
                <w:rFonts w:eastAsia="Calibri"/>
              </w:rPr>
            </w:pPr>
            <w:r>
              <w:rPr>
                <w:rFonts w:eastAsia="Calibri"/>
              </w:rPr>
              <w:t>2020 CSR3.9</w:t>
            </w:r>
          </w:p>
          <w:p w14:paraId="5BAF73A7" w14:textId="77777777" w:rsidR="00451CC2" w:rsidRDefault="00451CC2" w:rsidP="001335B5">
            <w:pPr>
              <w:pStyle w:val="Tabletext"/>
              <w:rPr>
                <w:rFonts w:eastAsia="Calibri"/>
              </w:rPr>
            </w:pPr>
            <w:r>
              <w:rPr>
                <w:rFonts w:eastAsia="Calibri"/>
              </w:rPr>
              <w:t>2019 CSR2.3</w:t>
            </w:r>
          </w:p>
        </w:tc>
        <w:tc>
          <w:tcPr>
            <w:tcW w:w="1575" w:type="dxa"/>
            <w:tcMar>
              <w:top w:w="40" w:type="dxa"/>
              <w:left w:w="40" w:type="dxa"/>
              <w:bottom w:w="40" w:type="dxa"/>
              <w:right w:w="40" w:type="dxa"/>
            </w:tcMar>
            <w:vAlign w:val="center"/>
          </w:tcPr>
          <w:p w14:paraId="74F4C27A" w14:textId="77777777" w:rsidR="00451CC2" w:rsidRDefault="00451CC2" w:rsidP="001335B5">
            <w:pPr>
              <w:pStyle w:val="Tabletext"/>
              <w:rPr>
                <w:rFonts w:eastAsia="Calibri"/>
              </w:rPr>
            </w:pPr>
            <w:r>
              <w:rPr>
                <w:rFonts w:eastAsia="Calibri"/>
              </w:rPr>
              <w:t>Fair green &amp; digital transition</w:t>
            </w:r>
          </w:p>
        </w:tc>
        <w:tc>
          <w:tcPr>
            <w:tcW w:w="2130" w:type="dxa"/>
            <w:tcMar>
              <w:top w:w="0" w:type="dxa"/>
              <w:left w:w="100" w:type="dxa"/>
              <w:bottom w:w="0" w:type="dxa"/>
              <w:right w:w="100" w:type="dxa"/>
            </w:tcMar>
            <w:vAlign w:val="center"/>
          </w:tcPr>
          <w:p w14:paraId="6CD5C957" w14:textId="35D2C3BB" w:rsidR="00451CC2" w:rsidRDefault="00451CC2" w:rsidP="001335B5">
            <w:pPr>
              <w:pStyle w:val="Tabletext"/>
              <w:rPr>
                <w:rFonts w:eastAsia="Calibri"/>
              </w:rPr>
            </w:pPr>
            <w:r>
              <w:rPr>
                <w:rFonts w:eastAsia="Calibri"/>
              </w:rPr>
              <w:t xml:space="preserve"> On</w:t>
            </w:r>
            <w:r w:rsidR="00662FE8">
              <w:rPr>
                <w:rFonts w:eastAsia="Calibri"/>
              </w:rPr>
              <w:t xml:space="preserve"> </w:t>
            </w:r>
            <w:r>
              <w:rPr>
                <w:rFonts w:eastAsia="Calibri"/>
              </w:rPr>
              <w:t>track</w:t>
            </w:r>
          </w:p>
        </w:tc>
      </w:tr>
    </w:tbl>
    <w:p w14:paraId="0D4E99F4" w14:textId="77777777" w:rsidR="00451CC2" w:rsidRPr="00451CC2" w:rsidRDefault="00451CC2" w:rsidP="000F3F38">
      <w:pPr>
        <w:spacing w:before="120"/>
        <w:rPr>
          <w:rFonts w:eastAsia="Calibri"/>
          <w:highlight w:val="white"/>
          <w:lang w:val="en-US"/>
        </w:rPr>
      </w:pPr>
      <w:r w:rsidRPr="00451CC2">
        <w:rPr>
          <w:rFonts w:eastAsia="Calibri"/>
          <w:highlight w:val="white"/>
          <w:lang w:val="en-US"/>
        </w:rPr>
        <w:t xml:space="preserve">The </w:t>
      </w:r>
      <w:r w:rsidRPr="00451CC2">
        <w:rPr>
          <w:rFonts w:eastAsia="Calibri"/>
          <w:b/>
          <w:highlight w:val="white"/>
          <w:lang w:val="en-US"/>
        </w:rPr>
        <w:t>RRF reform “Digitalization of the Economic Diplomacy Network”</w:t>
      </w:r>
      <w:r w:rsidRPr="00451CC2">
        <w:rPr>
          <w:rFonts w:eastAsia="Calibri"/>
          <w:highlight w:val="white"/>
          <w:lang w:val="en-US"/>
        </w:rPr>
        <w:t xml:space="preserve"> refers to a set of policy reforms, which aim to enhance extroverted economic activity with top-notch digital tools and enablers to be spilled-over to existing and potential exporters. The primary objective of this project is to offer exporting companies with opportunities and means in the form of digital services for advancing their businesses’ outreach to global markets. This reform will provide businesses with digital tools, such as a single digital gateway for exporters, where multiple services will be provided. The completion of the reform was expected by the end of 2026, but due to the unsuccessful outcome of the Electronic International Open Tender (Announcement No. 16725/15-07-2024), where all submitted bids were deemed technically non-compliant and subsequently rejected, is not completed yet. The contract award procedure was officially cancelled by the Contracting Authority (Decision No. 27359/02.12.2024). Given the project’s estimated 17-month implementation period, it was concluded that re-tendering and completing it within the Recovery and Resilience Plan timeframe was no longer feasible. Despite this, the strategic vision behind the reform remains valid, and alternative funding and implementation paths are currently under consideration to support the digital transformation of Greece’s economic diplomacy in the near future.</w:t>
      </w:r>
    </w:p>
    <w:p w14:paraId="1B74EE53" w14:textId="77777777" w:rsidR="00451CC2" w:rsidRPr="00451CC2" w:rsidRDefault="00451CC2" w:rsidP="000F3F38">
      <w:pPr>
        <w:rPr>
          <w:rFonts w:eastAsia="Calibri"/>
          <w:highlight w:val="white"/>
          <w:lang w:val="en-US"/>
        </w:rPr>
      </w:pPr>
      <w:r w:rsidRPr="00451CC2">
        <w:rPr>
          <w:rFonts w:eastAsia="Calibri"/>
          <w:highlight w:val="white"/>
          <w:lang w:val="en-US"/>
        </w:rPr>
        <w:t xml:space="preserve">The </w:t>
      </w:r>
      <w:r w:rsidRPr="00451CC2">
        <w:rPr>
          <w:rFonts w:eastAsia="Calibri"/>
          <w:b/>
          <w:highlight w:val="white"/>
          <w:lang w:val="en-US"/>
        </w:rPr>
        <w:t>“National Strategy for Trade Facilitation”</w:t>
      </w:r>
      <w:r w:rsidRPr="00451CC2">
        <w:rPr>
          <w:rFonts w:eastAsia="Calibri"/>
          <w:highlight w:val="white"/>
          <w:lang w:val="en-US"/>
        </w:rPr>
        <w:t xml:space="preserve"> is a reform which aims at fostering trade by streamlining administrative procedures and developing digital tools that rationalize services through better access for companies operating in Greece to digital services. Its implementation includes a series of actions for reviewing and simplifying existing pre-customs and customs procedures, identifying unnecessary administrative burdens and/or costs for companies, allowing for the establishment of a Single and Integrated IT system (Single Window). The rollout of the Greek Single Window is completed and the relevant Joint Ministerial Decision for its operation has been issued (November 2025). The completion of the reform is expected by the end of 2027. Please refer to </w:t>
      </w:r>
      <w:proofErr w:type="spellStart"/>
      <w:r w:rsidRPr="00451CC2">
        <w:rPr>
          <w:rFonts w:eastAsia="Calibri"/>
          <w:highlight w:val="white"/>
          <w:lang w:val="en-US"/>
        </w:rPr>
        <w:t>CeSaR</w:t>
      </w:r>
      <w:proofErr w:type="spellEnd"/>
      <w:r w:rsidRPr="00451CC2">
        <w:rPr>
          <w:rFonts w:eastAsia="Calibri"/>
          <w:highlight w:val="white"/>
          <w:lang w:val="en-US"/>
        </w:rPr>
        <w:t xml:space="preserve"> - Feb 2026 for more details.</w:t>
      </w:r>
    </w:p>
    <w:p w14:paraId="6FE7A0F8" w14:textId="77777777" w:rsidR="00451CC2" w:rsidRPr="00451CC2" w:rsidRDefault="00451CC2" w:rsidP="000F3F38">
      <w:pPr>
        <w:rPr>
          <w:rFonts w:eastAsia="Calibri"/>
          <w:highlight w:val="white"/>
          <w:lang w:val="en-US"/>
        </w:rPr>
      </w:pPr>
      <w:r w:rsidRPr="00451CC2">
        <w:rPr>
          <w:rFonts w:eastAsia="Calibri"/>
          <w:highlight w:val="white"/>
          <w:lang w:val="en-US"/>
        </w:rPr>
        <w:t xml:space="preserve">The </w:t>
      </w:r>
      <w:r w:rsidRPr="00451CC2">
        <w:rPr>
          <w:rFonts w:eastAsia="Calibri"/>
          <w:b/>
          <w:highlight w:val="white"/>
          <w:lang w:val="en-US"/>
        </w:rPr>
        <w:t>Digitalization of licensing procedures for the export of controlled items</w:t>
      </w:r>
      <w:r w:rsidRPr="00451CC2">
        <w:rPr>
          <w:rFonts w:eastAsia="Calibri"/>
          <w:highlight w:val="white"/>
          <w:lang w:val="en-US"/>
        </w:rPr>
        <w:t>, includes the creation of a digital platform for issuing certificates/ licenses/ approvals that fall within the competence of the Ministry of Foreign Affairs. The platform will interoperate with the information system of the Single Window of Independent Authority for Public Revenue (IAPR). The Technical Proposal for request of funding through Partnership Agreement 2021-2027 has been submitted to the competent Ministry of Digital Governance and pending approval. This reform is also included in the Trade Facilitation Roadmap for the period 2022-2026. The time of completion of the reform will be defined after the approval of the project.</w:t>
      </w:r>
    </w:p>
    <w:p w14:paraId="24173A7D" w14:textId="77777777" w:rsidR="00451CC2" w:rsidRPr="00451CC2" w:rsidRDefault="00451CC2" w:rsidP="000F3F38">
      <w:pPr>
        <w:rPr>
          <w:rFonts w:eastAsia="Calibri"/>
          <w:highlight w:val="white"/>
          <w:lang w:val="en-US"/>
        </w:rPr>
      </w:pPr>
      <w:r w:rsidRPr="00451CC2">
        <w:rPr>
          <w:rFonts w:eastAsia="Calibri"/>
          <w:highlight w:val="white"/>
          <w:lang w:val="en-US"/>
        </w:rPr>
        <w:t xml:space="preserve">The </w:t>
      </w:r>
      <w:r w:rsidRPr="00451CC2">
        <w:rPr>
          <w:rFonts w:eastAsia="Calibri"/>
          <w:b/>
          <w:highlight w:val="white"/>
          <w:lang w:val="en-US"/>
        </w:rPr>
        <w:t>“National Strategy for Extroversion”</w:t>
      </w:r>
      <w:r w:rsidRPr="00451CC2">
        <w:rPr>
          <w:rFonts w:eastAsia="Calibri"/>
          <w:highlight w:val="white"/>
          <w:lang w:val="en-US"/>
        </w:rPr>
        <w:t xml:space="preserve"> is a reform, designed as a key tool for the MFA in setting tangible and measurable objectives, tailored to the needs of a flexible economic diplomacy policy. Apart from being actively involved in multilateral economic organizations, the </w:t>
      </w:r>
      <w:r w:rsidRPr="00451CC2">
        <w:rPr>
          <w:rFonts w:eastAsia="Calibri"/>
          <w:highlight w:val="white"/>
          <w:lang w:val="en-US"/>
        </w:rPr>
        <w:lastRenderedPageBreak/>
        <w:t>venture of implementing an integrated economic diplomacy by the MFA rests on enhancing the economic and commercial position and interests of Greece regionally and internationally, evaluating and reinforcing extroversion structures and attracting foreign investments in targeted sectors of the Greek economy. Based on the updated annual timeframe of this strategic tool, its completion is envisaged by the end of every subsequent year, including 2028. In addition, a Strategic Plan for Extroversion for the period 2026-2030 has been developed in order to highlight priority markets and sectors. At the same time, the Annual Program for Extroversion is developed and implemented on an annual basis. Moreover, Regional Extroversion Offices, which are being launched in Greek Regions, will play a key role in this process, acting as communication channels and support hubs for local businesses seeking to expand into international markets. During the reporting period (May 2025–April 2026), memoranda of cooperation have been signed with the Regions of Crete, Peloponnese, Western Greece, and Central Greece. Furthermore, the Digital Platform “</w:t>
      </w:r>
      <w:proofErr w:type="spellStart"/>
      <w:r w:rsidRPr="00451CC2">
        <w:rPr>
          <w:rFonts w:eastAsia="Calibri"/>
          <w:highlight w:val="white"/>
          <w:lang w:val="en-US"/>
        </w:rPr>
        <w:t>myOEYlive</w:t>
      </w:r>
      <w:proofErr w:type="spellEnd"/>
      <w:r w:rsidRPr="00451CC2">
        <w:rPr>
          <w:rFonts w:eastAsia="Calibri"/>
          <w:highlight w:val="white"/>
          <w:lang w:val="en-US"/>
        </w:rPr>
        <w:t xml:space="preserve">” offers online service to Greek exporters and potential foreign investors to Greece by the Greek Economic and Commercial Affairs Offices (ECAOs) located in Greek embassies and consulates around the world and contributes to upgrading services offered to businesses. It began operating on a pilot basis in six ECAOs in Q1 2025 and has already further expanded to twenty (20) more ECAOs (Q1 2026), with a prospect to expand to all ECAOs (Q3 2026). Please refer to </w:t>
      </w:r>
      <w:proofErr w:type="spellStart"/>
      <w:r w:rsidRPr="00451CC2">
        <w:rPr>
          <w:rFonts w:eastAsia="Calibri"/>
          <w:highlight w:val="white"/>
          <w:lang w:val="en-US"/>
        </w:rPr>
        <w:t>CeSaR</w:t>
      </w:r>
      <w:proofErr w:type="spellEnd"/>
      <w:r w:rsidRPr="00451CC2">
        <w:rPr>
          <w:rFonts w:eastAsia="Calibri"/>
          <w:highlight w:val="white"/>
          <w:lang w:val="en-US"/>
        </w:rPr>
        <w:t xml:space="preserve"> - Feb 2026 for more details.</w:t>
      </w:r>
    </w:p>
    <w:p w14:paraId="2A2B9292" w14:textId="77777777" w:rsidR="00451CC2" w:rsidRPr="00451CC2" w:rsidRDefault="00451CC2" w:rsidP="000F3F38">
      <w:pPr>
        <w:rPr>
          <w:rFonts w:eastAsia="Calibri"/>
          <w:highlight w:val="white"/>
          <w:lang w:val="en-US"/>
        </w:rPr>
      </w:pPr>
      <w:r w:rsidRPr="00451CC2">
        <w:rPr>
          <w:rFonts w:eastAsia="Calibri"/>
          <w:highlight w:val="white"/>
          <w:lang w:val="en-US"/>
        </w:rPr>
        <w:t xml:space="preserve">The transformation of </w:t>
      </w:r>
      <w:r w:rsidRPr="00451CC2">
        <w:rPr>
          <w:rFonts w:eastAsia="Calibri"/>
          <w:b/>
          <w:highlight w:val="white"/>
          <w:lang w:val="en-US"/>
        </w:rPr>
        <w:t>“Enterprise Greece”</w:t>
      </w:r>
      <w:r w:rsidRPr="00451CC2">
        <w:rPr>
          <w:rFonts w:eastAsia="Calibri"/>
          <w:highlight w:val="white"/>
          <w:lang w:val="en-US"/>
        </w:rPr>
        <w:t xml:space="preserve"> into an integrated hub of extroversion, has been announced in Q3 2025. The reform aims to offer </w:t>
      </w:r>
      <w:proofErr w:type="spellStart"/>
      <w:r w:rsidRPr="00451CC2">
        <w:rPr>
          <w:rFonts w:eastAsia="Calibri"/>
          <w:highlight w:val="white"/>
          <w:lang w:val="en-US"/>
        </w:rPr>
        <w:t>specialised</w:t>
      </w:r>
      <w:proofErr w:type="spellEnd"/>
      <w:r w:rsidRPr="00451CC2">
        <w:rPr>
          <w:rFonts w:eastAsia="Calibri"/>
          <w:highlight w:val="white"/>
          <w:lang w:val="en-US"/>
        </w:rPr>
        <w:t xml:space="preserve"> and end-to-end services to businesses and function as a single window for investors and Greek exporters. Additionally, digitalisation of procedures will ensure the operation of Enterprise Greece as a unique access point for exports and investments. In this context, Enterprise Greece </w:t>
      </w:r>
      <w:proofErr w:type="spellStart"/>
      <w:r w:rsidRPr="00451CC2">
        <w:rPr>
          <w:rFonts w:eastAsia="Calibri"/>
          <w:highlight w:val="white"/>
          <w:lang w:val="en-US"/>
        </w:rPr>
        <w:t>i</w:t>
      </w:r>
      <w:proofErr w:type="spellEnd"/>
      <w:r w:rsidRPr="00451CC2">
        <w:rPr>
          <w:rFonts w:eastAsia="Calibri"/>
          <w:highlight w:val="white"/>
          <w:lang w:val="en-US"/>
        </w:rPr>
        <w:t xml:space="preserve">. approved a new </w:t>
      </w:r>
      <w:proofErr w:type="spellStart"/>
      <w:r w:rsidRPr="00451CC2">
        <w:rPr>
          <w:rFonts w:eastAsia="Calibri"/>
          <w:highlight w:val="white"/>
          <w:lang w:val="en-US"/>
        </w:rPr>
        <w:t>organisational</w:t>
      </w:r>
      <w:proofErr w:type="spellEnd"/>
      <w:r w:rsidRPr="00451CC2">
        <w:rPr>
          <w:rFonts w:eastAsia="Calibri"/>
          <w:highlight w:val="white"/>
          <w:lang w:val="en-US"/>
        </w:rPr>
        <w:t xml:space="preserve"> structure, aimed at enhancing internal efficiency through the full integration of digital tools, strengthening the linkages between investment and export activities at both sectoral and geographical levels, and ii. has activated the institution of the “Business Ombudsman” for matters related to extroversion. The completion of the reform is expected by the end of 2027.</w:t>
      </w:r>
    </w:p>
    <w:p w14:paraId="64A2B79D" w14:textId="77777777" w:rsidR="00451CC2" w:rsidRPr="00451CC2" w:rsidRDefault="00451CC2" w:rsidP="000F3F38">
      <w:pPr>
        <w:rPr>
          <w:rFonts w:eastAsia="Calibri"/>
          <w:highlight w:val="white"/>
          <w:lang w:val="en-US"/>
        </w:rPr>
      </w:pPr>
      <w:r w:rsidRPr="00451CC2">
        <w:rPr>
          <w:rFonts w:eastAsia="Calibri"/>
          <w:highlight w:val="white"/>
          <w:lang w:val="en-US"/>
        </w:rPr>
        <w:t xml:space="preserve">The reform of </w:t>
      </w:r>
      <w:r w:rsidRPr="00451CC2">
        <w:rPr>
          <w:rFonts w:eastAsia="Calibri"/>
          <w:b/>
          <w:highlight w:val="white"/>
          <w:lang w:val="en-US"/>
        </w:rPr>
        <w:t>“Export Credit Greece”</w:t>
      </w:r>
      <w:r w:rsidRPr="00451CC2">
        <w:rPr>
          <w:rFonts w:eastAsia="Calibri"/>
          <w:highlight w:val="white"/>
          <w:lang w:val="en-US"/>
        </w:rPr>
        <w:t xml:space="preserve"> includes harmonization with the EU framework for the mandatory transformation of ECG into an Export Credit Agency (ECA), the establishment of two subsidiary companies for short-term credit insurance and factoring, legislative activation of state guarantees and cooperation with the European Investment Bank. The measure has been announced in Q3 2025 and its completion is expected by </w:t>
      </w:r>
      <w:proofErr w:type="spellStart"/>
      <w:r w:rsidRPr="00451CC2">
        <w:rPr>
          <w:rFonts w:eastAsia="Calibri"/>
          <w:highlight w:val="white"/>
          <w:lang w:val="en-US"/>
        </w:rPr>
        <w:t>mid 2027</w:t>
      </w:r>
      <w:proofErr w:type="spellEnd"/>
      <w:r w:rsidRPr="00451CC2">
        <w:rPr>
          <w:rFonts w:eastAsia="Calibri"/>
          <w:highlight w:val="white"/>
          <w:lang w:val="en-US"/>
        </w:rPr>
        <w:t>.</w:t>
      </w:r>
    </w:p>
    <w:p w14:paraId="516AF44D" w14:textId="77777777" w:rsidR="00451CC2" w:rsidRPr="00451CC2" w:rsidRDefault="00451CC2" w:rsidP="000F3F38">
      <w:pPr>
        <w:rPr>
          <w:rFonts w:eastAsia="Calibri"/>
          <w:highlight w:val="white"/>
          <w:lang w:val="en-US"/>
        </w:rPr>
      </w:pPr>
      <w:r w:rsidRPr="00451CC2">
        <w:rPr>
          <w:rFonts w:eastAsia="Calibri"/>
          <w:highlight w:val="white"/>
          <w:lang w:val="en-US"/>
        </w:rPr>
        <w:t xml:space="preserve">The </w:t>
      </w:r>
      <w:r w:rsidRPr="00451CC2">
        <w:rPr>
          <w:rFonts w:eastAsia="Calibri"/>
          <w:b/>
          <w:highlight w:val="white"/>
          <w:lang w:val="en-US"/>
        </w:rPr>
        <w:t>RRF investment “Digital transformation of the Ministry of Foreign Affairs”</w:t>
      </w:r>
      <w:r w:rsidRPr="00451CC2">
        <w:rPr>
          <w:rFonts w:eastAsia="Calibri"/>
          <w:highlight w:val="white"/>
          <w:lang w:val="en-US"/>
        </w:rPr>
        <w:t xml:space="preserve"> aims at the modernization of the MFA through extended digitalization of its operations and IT infrastructures. The project includes (a) the digitization of MFA's Strategic and Operational Planning support system and (b) of the entire contents of the Diplomatic and Historical Archives, (c) the creation of a Global Digital Information Center Platform for exercising more efficiently public and economic diplomacy and (d) the upgrade of Crypto IT &amp; Telecom security infrastructure. The first three sub-projects are under implementation. The completion of all four sub-projects of this investment is expected by the end of April of 2026.</w:t>
      </w:r>
    </w:p>
    <w:p w14:paraId="0F2B07E4" w14:textId="77777777" w:rsidR="00451CC2" w:rsidRPr="00451CC2" w:rsidRDefault="00451CC2" w:rsidP="000F3F38">
      <w:pPr>
        <w:rPr>
          <w:rFonts w:eastAsia="Calibri"/>
          <w:highlight w:val="white"/>
          <w:lang w:val="en-US"/>
        </w:rPr>
      </w:pPr>
      <w:r w:rsidRPr="00451CC2">
        <w:rPr>
          <w:rFonts w:eastAsia="Calibri"/>
          <w:b/>
          <w:highlight w:val="white"/>
          <w:lang w:val="en-US"/>
        </w:rPr>
        <w:lastRenderedPageBreak/>
        <w:t>The development of large-scale IT systems in accordance with Schengen acquis in the area of border management</w:t>
      </w:r>
      <w:r w:rsidRPr="00451CC2">
        <w:rPr>
          <w:rFonts w:eastAsia="Calibri"/>
          <w:highlight w:val="white"/>
          <w:lang w:val="en-US"/>
        </w:rPr>
        <w:t xml:space="preserve"> is an essential investment in facilitating legitimate travel and implementing the new common visa policy. This action contains four integral components, which aim at aligning and upgrading key information systems in order to achieve higher interoperability and security standards [The Entry Exit System (EES), the upgraded national Visa Information System (VIS), the European Travel Information and Authorization System (ETIAS), the implementation of a state-of-the-art Data Centre]. Regarding the above-mentioned components, the project “Maintenance and technical support of the N-VIS information system and its subsystems” is expected to be completed by 31/12/2026. In addition, for the project “Interconnection of the Greek Consular Authorities with the National VIS (N-VIS), the Central VIS (C-VIS) and the EES” an option contract is being implemented until 31/12/2026. Finally, the projects “Creation of the central infrastructure of the National Entry/Exit System (EES)” and “European Travel Information and Authorization System (ETIAS)” are being implemented and are expected to be completed in May 2026 and December 2026 respectively. Overall, the investment is expected to be completed by the end 2026.</w:t>
      </w:r>
    </w:p>
    <w:p w14:paraId="00DA681C" w14:textId="77777777" w:rsidR="00451CC2" w:rsidRPr="001335B5" w:rsidRDefault="001335B5" w:rsidP="00285644">
      <w:pPr>
        <w:pStyle w:val="Heading2"/>
        <w:pBdr>
          <w:bottom w:val="single" w:sz="4" w:space="1" w:color="4F81BD" w:themeColor="accent1"/>
        </w:pBdr>
        <w:spacing w:before="960"/>
        <w:rPr>
          <w:rFonts w:eastAsia="Calibri"/>
          <w:sz w:val="36"/>
          <w:lang w:val="en-US"/>
        </w:rPr>
      </w:pPr>
      <w:bookmarkStart w:id="41" w:name="_Toc227932494"/>
      <w:bookmarkStart w:id="42" w:name="_Toc228279087"/>
      <w:r>
        <w:rPr>
          <w:rFonts w:eastAsia="Calibri"/>
          <w:sz w:val="36"/>
          <w:lang w:val="en-US"/>
        </w:rPr>
        <w:t>M</w:t>
      </w:r>
      <w:r w:rsidRPr="001335B5">
        <w:rPr>
          <w:rFonts w:eastAsia="Calibri"/>
          <w:sz w:val="36"/>
          <w:lang w:val="en-US"/>
        </w:rPr>
        <w:t xml:space="preserve">inistry of </w:t>
      </w:r>
      <w:r>
        <w:rPr>
          <w:rFonts w:eastAsia="Calibri"/>
          <w:sz w:val="36"/>
          <w:lang w:val="en-US"/>
        </w:rPr>
        <w:t>N</w:t>
      </w:r>
      <w:r w:rsidRPr="001335B5">
        <w:rPr>
          <w:rFonts w:eastAsia="Calibri"/>
          <w:sz w:val="36"/>
          <w:lang w:val="en-US"/>
        </w:rPr>
        <w:t xml:space="preserve">ational </w:t>
      </w:r>
      <w:r>
        <w:rPr>
          <w:rFonts w:eastAsia="Calibri"/>
          <w:sz w:val="36"/>
          <w:lang w:val="en-US"/>
        </w:rPr>
        <w:t>D</w:t>
      </w:r>
      <w:r w:rsidRPr="001335B5">
        <w:rPr>
          <w:rFonts w:eastAsia="Calibri"/>
          <w:sz w:val="36"/>
          <w:lang w:val="en-US"/>
        </w:rPr>
        <w:t>efence</w:t>
      </w:r>
      <w:bookmarkEnd w:id="41"/>
      <w:bookmarkEnd w:id="42"/>
    </w:p>
    <w:tbl>
      <w:tblPr>
        <w:tblW w:w="8703" w:type="dxa"/>
        <w:jc w:val="center"/>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Look w:val="04A0" w:firstRow="1" w:lastRow="0" w:firstColumn="1" w:lastColumn="0" w:noHBand="0" w:noVBand="1"/>
      </w:tblPr>
      <w:tblGrid>
        <w:gridCol w:w="3394"/>
        <w:gridCol w:w="1103"/>
        <w:gridCol w:w="1459"/>
        <w:gridCol w:w="1600"/>
        <w:gridCol w:w="1147"/>
      </w:tblGrid>
      <w:tr w:rsidR="00A910FF" w:rsidRPr="00C91BE7" w14:paraId="49D3074E" w14:textId="77777777" w:rsidTr="00F26FA1">
        <w:trPr>
          <w:trHeight w:val="170"/>
          <w:jc w:val="center"/>
        </w:trPr>
        <w:tc>
          <w:tcPr>
            <w:tcW w:w="3394" w:type="dxa"/>
            <w:shd w:val="clear" w:color="000000" w:fill="CFE2F3"/>
            <w:vAlign w:val="center"/>
            <w:hideMark/>
          </w:tcPr>
          <w:p w14:paraId="55D8A913" w14:textId="77777777" w:rsidR="00A910FF" w:rsidRPr="00C91BE7" w:rsidRDefault="00A910FF" w:rsidP="00C91BE7">
            <w:pPr>
              <w:pStyle w:val="Tabletext"/>
              <w:rPr>
                <w:b/>
              </w:rPr>
            </w:pPr>
            <w:r w:rsidRPr="00C91BE7">
              <w:rPr>
                <w:b/>
              </w:rPr>
              <w:t>REFORM / INVESTMENT</w:t>
            </w:r>
          </w:p>
        </w:tc>
        <w:tc>
          <w:tcPr>
            <w:tcW w:w="1103" w:type="dxa"/>
            <w:shd w:val="clear" w:color="000000" w:fill="CFE2F3"/>
            <w:vAlign w:val="center"/>
            <w:hideMark/>
          </w:tcPr>
          <w:p w14:paraId="73DB32DD" w14:textId="77777777" w:rsidR="00A910FF" w:rsidRPr="00C91BE7" w:rsidRDefault="00A910FF" w:rsidP="00C91BE7">
            <w:pPr>
              <w:pStyle w:val="Tabletext"/>
              <w:rPr>
                <w:b/>
              </w:rPr>
            </w:pPr>
            <w:r w:rsidRPr="00C91BE7">
              <w:rPr>
                <w:b/>
              </w:rPr>
              <w:t xml:space="preserve">RRF / MFF </w:t>
            </w:r>
          </w:p>
        </w:tc>
        <w:tc>
          <w:tcPr>
            <w:tcW w:w="1459" w:type="dxa"/>
            <w:tcBorders>
              <w:bottom w:val="single" w:sz="2" w:space="0" w:color="4F81BD" w:themeColor="accent1"/>
            </w:tcBorders>
            <w:shd w:val="clear" w:color="000000" w:fill="CFE2F3"/>
            <w:vAlign w:val="center"/>
            <w:hideMark/>
          </w:tcPr>
          <w:p w14:paraId="3B3B4258" w14:textId="77777777" w:rsidR="00A910FF" w:rsidRPr="00C91BE7" w:rsidRDefault="00A910FF" w:rsidP="00C91BE7">
            <w:pPr>
              <w:pStyle w:val="Tabletext"/>
              <w:rPr>
                <w:b/>
              </w:rPr>
            </w:pPr>
            <w:r w:rsidRPr="00C91BE7">
              <w:rPr>
                <w:b/>
              </w:rPr>
              <w:t xml:space="preserve">CSR </w:t>
            </w:r>
          </w:p>
        </w:tc>
        <w:tc>
          <w:tcPr>
            <w:tcW w:w="1600" w:type="dxa"/>
            <w:shd w:val="clear" w:color="000000" w:fill="CFE2F3"/>
            <w:vAlign w:val="center"/>
            <w:hideMark/>
          </w:tcPr>
          <w:p w14:paraId="6B6CFFC2" w14:textId="77777777" w:rsidR="00A910FF" w:rsidRPr="00C91BE7" w:rsidRDefault="00A910FF" w:rsidP="00C91BE7">
            <w:pPr>
              <w:pStyle w:val="Tabletext"/>
              <w:rPr>
                <w:b/>
              </w:rPr>
            </w:pPr>
            <w:r w:rsidRPr="00C91BE7">
              <w:rPr>
                <w:b/>
              </w:rPr>
              <w:t>COMMON PRIORITIES</w:t>
            </w:r>
          </w:p>
        </w:tc>
        <w:tc>
          <w:tcPr>
            <w:tcW w:w="1147" w:type="dxa"/>
            <w:shd w:val="clear" w:color="000000" w:fill="CFE2F3"/>
            <w:vAlign w:val="center"/>
            <w:hideMark/>
          </w:tcPr>
          <w:p w14:paraId="4F9CB4DB" w14:textId="77777777" w:rsidR="00A910FF" w:rsidRPr="00C91BE7" w:rsidRDefault="00A910FF" w:rsidP="00C91BE7">
            <w:pPr>
              <w:pStyle w:val="Tabletext"/>
              <w:rPr>
                <w:b/>
              </w:rPr>
            </w:pPr>
            <w:r w:rsidRPr="00C91BE7">
              <w:rPr>
                <w:b/>
              </w:rPr>
              <w:t>On-track status</w:t>
            </w:r>
          </w:p>
        </w:tc>
      </w:tr>
      <w:tr w:rsidR="00A910FF" w:rsidRPr="00C91BE7" w14:paraId="392F5887" w14:textId="77777777" w:rsidTr="00F26FA1">
        <w:trPr>
          <w:trHeight w:val="170"/>
          <w:jc w:val="center"/>
        </w:trPr>
        <w:tc>
          <w:tcPr>
            <w:tcW w:w="3394" w:type="dxa"/>
            <w:vMerge w:val="restart"/>
            <w:vAlign w:val="center"/>
            <w:hideMark/>
          </w:tcPr>
          <w:p w14:paraId="3FCC1BB2" w14:textId="77777777" w:rsidR="00A910FF" w:rsidRPr="00C91BE7" w:rsidRDefault="00540671" w:rsidP="00C91BE7">
            <w:pPr>
              <w:pStyle w:val="Tabletext"/>
            </w:pPr>
            <w:r w:rsidRPr="00540671">
              <w:rPr>
                <w:b/>
              </w:rPr>
              <w:t>REFORM 1:</w:t>
            </w:r>
            <w:r w:rsidR="00A910FF" w:rsidRPr="00C91BE7">
              <w:t xml:space="preserve"> Enhancing Domestic National </w:t>
            </w:r>
            <w:r w:rsidR="00B913EE">
              <w:t>Defence</w:t>
            </w:r>
            <w:r w:rsidR="00A910FF" w:rsidRPr="00C91BE7">
              <w:t xml:space="preserve"> Industry with the contribution of the Hellenic Centre for </w:t>
            </w:r>
            <w:r w:rsidR="00B913EE">
              <w:t>Defence</w:t>
            </w:r>
            <w:r w:rsidR="00A910FF" w:rsidRPr="00C91BE7">
              <w:t xml:space="preserve"> Innovation (HCDI) - (ELKAK)</w:t>
            </w:r>
          </w:p>
        </w:tc>
        <w:tc>
          <w:tcPr>
            <w:tcW w:w="1103" w:type="dxa"/>
            <w:vMerge w:val="restart"/>
            <w:vAlign w:val="center"/>
            <w:hideMark/>
          </w:tcPr>
          <w:p w14:paraId="144F45C5" w14:textId="77777777" w:rsidR="00A910FF" w:rsidRPr="00C91BE7" w:rsidRDefault="00A910FF" w:rsidP="00C91BE7">
            <w:pPr>
              <w:pStyle w:val="Tabletext"/>
            </w:pPr>
            <w:r w:rsidRPr="00C91BE7">
              <w:t>-</w:t>
            </w:r>
          </w:p>
        </w:tc>
        <w:tc>
          <w:tcPr>
            <w:tcW w:w="1459" w:type="dxa"/>
            <w:tcBorders>
              <w:bottom w:val="nil"/>
            </w:tcBorders>
            <w:vAlign w:val="center"/>
            <w:hideMark/>
          </w:tcPr>
          <w:p w14:paraId="403462B2" w14:textId="77777777" w:rsidR="00A910FF" w:rsidRPr="00C91BE7" w:rsidRDefault="00A910FF" w:rsidP="00C91BE7">
            <w:pPr>
              <w:pStyle w:val="Tabletext"/>
            </w:pPr>
            <w:r w:rsidRPr="00C91BE7">
              <w:t>2020 CSR 3.3</w:t>
            </w:r>
          </w:p>
        </w:tc>
        <w:tc>
          <w:tcPr>
            <w:tcW w:w="1600" w:type="dxa"/>
            <w:vMerge w:val="restart"/>
            <w:vAlign w:val="center"/>
            <w:hideMark/>
          </w:tcPr>
          <w:p w14:paraId="34BB0F1F" w14:textId="77777777" w:rsidR="00A910FF" w:rsidRPr="00C91BE7" w:rsidRDefault="00B913EE" w:rsidP="00C91BE7">
            <w:pPr>
              <w:pStyle w:val="Tabletext"/>
            </w:pPr>
            <w:r>
              <w:t>Defence</w:t>
            </w:r>
            <w:r w:rsidR="00A910FF" w:rsidRPr="00C91BE7">
              <w:t xml:space="preserve"> Capabilities</w:t>
            </w:r>
          </w:p>
        </w:tc>
        <w:tc>
          <w:tcPr>
            <w:tcW w:w="1147" w:type="dxa"/>
            <w:vMerge w:val="restart"/>
            <w:vAlign w:val="center"/>
            <w:hideMark/>
          </w:tcPr>
          <w:p w14:paraId="073FE48B" w14:textId="77777777" w:rsidR="00A910FF" w:rsidRPr="00C91BE7" w:rsidRDefault="00A910FF" w:rsidP="00C91BE7">
            <w:pPr>
              <w:pStyle w:val="Tabletext"/>
            </w:pPr>
            <w:r w:rsidRPr="00C91BE7">
              <w:t>On track</w:t>
            </w:r>
          </w:p>
        </w:tc>
      </w:tr>
      <w:tr w:rsidR="00A910FF" w:rsidRPr="00C91BE7" w14:paraId="52CFCC75" w14:textId="77777777" w:rsidTr="00F26FA1">
        <w:trPr>
          <w:trHeight w:val="170"/>
          <w:jc w:val="center"/>
        </w:trPr>
        <w:tc>
          <w:tcPr>
            <w:tcW w:w="3394" w:type="dxa"/>
            <w:vMerge/>
            <w:vAlign w:val="center"/>
            <w:hideMark/>
          </w:tcPr>
          <w:p w14:paraId="6863F713" w14:textId="77777777" w:rsidR="00A910FF" w:rsidRPr="00C91BE7" w:rsidRDefault="00A910FF" w:rsidP="00C91BE7">
            <w:pPr>
              <w:pStyle w:val="Tabletext"/>
            </w:pPr>
          </w:p>
        </w:tc>
        <w:tc>
          <w:tcPr>
            <w:tcW w:w="1103" w:type="dxa"/>
            <w:vMerge/>
            <w:vAlign w:val="center"/>
            <w:hideMark/>
          </w:tcPr>
          <w:p w14:paraId="5E0A9168" w14:textId="77777777" w:rsidR="00A910FF" w:rsidRPr="00C91BE7" w:rsidRDefault="00A910FF" w:rsidP="00C91BE7">
            <w:pPr>
              <w:pStyle w:val="Tabletext"/>
            </w:pPr>
          </w:p>
        </w:tc>
        <w:tc>
          <w:tcPr>
            <w:tcW w:w="1459" w:type="dxa"/>
            <w:tcBorders>
              <w:top w:val="nil"/>
              <w:bottom w:val="single" w:sz="2" w:space="0" w:color="4F81BD" w:themeColor="accent1"/>
            </w:tcBorders>
            <w:vAlign w:val="center"/>
            <w:hideMark/>
          </w:tcPr>
          <w:p w14:paraId="56792623" w14:textId="77777777" w:rsidR="00A910FF" w:rsidRPr="00C91BE7" w:rsidRDefault="00A910FF" w:rsidP="00C91BE7">
            <w:pPr>
              <w:pStyle w:val="Tabletext"/>
            </w:pPr>
            <w:r w:rsidRPr="00C91BE7">
              <w:t>2019 CSR 2.4</w:t>
            </w:r>
          </w:p>
        </w:tc>
        <w:tc>
          <w:tcPr>
            <w:tcW w:w="1600" w:type="dxa"/>
            <w:vMerge/>
            <w:vAlign w:val="center"/>
            <w:hideMark/>
          </w:tcPr>
          <w:p w14:paraId="00B8E103" w14:textId="77777777" w:rsidR="00A910FF" w:rsidRPr="00C91BE7" w:rsidRDefault="00A910FF" w:rsidP="00C91BE7">
            <w:pPr>
              <w:pStyle w:val="Tabletext"/>
            </w:pPr>
          </w:p>
        </w:tc>
        <w:tc>
          <w:tcPr>
            <w:tcW w:w="1147" w:type="dxa"/>
            <w:vMerge/>
            <w:vAlign w:val="center"/>
            <w:hideMark/>
          </w:tcPr>
          <w:p w14:paraId="4F9CF0D4" w14:textId="77777777" w:rsidR="00A910FF" w:rsidRPr="00C91BE7" w:rsidRDefault="00A910FF" w:rsidP="00C91BE7">
            <w:pPr>
              <w:pStyle w:val="Tabletext"/>
            </w:pPr>
          </w:p>
        </w:tc>
      </w:tr>
      <w:tr w:rsidR="00A910FF" w:rsidRPr="00C91BE7" w14:paraId="787D235F" w14:textId="77777777" w:rsidTr="00F26FA1">
        <w:trPr>
          <w:trHeight w:val="170"/>
          <w:jc w:val="center"/>
        </w:trPr>
        <w:tc>
          <w:tcPr>
            <w:tcW w:w="3394" w:type="dxa"/>
            <w:vMerge w:val="restart"/>
            <w:vAlign w:val="center"/>
            <w:hideMark/>
          </w:tcPr>
          <w:p w14:paraId="08E388D6" w14:textId="77777777" w:rsidR="00A910FF" w:rsidRPr="00C91BE7" w:rsidRDefault="00540671" w:rsidP="00C91BE7">
            <w:pPr>
              <w:pStyle w:val="Tabletext"/>
            </w:pPr>
            <w:r w:rsidRPr="00540671">
              <w:rPr>
                <w:b/>
              </w:rPr>
              <w:t>REFORM 2:</w:t>
            </w:r>
            <w:r w:rsidR="00A910FF" w:rsidRPr="00C91BE7">
              <w:t xml:space="preserve"> Increase training capacity provided to Military Personnel reserve force and conscripts </w:t>
            </w:r>
          </w:p>
        </w:tc>
        <w:tc>
          <w:tcPr>
            <w:tcW w:w="1103" w:type="dxa"/>
            <w:vMerge w:val="restart"/>
            <w:vAlign w:val="center"/>
            <w:hideMark/>
          </w:tcPr>
          <w:p w14:paraId="1C05358A" w14:textId="77777777" w:rsidR="00A910FF" w:rsidRPr="00C91BE7" w:rsidRDefault="00A910FF" w:rsidP="00C91BE7">
            <w:pPr>
              <w:pStyle w:val="Tabletext"/>
            </w:pPr>
            <w:r w:rsidRPr="00C91BE7">
              <w:t> </w:t>
            </w:r>
          </w:p>
        </w:tc>
        <w:tc>
          <w:tcPr>
            <w:tcW w:w="1459" w:type="dxa"/>
            <w:tcBorders>
              <w:bottom w:val="nil"/>
            </w:tcBorders>
            <w:vAlign w:val="center"/>
            <w:hideMark/>
          </w:tcPr>
          <w:p w14:paraId="0EE3A0AA" w14:textId="77777777" w:rsidR="00A910FF" w:rsidRPr="00C91BE7" w:rsidRDefault="00A910FF" w:rsidP="00C91BE7">
            <w:pPr>
              <w:pStyle w:val="Tabletext"/>
            </w:pPr>
            <w:r w:rsidRPr="00C91BE7">
              <w:t>2020 CSR 3.8</w:t>
            </w:r>
          </w:p>
        </w:tc>
        <w:tc>
          <w:tcPr>
            <w:tcW w:w="1600" w:type="dxa"/>
            <w:vMerge w:val="restart"/>
            <w:vAlign w:val="center"/>
            <w:hideMark/>
          </w:tcPr>
          <w:p w14:paraId="4D974FB5" w14:textId="77777777" w:rsidR="00A910FF" w:rsidRPr="00C91BE7" w:rsidRDefault="00B913EE" w:rsidP="00C91BE7">
            <w:pPr>
              <w:pStyle w:val="Tabletext"/>
            </w:pPr>
            <w:r>
              <w:t>Defence</w:t>
            </w:r>
            <w:r w:rsidR="00A910FF" w:rsidRPr="00C91BE7">
              <w:t xml:space="preserve"> Capabilities</w:t>
            </w:r>
          </w:p>
        </w:tc>
        <w:tc>
          <w:tcPr>
            <w:tcW w:w="1147" w:type="dxa"/>
            <w:vMerge w:val="restart"/>
            <w:vAlign w:val="center"/>
            <w:hideMark/>
          </w:tcPr>
          <w:p w14:paraId="40D9A434" w14:textId="77777777" w:rsidR="00A910FF" w:rsidRPr="00C91BE7" w:rsidRDefault="00A910FF" w:rsidP="00C91BE7">
            <w:pPr>
              <w:pStyle w:val="Tabletext"/>
            </w:pPr>
            <w:r w:rsidRPr="00C91BE7">
              <w:t>On track</w:t>
            </w:r>
          </w:p>
        </w:tc>
      </w:tr>
      <w:tr w:rsidR="00A910FF" w:rsidRPr="00C91BE7" w14:paraId="2F1FBE0F" w14:textId="77777777" w:rsidTr="00F26FA1">
        <w:trPr>
          <w:trHeight w:val="170"/>
          <w:jc w:val="center"/>
        </w:trPr>
        <w:tc>
          <w:tcPr>
            <w:tcW w:w="3394" w:type="dxa"/>
            <w:vMerge/>
            <w:vAlign w:val="center"/>
            <w:hideMark/>
          </w:tcPr>
          <w:p w14:paraId="73C2F476" w14:textId="77777777" w:rsidR="00A910FF" w:rsidRPr="00C91BE7" w:rsidRDefault="00A910FF" w:rsidP="00C91BE7">
            <w:pPr>
              <w:pStyle w:val="Tabletext"/>
            </w:pPr>
          </w:p>
        </w:tc>
        <w:tc>
          <w:tcPr>
            <w:tcW w:w="1103" w:type="dxa"/>
            <w:vMerge/>
            <w:vAlign w:val="center"/>
            <w:hideMark/>
          </w:tcPr>
          <w:p w14:paraId="192943F0" w14:textId="77777777" w:rsidR="00A910FF" w:rsidRPr="00C91BE7" w:rsidRDefault="00A910FF" w:rsidP="00C91BE7">
            <w:pPr>
              <w:pStyle w:val="Tabletext"/>
            </w:pPr>
          </w:p>
        </w:tc>
        <w:tc>
          <w:tcPr>
            <w:tcW w:w="1459" w:type="dxa"/>
            <w:tcBorders>
              <w:top w:val="nil"/>
            </w:tcBorders>
            <w:vAlign w:val="center"/>
            <w:hideMark/>
          </w:tcPr>
          <w:p w14:paraId="5F200568" w14:textId="77777777" w:rsidR="00A910FF" w:rsidRPr="00C91BE7" w:rsidRDefault="00A910FF" w:rsidP="00C91BE7">
            <w:pPr>
              <w:pStyle w:val="Tabletext"/>
            </w:pPr>
            <w:r w:rsidRPr="00C91BE7">
              <w:t>2019 CSR 2.6</w:t>
            </w:r>
          </w:p>
        </w:tc>
        <w:tc>
          <w:tcPr>
            <w:tcW w:w="1600" w:type="dxa"/>
            <w:vMerge/>
            <w:vAlign w:val="center"/>
            <w:hideMark/>
          </w:tcPr>
          <w:p w14:paraId="6A7C61F6" w14:textId="77777777" w:rsidR="00A910FF" w:rsidRPr="00C91BE7" w:rsidRDefault="00A910FF" w:rsidP="00C91BE7">
            <w:pPr>
              <w:pStyle w:val="Tabletext"/>
            </w:pPr>
          </w:p>
        </w:tc>
        <w:tc>
          <w:tcPr>
            <w:tcW w:w="1147" w:type="dxa"/>
            <w:vMerge/>
            <w:vAlign w:val="center"/>
            <w:hideMark/>
          </w:tcPr>
          <w:p w14:paraId="40C70BE2" w14:textId="77777777" w:rsidR="00A910FF" w:rsidRPr="00C91BE7" w:rsidRDefault="00A910FF" w:rsidP="00C91BE7">
            <w:pPr>
              <w:pStyle w:val="Tabletext"/>
            </w:pPr>
          </w:p>
        </w:tc>
      </w:tr>
      <w:tr w:rsidR="00A910FF" w:rsidRPr="00C91BE7" w14:paraId="4E780474" w14:textId="77777777" w:rsidTr="0025508C">
        <w:trPr>
          <w:trHeight w:val="170"/>
          <w:jc w:val="center"/>
        </w:trPr>
        <w:tc>
          <w:tcPr>
            <w:tcW w:w="3394" w:type="dxa"/>
            <w:vAlign w:val="center"/>
            <w:hideMark/>
          </w:tcPr>
          <w:p w14:paraId="6FCB20EF" w14:textId="77777777" w:rsidR="00A910FF" w:rsidRPr="00C91BE7" w:rsidRDefault="00540671" w:rsidP="00C91BE7">
            <w:pPr>
              <w:pStyle w:val="Tabletext"/>
            </w:pPr>
            <w:r w:rsidRPr="00540671">
              <w:rPr>
                <w:b/>
              </w:rPr>
              <w:t>REFORM 3:</w:t>
            </w:r>
            <w:r w:rsidR="00A910FF" w:rsidRPr="00C91BE7">
              <w:t xml:space="preserve"> Adjustment of Civilian Sector's Operational Planning and Emergency Procedures</w:t>
            </w:r>
          </w:p>
        </w:tc>
        <w:tc>
          <w:tcPr>
            <w:tcW w:w="1103" w:type="dxa"/>
            <w:vAlign w:val="center"/>
            <w:hideMark/>
          </w:tcPr>
          <w:p w14:paraId="5EBB68B5" w14:textId="77777777" w:rsidR="00A910FF" w:rsidRPr="00C91BE7" w:rsidRDefault="00A910FF" w:rsidP="00C91BE7">
            <w:pPr>
              <w:pStyle w:val="Tabletext"/>
            </w:pPr>
            <w:r w:rsidRPr="00C91BE7">
              <w:t>-</w:t>
            </w:r>
          </w:p>
        </w:tc>
        <w:tc>
          <w:tcPr>
            <w:tcW w:w="1459" w:type="dxa"/>
            <w:vAlign w:val="center"/>
            <w:hideMark/>
          </w:tcPr>
          <w:p w14:paraId="56ACD992" w14:textId="77777777" w:rsidR="00A910FF" w:rsidRPr="00C91BE7" w:rsidRDefault="00A910FF" w:rsidP="00C91BE7">
            <w:pPr>
              <w:pStyle w:val="Tabletext"/>
            </w:pPr>
            <w:r w:rsidRPr="00C91BE7">
              <w:t>2025 CSR 4.6</w:t>
            </w:r>
          </w:p>
        </w:tc>
        <w:tc>
          <w:tcPr>
            <w:tcW w:w="1600" w:type="dxa"/>
            <w:vAlign w:val="center"/>
            <w:hideMark/>
          </w:tcPr>
          <w:p w14:paraId="40238C82" w14:textId="77777777" w:rsidR="00A910FF" w:rsidRPr="00C91BE7" w:rsidRDefault="00B913EE" w:rsidP="00C91BE7">
            <w:pPr>
              <w:pStyle w:val="Tabletext"/>
            </w:pPr>
            <w:r>
              <w:t>Defence</w:t>
            </w:r>
            <w:r w:rsidR="00A910FF" w:rsidRPr="00C91BE7">
              <w:t xml:space="preserve"> Capabilities</w:t>
            </w:r>
          </w:p>
        </w:tc>
        <w:tc>
          <w:tcPr>
            <w:tcW w:w="1147" w:type="dxa"/>
            <w:vAlign w:val="center"/>
            <w:hideMark/>
          </w:tcPr>
          <w:p w14:paraId="2ED2223B" w14:textId="77777777" w:rsidR="00A910FF" w:rsidRPr="00C91BE7" w:rsidRDefault="00A910FF" w:rsidP="00C91BE7">
            <w:pPr>
              <w:pStyle w:val="Tabletext"/>
            </w:pPr>
            <w:r w:rsidRPr="00C91BE7">
              <w:t>On track</w:t>
            </w:r>
          </w:p>
        </w:tc>
      </w:tr>
      <w:tr w:rsidR="00A910FF" w:rsidRPr="00C91BE7" w14:paraId="484B546E" w14:textId="77777777" w:rsidTr="0025508C">
        <w:trPr>
          <w:trHeight w:val="170"/>
          <w:jc w:val="center"/>
        </w:trPr>
        <w:tc>
          <w:tcPr>
            <w:tcW w:w="3394" w:type="dxa"/>
            <w:vAlign w:val="center"/>
            <w:hideMark/>
          </w:tcPr>
          <w:p w14:paraId="6D4FB9DE" w14:textId="77777777" w:rsidR="00A910FF" w:rsidRPr="00C91BE7" w:rsidRDefault="00540671" w:rsidP="00C91BE7">
            <w:pPr>
              <w:pStyle w:val="Tabletext"/>
            </w:pPr>
            <w:r w:rsidRPr="00540671">
              <w:rPr>
                <w:b/>
              </w:rPr>
              <w:t>REFORM 4:</w:t>
            </w:r>
            <w:r w:rsidR="00A910FF" w:rsidRPr="00C91BE7">
              <w:t xml:space="preserve"> International </w:t>
            </w:r>
            <w:r w:rsidR="00B913EE">
              <w:t>Defence</w:t>
            </w:r>
            <w:r w:rsidR="00A910FF" w:rsidRPr="00C91BE7">
              <w:t xml:space="preserve"> and military cooperation through Bilateral </w:t>
            </w:r>
            <w:r w:rsidR="00B913EE">
              <w:t>Defence</w:t>
            </w:r>
            <w:r w:rsidR="00A910FF" w:rsidRPr="00C91BE7">
              <w:t xml:space="preserve"> Cooperation Agreements and Programs</w:t>
            </w:r>
          </w:p>
        </w:tc>
        <w:tc>
          <w:tcPr>
            <w:tcW w:w="1103" w:type="dxa"/>
            <w:vAlign w:val="center"/>
            <w:hideMark/>
          </w:tcPr>
          <w:p w14:paraId="269A70C9" w14:textId="77777777" w:rsidR="00A910FF" w:rsidRPr="00C91BE7" w:rsidRDefault="00A910FF" w:rsidP="00C91BE7">
            <w:pPr>
              <w:pStyle w:val="Tabletext"/>
            </w:pPr>
            <w:r w:rsidRPr="00C91BE7">
              <w:t>-</w:t>
            </w:r>
          </w:p>
        </w:tc>
        <w:tc>
          <w:tcPr>
            <w:tcW w:w="1459" w:type="dxa"/>
            <w:vAlign w:val="center"/>
            <w:hideMark/>
          </w:tcPr>
          <w:p w14:paraId="0DE5A1AB" w14:textId="77777777" w:rsidR="00A910FF" w:rsidRPr="00C91BE7" w:rsidRDefault="00A910FF" w:rsidP="00C91BE7">
            <w:pPr>
              <w:pStyle w:val="Tabletext"/>
            </w:pPr>
            <w:r w:rsidRPr="00C91BE7">
              <w:t>-</w:t>
            </w:r>
          </w:p>
        </w:tc>
        <w:tc>
          <w:tcPr>
            <w:tcW w:w="1600" w:type="dxa"/>
            <w:vAlign w:val="center"/>
            <w:hideMark/>
          </w:tcPr>
          <w:p w14:paraId="3D77DE02" w14:textId="77777777" w:rsidR="00A910FF" w:rsidRPr="00C91BE7" w:rsidRDefault="00B913EE" w:rsidP="00C91BE7">
            <w:pPr>
              <w:pStyle w:val="Tabletext"/>
            </w:pPr>
            <w:r>
              <w:t>Defence</w:t>
            </w:r>
            <w:r w:rsidR="00A910FF" w:rsidRPr="00C91BE7">
              <w:t xml:space="preserve"> Capabilities</w:t>
            </w:r>
          </w:p>
        </w:tc>
        <w:tc>
          <w:tcPr>
            <w:tcW w:w="1147" w:type="dxa"/>
            <w:vAlign w:val="center"/>
            <w:hideMark/>
          </w:tcPr>
          <w:p w14:paraId="3A8CD81B" w14:textId="77777777" w:rsidR="00A910FF" w:rsidRPr="00C91BE7" w:rsidRDefault="00A910FF" w:rsidP="00C91BE7">
            <w:pPr>
              <w:pStyle w:val="Tabletext"/>
            </w:pPr>
            <w:r w:rsidRPr="00C91BE7">
              <w:t>On track</w:t>
            </w:r>
          </w:p>
        </w:tc>
      </w:tr>
      <w:tr w:rsidR="00A910FF" w:rsidRPr="00C91BE7" w14:paraId="438BD176" w14:textId="77777777" w:rsidTr="0025508C">
        <w:trPr>
          <w:trHeight w:val="170"/>
          <w:jc w:val="center"/>
        </w:trPr>
        <w:tc>
          <w:tcPr>
            <w:tcW w:w="3394" w:type="dxa"/>
            <w:vAlign w:val="center"/>
            <w:hideMark/>
          </w:tcPr>
          <w:p w14:paraId="0CF2EAE3" w14:textId="77777777" w:rsidR="00A910FF" w:rsidRPr="00C91BE7" w:rsidRDefault="00A910FF" w:rsidP="00C91BE7">
            <w:pPr>
              <w:pStyle w:val="Tabletext"/>
            </w:pPr>
            <w:r w:rsidRPr="00802ADB">
              <w:rPr>
                <w:b/>
              </w:rPr>
              <w:t>IΝVESTMENT 1:</w:t>
            </w:r>
            <w:r w:rsidRPr="00C91BE7">
              <w:t xml:space="preserve"> Implementation of the Medium Term </w:t>
            </w:r>
            <w:r w:rsidR="00B913EE">
              <w:t>Defence</w:t>
            </w:r>
            <w:r w:rsidRPr="00C91BE7">
              <w:t xml:space="preserve"> Equipment Plan in terms of upgrading capability, armament and planning</w:t>
            </w:r>
          </w:p>
        </w:tc>
        <w:tc>
          <w:tcPr>
            <w:tcW w:w="1103" w:type="dxa"/>
            <w:vAlign w:val="center"/>
            <w:hideMark/>
          </w:tcPr>
          <w:p w14:paraId="5E29C1A8" w14:textId="77777777" w:rsidR="00A910FF" w:rsidRPr="00C91BE7" w:rsidRDefault="00A910FF" w:rsidP="00C91BE7">
            <w:pPr>
              <w:pStyle w:val="Tabletext"/>
            </w:pPr>
            <w:r w:rsidRPr="00C91BE7">
              <w:t>-</w:t>
            </w:r>
          </w:p>
        </w:tc>
        <w:tc>
          <w:tcPr>
            <w:tcW w:w="1459" w:type="dxa"/>
            <w:vAlign w:val="center"/>
            <w:hideMark/>
          </w:tcPr>
          <w:p w14:paraId="02F736E8" w14:textId="77777777" w:rsidR="00A910FF" w:rsidRPr="00C91BE7" w:rsidRDefault="00A910FF" w:rsidP="00C91BE7">
            <w:pPr>
              <w:pStyle w:val="Tabletext"/>
            </w:pPr>
            <w:r w:rsidRPr="00C91BE7">
              <w:t>-</w:t>
            </w:r>
          </w:p>
        </w:tc>
        <w:tc>
          <w:tcPr>
            <w:tcW w:w="1600" w:type="dxa"/>
            <w:vAlign w:val="center"/>
            <w:hideMark/>
          </w:tcPr>
          <w:p w14:paraId="610212D5" w14:textId="77777777" w:rsidR="00A910FF" w:rsidRPr="00C91BE7" w:rsidRDefault="00B913EE" w:rsidP="00C91BE7">
            <w:pPr>
              <w:pStyle w:val="Tabletext"/>
            </w:pPr>
            <w:r>
              <w:t>Defence</w:t>
            </w:r>
            <w:r w:rsidR="00A910FF" w:rsidRPr="00C91BE7">
              <w:t xml:space="preserve"> Capabilities</w:t>
            </w:r>
          </w:p>
        </w:tc>
        <w:tc>
          <w:tcPr>
            <w:tcW w:w="1147" w:type="dxa"/>
            <w:vAlign w:val="center"/>
            <w:hideMark/>
          </w:tcPr>
          <w:p w14:paraId="27996A32" w14:textId="77777777" w:rsidR="00A910FF" w:rsidRPr="00C91BE7" w:rsidRDefault="00A910FF" w:rsidP="00C91BE7">
            <w:pPr>
              <w:pStyle w:val="Tabletext"/>
            </w:pPr>
            <w:r w:rsidRPr="00C91BE7">
              <w:t>On track</w:t>
            </w:r>
          </w:p>
        </w:tc>
      </w:tr>
      <w:tr w:rsidR="00A910FF" w:rsidRPr="00C91BE7" w14:paraId="24E390BD" w14:textId="77777777" w:rsidTr="0025508C">
        <w:trPr>
          <w:trHeight w:val="170"/>
          <w:jc w:val="center"/>
        </w:trPr>
        <w:tc>
          <w:tcPr>
            <w:tcW w:w="3394" w:type="dxa"/>
            <w:vAlign w:val="center"/>
            <w:hideMark/>
          </w:tcPr>
          <w:p w14:paraId="65EF78C7" w14:textId="77777777" w:rsidR="00A910FF" w:rsidRPr="00C91BE7" w:rsidRDefault="00A910FF" w:rsidP="00C91BE7">
            <w:pPr>
              <w:pStyle w:val="Tabletext"/>
            </w:pPr>
            <w:r w:rsidRPr="00802ADB">
              <w:rPr>
                <w:b/>
              </w:rPr>
              <w:t>IΝVESTMENT 2:</w:t>
            </w:r>
            <w:r w:rsidRPr="00C91BE7">
              <w:t xml:space="preserve"> Provision of all-terrain surveillance vehicles by the Armed Forces to address the needs of border management</w:t>
            </w:r>
          </w:p>
        </w:tc>
        <w:tc>
          <w:tcPr>
            <w:tcW w:w="1103" w:type="dxa"/>
            <w:vAlign w:val="center"/>
            <w:hideMark/>
          </w:tcPr>
          <w:p w14:paraId="2EF94D20" w14:textId="77777777" w:rsidR="00A910FF" w:rsidRPr="00C91BE7" w:rsidRDefault="00A910FF" w:rsidP="00C91BE7">
            <w:pPr>
              <w:pStyle w:val="Tabletext"/>
            </w:pPr>
            <w:r w:rsidRPr="00C91BE7">
              <w:t>MFF</w:t>
            </w:r>
          </w:p>
        </w:tc>
        <w:tc>
          <w:tcPr>
            <w:tcW w:w="1459" w:type="dxa"/>
            <w:vAlign w:val="center"/>
            <w:hideMark/>
          </w:tcPr>
          <w:p w14:paraId="2D108E81" w14:textId="77777777" w:rsidR="00A910FF" w:rsidRPr="00C91BE7" w:rsidRDefault="00A910FF" w:rsidP="00C91BE7">
            <w:pPr>
              <w:pStyle w:val="Tabletext"/>
            </w:pPr>
            <w:r w:rsidRPr="00C91BE7">
              <w:t>-</w:t>
            </w:r>
          </w:p>
        </w:tc>
        <w:tc>
          <w:tcPr>
            <w:tcW w:w="1600" w:type="dxa"/>
            <w:vAlign w:val="center"/>
            <w:hideMark/>
          </w:tcPr>
          <w:p w14:paraId="6F37C872" w14:textId="77777777" w:rsidR="00A910FF" w:rsidRPr="00C91BE7" w:rsidRDefault="00B913EE" w:rsidP="00C91BE7">
            <w:pPr>
              <w:pStyle w:val="Tabletext"/>
            </w:pPr>
            <w:r>
              <w:t>Defence</w:t>
            </w:r>
            <w:r w:rsidR="00A910FF" w:rsidRPr="00C91BE7">
              <w:t xml:space="preserve"> Capabilities</w:t>
            </w:r>
          </w:p>
        </w:tc>
        <w:tc>
          <w:tcPr>
            <w:tcW w:w="1147" w:type="dxa"/>
            <w:vAlign w:val="center"/>
            <w:hideMark/>
          </w:tcPr>
          <w:p w14:paraId="4A11B899" w14:textId="77777777" w:rsidR="00A910FF" w:rsidRPr="00C91BE7" w:rsidRDefault="00A910FF" w:rsidP="00C91BE7">
            <w:pPr>
              <w:pStyle w:val="Tabletext"/>
            </w:pPr>
            <w:r w:rsidRPr="00C91BE7">
              <w:t>Delayed</w:t>
            </w:r>
          </w:p>
        </w:tc>
      </w:tr>
      <w:tr w:rsidR="00A910FF" w:rsidRPr="00C91BE7" w14:paraId="5ECE3B84" w14:textId="77777777" w:rsidTr="0025508C">
        <w:trPr>
          <w:trHeight w:val="170"/>
          <w:jc w:val="center"/>
        </w:trPr>
        <w:tc>
          <w:tcPr>
            <w:tcW w:w="3394" w:type="dxa"/>
            <w:vAlign w:val="center"/>
            <w:hideMark/>
          </w:tcPr>
          <w:p w14:paraId="49345D41" w14:textId="77777777" w:rsidR="00A910FF" w:rsidRPr="00C91BE7" w:rsidRDefault="00A910FF" w:rsidP="00C91BE7">
            <w:pPr>
              <w:pStyle w:val="Tabletext"/>
            </w:pPr>
            <w:r w:rsidRPr="006728AD">
              <w:rPr>
                <w:b/>
              </w:rPr>
              <w:t>IΝVESTMENT 3:</w:t>
            </w:r>
            <w:r w:rsidRPr="00C91BE7">
              <w:t xml:space="preserve"> Provision of Maritime Border Surveillance Systems by the Armed Forces</w:t>
            </w:r>
          </w:p>
        </w:tc>
        <w:tc>
          <w:tcPr>
            <w:tcW w:w="1103" w:type="dxa"/>
            <w:vAlign w:val="center"/>
            <w:hideMark/>
          </w:tcPr>
          <w:p w14:paraId="78EA6219" w14:textId="77777777" w:rsidR="00A910FF" w:rsidRPr="00C91BE7" w:rsidRDefault="00A910FF" w:rsidP="00C91BE7">
            <w:pPr>
              <w:pStyle w:val="Tabletext"/>
            </w:pPr>
            <w:r w:rsidRPr="00C91BE7">
              <w:t>MFF</w:t>
            </w:r>
          </w:p>
        </w:tc>
        <w:tc>
          <w:tcPr>
            <w:tcW w:w="1459" w:type="dxa"/>
            <w:vAlign w:val="center"/>
            <w:hideMark/>
          </w:tcPr>
          <w:p w14:paraId="52C250F7" w14:textId="77777777" w:rsidR="00A910FF" w:rsidRPr="00C91BE7" w:rsidRDefault="00A910FF" w:rsidP="00C91BE7">
            <w:pPr>
              <w:pStyle w:val="Tabletext"/>
            </w:pPr>
            <w:r w:rsidRPr="00C91BE7">
              <w:t>-</w:t>
            </w:r>
          </w:p>
        </w:tc>
        <w:tc>
          <w:tcPr>
            <w:tcW w:w="1600" w:type="dxa"/>
            <w:vAlign w:val="center"/>
            <w:hideMark/>
          </w:tcPr>
          <w:p w14:paraId="03A9058D" w14:textId="77777777" w:rsidR="00A910FF" w:rsidRPr="00C91BE7" w:rsidRDefault="00B913EE" w:rsidP="00C91BE7">
            <w:pPr>
              <w:pStyle w:val="Tabletext"/>
            </w:pPr>
            <w:r>
              <w:t>Defence</w:t>
            </w:r>
            <w:r w:rsidR="00A910FF" w:rsidRPr="00C91BE7">
              <w:t xml:space="preserve"> Capabilities</w:t>
            </w:r>
          </w:p>
        </w:tc>
        <w:tc>
          <w:tcPr>
            <w:tcW w:w="1147" w:type="dxa"/>
            <w:vAlign w:val="center"/>
            <w:hideMark/>
          </w:tcPr>
          <w:p w14:paraId="0646A255" w14:textId="77777777" w:rsidR="00A910FF" w:rsidRPr="00C91BE7" w:rsidRDefault="00A910FF" w:rsidP="00C91BE7">
            <w:pPr>
              <w:pStyle w:val="Tabletext"/>
            </w:pPr>
            <w:r w:rsidRPr="00C91BE7">
              <w:t>On track</w:t>
            </w:r>
          </w:p>
        </w:tc>
      </w:tr>
      <w:tr w:rsidR="00A910FF" w:rsidRPr="00C91BE7" w14:paraId="7D9C9C8C" w14:textId="77777777" w:rsidTr="0025508C">
        <w:trPr>
          <w:trHeight w:val="170"/>
          <w:jc w:val="center"/>
        </w:trPr>
        <w:tc>
          <w:tcPr>
            <w:tcW w:w="3394" w:type="dxa"/>
            <w:vAlign w:val="center"/>
            <w:hideMark/>
          </w:tcPr>
          <w:p w14:paraId="28CE3057" w14:textId="77777777" w:rsidR="00A910FF" w:rsidRPr="00C91BE7" w:rsidRDefault="00A910FF" w:rsidP="00C91BE7">
            <w:pPr>
              <w:pStyle w:val="Tabletext"/>
            </w:pPr>
            <w:r w:rsidRPr="006728AD">
              <w:rPr>
                <w:b/>
              </w:rPr>
              <w:lastRenderedPageBreak/>
              <w:t>IΝVESTMENT 4:</w:t>
            </w:r>
            <w:r w:rsidRPr="00C91BE7">
              <w:t xml:space="preserve"> Provision of Unmanned Aerial Systems for border surveillance by the Armed Forces</w:t>
            </w:r>
          </w:p>
        </w:tc>
        <w:tc>
          <w:tcPr>
            <w:tcW w:w="1103" w:type="dxa"/>
            <w:vAlign w:val="center"/>
            <w:hideMark/>
          </w:tcPr>
          <w:p w14:paraId="092136FA" w14:textId="77777777" w:rsidR="00A910FF" w:rsidRPr="00C91BE7" w:rsidRDefault="00A910FF" w:rsidP="00C91BE7">
            <w:pPr>
              <w:pStyle w:val="Tabletext"/>
            </w:pPr>
            <w:r w:rsidRPr="00C91BE7">
              <w:t>MFF</w:t>
            </w:r>
          </w:p>
        </w:tc>
        <w:tc>
          <w:tcPr>
            <w:tcW w:w="1459" w:type="dxa"/>
            <w:vAlign w:val="center"/>
            <w:hideMark/>
          </w:tcPr>
          <w:p w14:paraId="5A46BF3A" w14:textId="77777777" w:rsidR="00A910FF" w:rsidRPr="00C91BE7" w:rsidRDefault="00A910FF" w:rsidP="00C91BE7">
            <w:pPr>
              <w:pStyle w:val="Tabletext"/>
            </w:pPr>
            <w:r w:rsidRPr="00C91BE7">
              <w:t>-</w:t>
            </w:r>
          </w:p>
        </w:tc>
        <w:tc>
          <w:tcPr>
            <w:tcW w:w="1600" w:type="dxa"/>
            <w:vAlign w:val="center"/>
            <w:hideMark/>
          </w:tcPr>
          <w:p w14:paraId="67230CED" w14:textId="77777777" w:rsidR="00A910FF" w:rsidRPr="00C91BE7" w:rsidRDefault="00B913EE" w:rsidP="00C91BE7">
            <w:pPr>
              <w:pStyle w:val="Tabletext"/>
            </w:pPr>
            <w:r>
              <w:t>Defence</w:t>
            </w:r>
            <w:r w:rsidR="00A910FF" w:rsidRPr="00C91BE7">
              <w:t xml:space="preserve"> Capabilities</w:t>
            </w:r>
          </w:p>
        </w:tc>
        <w:tc>
          <w:tcPr>
            <w:tcW w:w="1147" w:type="dxa"/>
            <w:vAlign w:val="center"/>
            <w:hideMark/>
          </w:tcPr>
          <w:p w14:paraId="46B3DFC6" w14:textId="77777777" w:rsidR="00A910FF" w:rsidRPr="00C91BE7" w:rsidRDefault="00A910FF" w:rsidP="00C91BE7">
            <w:pPr>
              <w:pStyle w:val="Tabletext"/>
            </w:pPr>
            <w:r w:rsidRPr="00C91BE7">
              <w:t>On track</w:t>
            </w:r>
          </w:p>
        </w:tc>
      </w:tr>
      <w:tr w:rsidR="00A910FF" w:rsidRPr="00C91BE7" w14:paraId="278F5AF2" w14:textId="77777777" w:rsidTr="0025508C">
        <w:trPr>
          <w:trHeight w:val="170"/>
          <w:jc w:val="center"/>
        </w:trPr>
        <w:tc>
          <w:tcPr>
            <w:tcW w:w="3394" w:type="dxa"/>
            <w:vAlign w:val="center"/>
            <w:hideMark/>
          </w:tcPr>
          <w:p w14:paraId="7C2E9D18" w14:textId="77777777" w:rsidR="00A910FF" w:rsidRPr="00C91BE7" w:rsidRDefault="00A910FF" w:rsidP="00C91BE7">
            <w:pPr>
              <w:pStyle w:val="Tabletext"/>
            </w:pPr>
            <w:r w:rsidRPr="006728AD">
              <w:rPr>
                <w:b/>
              </w:rPr>
              <w:t>IΝVESTMENT 5:</w:t>
            </w:r>
            <w:r w:rsidRPr="00C91BE7">
              <w:t xml:space="preserve"> Provision of Search and Rescue (SAR) equipment to enhance the effectiveness of search and rescue operations by the Armed Forces</w:t>
            </w:r>
          </w:p>
        </w:tc>
        <w:tc>
          <w:tcPr>
            <w:tcW w:w="1103" w:type="dxa"/>
            <w:vAlign w:val="center"/>
            <w:hideMark/>
          </w:tcPr>
          <w:p w14:paraId="234D93D6" w14:textId="77777777" w:rsidR="00A910FF" w:rsidRPr="00C91BE7" w:rsidRDefault="00A910FF" w:rsidP="00C91BE7">
            <w:pPr>
              <w:pStyle w:val="Tabletext"/>
            </w:pPr>
            <w:r w:rsidRPr="00C91BE7">
              <w:t>MFF</w:t>
            </w:r>
          </w:p>
        </w:tc>
        <w:tc>
          <w:tcPr>
            <w:tcW w:w="1459" w:type="dxa"/>
            <w:vAlign w:val="center"/>
            <w:hideMark/>
          </w:tcPr>
          <w:p w14:paraId="722D44CB" w14:textId="77777777" w:rsidR="00A910FF" w:rsidRPr="00C91BE7" w:rsidRDefault="00A910FF" w:rsidP="00C91BE7">
            <w:pPr>
              <w:pStyle w:val="Tabletext"/>
            </w:pPr>
            <w:r w:rsidRPr="00C91BE7">
              <w:t>-</w:t>
            </w:r>
          </w:p>
        </w:tc>
        <w:tc>
          <w:tcPr>
            <w:tcW w:w="1600" w:type="dxa"/>
            <w:vAlign w:val="center"/>
            <w:hideMark/>
          </w:tcPr>
          <w:p w14:paraId="4DB50799" w14:textId="77777777" w:rsidR="00A910FF" w:rsidRPr="00C91BE7" w:rsidRDefault="00B913EE" w:rsidP="00C91BE7">
            <w:pPr>
              <w:pStyle w:val="Tabletext"/>
            </w:pPr>
            <w:r>
              <w:t>Defence</w:t>
            </w:r>
            <w:r w:rsidR="00A910FF" w:rsidRPr="00C91BE7">
              <w:t xml:space="preserve"> Capabilities</w:t>
            </w:r>
          </w:p>
        </w:tc>
        <w:tc>
          <w:tcPr>
            <w:tcW w:w="1147" w:type="dxa"/>
            <w:vAlign w:val="center"/>
            <w:hideMark/>
          </w:tcPr>
          <w:p w14:paraId="34F14922" w14:textId="77777777" w:rsidR="00A910FF" w:rsidRPr="00C91BE7" w:rsidRDefault="00A910FF" w:rsidP="00C91BE7">
            <w:pPr>
              <w:pStyle w:val="Tabletext"/>
            </w:pPr>
            <w:r w:rsidRPr="00C91BE7">
              <w:t>On track</w:t>
            </w:r>
          </w:p>
        </w:tc>
      </w:tr>
      <w:tr w:rsidR="00A910FF" w:rsidRPr="00C91BE7" w14:paraId="509381E0" w14:textId="77777777" w:rsidTr="0025508C">
        <w:trPr>
          <w:trHeight w:val="170"/>
          <w:jc w:val="center"/>
        </w:trPr>
        <w:tc>
          <w:tcPr>
            <w:tcW w:w="3394" w:type="dxa"/>
            <w:vAlign w:val="center"/>
            <w:hideMark/>
          </w:tcPr>
          <w:p w14:paraId="41A0B53B" w14:textId="77777777" w:rsidR="00A910FF" w:rsidRPr="00C91BE7" w:rsidRDefault="00A910FF" w:rsidP="00C91BE7">
            <w:pPr>
              <w:pStyle w:val="Tabletext"/>
            </w:pPr>
            <w:r w:rsidRPr="006728AD">
              <w:rPr>
                <w:b/>
              </w:rPr>
              <w:t>IΝVESTMENT 6:</w:t>
            </w:r>
            <w:r w:rsidRPr="00C91BE7">
              <w:t xml:space="preserve"> Construction of a new Operational Center for the Cybersecurity Division of the Armed Forces</w:t>
            </w:r>
          </w:p>
        </w:tc>
        <w:tc>
          <w:tcPr>
            <w:tcW w:w="1103" w:type="dxa"/>
            <w:vAlign w:val="center"/>
            <w:hideMark/>
          </w:tcPr>
          <w:p w14:paraId="4D555E91" w14:textId="77777777" w:rsidR="00A910FF" w:rsidRPr="00C91BE7" w:rsidRDefault="00A910FF" w:rsidP="00C91BE7">
            <w:pPr>
              <w:pStyle w:val="Tabletext"/>
            </w:pPr>
            <w:r w:rsidRPr="00C91BE7">
              <w:t>-</w:t>
            </w:r>
          </w:p>
        </w:tc>
        <w:tc>
          <w:tcPr>
            <w:tcW w:w="1459" w:type="dxa"/>
            <w:vAlign w:val="center"/>
            <w:hideMark/>
          </w:tcPr>
          <w:p w14:paraId="5F19BB1D" w14:textId="77777777" w:rsidR="00A910FF" w:rsidRPr="00C91BE7" w:rsidRDefault="00A910FF" w:rsidP="00C91BE7">
            <w:pPr>
              <w:pStyle w:val="Tabletext"/>
            </w:pPr>
            <w:r w:rsidRPr="00C91BE7">
              <w:t>-</w:t>
            </w:r>
          </w:p>
        </w:tc>
        <w:tc>
          <w:tcPr>
            <w:tcW w:w="1600" w:type="dxa"/>
            <w:vAlign w:val="center"/>
            <w:hideMark/>
          </w:tcPr>
          <w:p w14:paraId="792C2A96" w14:textId="77777777" w:rsidR="00A910FF" w:rsidRPr="00C91BE7" w:rsidRDefault="00B913EE" w:rsidP="00C91BE7">
            <w:pPr>
              <w:pStyle w:val="Tabletext"/>
            </w:pPr>
            <w:r>
              <w:t>Defence</w:t>
            </w:r>
            <w:r w:rsidR="00A910FF" w:rsidRPr="00C91BE7">
              <w:t xml:space="preserve"> Capabilities</w:t>
            </w:r>
          </w:p>
        </w:tc>
        <w:tc>
          <w:tcPr>
            <w:tcW w:w="1147" w:type="dxa"/>
            <w:vAlign w:val="center"/>
            <w:hideMark/>
          </w:tcPr>
          <w:p w14:paraId="2E6AC1A4" w14:textId="77777777" w:rsidR="00A910FF" w:rsidRPr="00C91BE7" w:rsidRDefault="00A910FF" w:rsidP="00C91BE7">
            <w:pPr>
              <w:pStyle w:val="Tabletext"/>
            </w:pPr>
            <w:r w:rsidRPr="00C91BE7">
              <w:t>On track</w:t>
            </w:r>
          </w:p>
        </w:tc>
      </w:tr>
    </w:tbl>
    <w:p w14:paraId="45EA4B49" w14:textId="77777777" w:rsidR="00451CC2" w:rsidRPr="00451CC2" w:rsidRDefault="00A910FF" w:rsidP="00285644">
      <w:pPr>
        <w:spacing w:before="240"/>
        <w:rPr>
          <w:rFonts w:eastAsia="Calibri"/>
          <w:highlight w:val="white"/>
          <w:lang w:val="en-US"/>
        </w:rPr>
      </w:pPr>
      <w:r>
        <w:rPr>
          <w:rFonts w:eastAsia="Calibri"/>
          <w:highlight w:val="white"/>
          <w:lang w:val="en-US"/>
        </w:rPr>
        <w:t>G</w:t>
      </w:r>
      <w:r w:rsidR="00451CC2" w:rsidRPr="00451CC2">
        <w:rPr>
          <w:rFonts w:eastAsia="Calibri"/>
          <w:highlight w:val="white"/>
          <w:lang w:val="en-US"/>
        </w:rPr>
        <w:t>reece has introduced a fundamental reform by enhancing the Domestic</w:t>
      </w:r>
      <w:r w:rsidR="00451CC2" w:rsidRPr="00451CC2">
        <w:rPr>
          <w:rFonts w:eastAsia="Calibri"/>
          <w:b/>
          <w:highlight w:val="white"/>
          <w:lang w:val="en-US"/>
        </w:rPr>
        <w:t xml:space="preserve"> National Defence Industry with the contribution of the Hellenic Centre for Defence Innovation (HCDI) - (ELKAK).</w:t>
      </w:r>
      <w:r w:rsidR="00451CC2" w:rsidRPr="00451CC2">
        <w:rPr>
          <w:rFonts w:eastAsia="Calibri"/>
          <w:highlight w:val="white"/>
          <w:lang w:val="en-US"/>
        </w:rPr>
        <w:t xml:space="preserve"> The goal of the reform is the implementation of selected actions geared towards systematically strengthening and promoting the National Defence Industrial Base, while creating a domestic defence innovation system, with the support of the Hellenic Center for Defence Innovation (HCDI) – (ELKAK). This effective implementation policy is expected to significantly upgrade the country's defence capabilities, by enhancing self-sufficiency in defence armaments. During the reporting period the Hellenic </w:t>
      </w:r>
      <w:r w:rsidR="00B913EE">
        <w:rPr>
          <w:rFonts w:eastAsia="Calibri"/>
          <w:highlight w:val="white"/>
          <w:lang w:val="en-US"/>
        </w:rPr>
        <w:t>Defence</w:t>
      </w:r>
      <w:r w:rsidR="00451CC2" w:rsidRPr="00451CC2">
        <w:rPr>
          <w:rFonts w:eastAsia="Calibri"/>
          <w:highlight w:val="white"/>
          <w:lang w:val="en-US"/>
        </w:rPr>
        <w:t xml:space="preserve"> Innovation Center (ELKAK), has continued its operational activities, through the following initiatives: a.  </w:t>
      </w:r>
      <w:r w:rsidR="00451CC2" w:rsidRPr="004D59A8">
        <w:rPr>
          <w:rFonts w:eastAsia="Calibri"/>
          <w:highlight w:val="white"/>
        </w:rPr>
        <w:t>Τ</w:t>
      </w:r>
      <w:r w:rsidR="00451CC2" w:rsidRPr="00451CC2">
        <w:rPr>
          <w:rFonts w:eastAsia="Calibri"/>
          <w:highlight w:val="white"/>
          <w:lang w:val="en-US"/>
        </w:rPr>
        <w:t>o date, 16 research and innovation projects are in progress. b.  In February 2026, as part of the Memorandum of Cooperation between ELKAK and 28DIGITAL, the European innovation initiative EIT Community “AI Challenge 2025” was successfully executed with the participation of entities from the Greek ecosystem. Furthermore the 2nd Innovation Challenge was completed, during this period, with contributions from 26 companies and research teams from the domestic ecosystem. c.  By February 2026, 10 Memoranda of Understanding (MoUs) had been signed with Higher Education Institutions, research centers, as well as national and European bodies active in research, technological development and innovation, with a focus on defence, security, and dual-use technologies. d. The EU-funded TSI (Technical Support Instrument) is currently underway to support ELKAK in its effort to acquire expertise in critical areas of its operations.</w:t>
      </w:r>
    </w:p>
    <w:p w14:paraId="4857125A" w14:textId="77777777" w:rsidR="00451CC2" w:rsidRPr="00451CC2" w:rsidRDefault="00451CC2" w:rsidP="000F3F38">
      <w:pPr>
        <w:rPr>
          <w:rFonts w:eastAsia="Calibri"/>
          <w:highlight w:val="white"/>
          <w:lang w:val="en-US"/>
        </w:rPr>
      </w:pPr>
      <w:r w:rsidRPr="00451CC2">
        <w:rPr>
          <w:rFonts w:eastAsia="Calibri"/>
          <w:highlight w:val="white"/>
          <w:lang w:val="en-US"/>
        </w:rPr>
        <w:t xml:space="preserve">Added to the aforementioned reform, the enhancement of </w:t>
      </w:r>
      <w:r w:rsidRPr="00451CC2">
        <w:rPr>
          <w:rFonts w:eastAsia="Calibri"/>
          <w:b/>
          <w:highlight w:val="white"/>
          <w:lang w:val="en-US"/>
        </w:rPr>
        <w:t>military training reform</w:t>
      </w:r>
      <w:r w:rsidRPr="00451CC2">
        <w:rPr>
          <w:rFonts w:eastAsia="Calibri"/>
          <w:highlight w:val="white"/>
          <w:lang w:val="en-US"/>
        </w:rPr>
        <w:t xml:space="preserve"> represents an investment in human capital, contributing to Greece’s efforts to strengthen its defence capacity. During the period under review, the Ministry of National Defence undertook the following initiatives to enhance the training capacity of personnel, conscripts, and reservists:  a. Certification of the Instrument Flight Training Center (IFTC) located at the 120 Air Training Wing, in Kalamata Air Base and delivery of the entire fleet of M564 training aircrafts. b. Construction of the free-fall simulator (Wind Tunnel) which is being implemented according the timetable, with the completion rate approximately 40%. The project is expected to be completed by the end of 2026. c. The Armed Forces participated in twenty (20) International Missions and three (3) International Exercises. d. In January 2026, a new institutional framework (Law 5265/2026, OJ A’ 3/10.01.2026) entitled “Transition Roadmap to a New Era” was published, aiming to modernize the Armed Forces by increasing flexibility and providing specialized training, which enhances operational readiness, allowing forces to respond to diverse, complex threats while maximizing efficiency. The law also provides for voluntary participation of reservists in seminars and exercises to ensure they remain operationally ready. In March 2026 the first course on the </w:t>
      </w:r>
      <w:r w:rsidRPr="00451CC2">
        <w:rPr>
          <w:rFonts w:eastAsia="Calibri"/>
          <w:highlight w:val="white"/>
          <w:lang w:val="en-US"/>
        </w:rPr>
        <w:lastRenderedPageBreak/>
        <w:t xml:space="preserve">Military Decision – Making Process (MDMP) was conducted, alongside the introduction of a voluntary military service programme for women combined with </w:t>
      </w:r>
      <w:proofErr w:type="spellStart"/>
      <w:r w:rsidRPr="00451CC2">
        <w:rPr>
          <w:rFonts w:eastAsia="Calibri"/>
          <w:highlight w:val="white"/>
          <w:lang w:val="en-US"/>
        </w:rPr>
        <w:t>specialised</w:t>
      </w:r>
      <w:proofErr w:type="spellEnd"/>
      <w:r w:rsidRPr="00451CC2">
        <w:rPr>
          <w:rFonts w:eastAsia="Calibri"/>
          <w:highlight w:val="white"/>
          <w:lang w:val="en-US"/>
        </w:rPr>
        <w:t xml:space="preserve"> training.</w:t>
      </w:r>
    </w:p>
    <w:p w14:paraId="4F67D093" w14:textId="77777777" w:rsidR="00451CC2" w:rsidRPr="00451CC2" w:rsidRDefault="00451CC2" w:rsidP="000F3F38">
      <w:pPr>
        <w:rPr>
          <w:rFonts w:eastAsia="Calibri"/>
          <w:highlight w:val="white"/>
          <w:lang w:val="en-US"/>
        </w:rPr>
      </w:pPr>
      <w:r w:rsidRPr="00451CC2">
        <w:rPr>
          <w:rFonts w:eastAsia="Calibri"/>
          <w:highlight w:val="white"/>
          <w:lang w:val="en-US"/>
        </w:rPr>
        <w:t xml:space="preserve">In parallel, the Ministry of Defence has introduced a significant reform that covers the adjustment of </w:t>
      </w:r>
      <w:r w:rsidRPr="00451CC2">
        <w:rPr>
          <w:rFonts w:eastAsia="Calibri"/>
          <w:b/>
          <w:highlight w:val="white"/>
          <w:lang w:val="en-US"/>
        </w:rPr>
        <w:t>Civilian Sector's Operational Planning and Emergency Procedures in the changing geopolitical environment</w:t>
      </w:r>
      <w:r w:rsidRPr="00451CC2">
        <w:rPr>
          <w:rFonts w:eastAsia="Calibri"/>
          <w:highlight w:val="white"/>
          <w:lang w:val="en-US"/>
        </w:rPr>
        <w:t xml:space="preserve">, while enhancing the country’s defensive response capability against potential asymmetric threats and various types of hostile actions. To this end the process of reviewing the </w:t>
      </w:r>
      <w:r w:rsidRPr="00451CC2">
        <w:rPr>
          <w:rFonts w:eastAsia="Calibri"/>
          <w:b/>
          <w:highlight w:val="white"/>
          <w:lang w:val="en-US"/>
        </w:rPr>
        <w:t>Operational Planning of the Civil Sector</w:t>
      </w:r>
      <w:r w:rsidRPr="00451CC2">
        <w:rPr>
          <w:rFonts w:eastAsia="Calibri"/>
          <w:highlight w:val="white"/>
          <w:lang w:val="en-US"/>
        </w:rPr>
        <w:t xml:space="preserve"> is currently underway to finalize the draft legislative proposal via the necessary coordination meetings and consultations with a wide range of stakeholders and relevant ministries. More specifically, two (2) coordination meetings took place in June 2025, with the participation of representatives from the Emergency Planning Departments of all Ministries and a representative from the Hellenic Parliament’s unit, responsible for Policy Planning. During the meetings, it was decided to merge and revise the existing Emergency Planning operational plans of each Ministry, which are relevant in terms of their scope of action, with the ultimate goal of achieving optimal coordination and enhancing the desired flexibility during their implementation. Furthermore, responsibilities were defined and priorities were set for the competent and co-competent agencies regarding the completion of the project. Subsequently, the Hellenic National </w:t>
      </w:r>
      <w:r w:rsidR="00B913EE">
        <w:rPr>
          <w:rFonts w:eastAsia="Calibri"/>
          <w:highlight w:val="white"/>
          <w:lang w:val="en-US"/>
        </w:rPr>
        <w:t>Defence</w:t>
      </w:r>
      <w:r w:rsidRPr="00451CC2">
        <w:rPr>
          <w:rFonts w:eastAsia="Calibri"/>
          <w:highlight w:val="white"/>
          <w:lang w:val="en-US"/>
        </w:rPr>
        <w:t xml:space="preserve"> General Staff (GEETHA) drafted a proposal on the revision procedure for the Emergency Planning Policy, which will be submitted for approval to the Government Council for Foreign and </w:t>
      </w:r>
      <w:r w:rsidR="00B913EE">
        <w:rPr>
          <w:rFonts w:eastAsia="Calibri"/>
          <w:highlight w:val="white"/>
          <w:lang w:val="en-US"/>
        </w:rPr>
        <w:t>Defence</w:t>
      </w:r>
      <w:r w:rsidRPr="00451CC2">
        <w:rPr>
          <w:rFonts w:eastAsia="Calibri"/>
          <w:highlight w:val="white"/>
          <w:lang w:val="en-US"/>
        </w:rPr>
        <w:t xml:space="preserve"> Affairs (KYSEA).</w:t>
      </w:r>
    </w:p>
    <w:p w14:paraId="5CB974FD" w14:textId="77777777" w:rsidR="00451CC2" w:rsidRPr="00451CC2" w:rsidRDefault="00451CC2" w:rsidP="000F3F38">
      <w:pPr>
        <w:rPr>
          <w:rFonts w:eastAsia="Calibri"/>
          <w:highlight w:val="white"/>
          <w:lang w:val="en-US"/>
        </w:rPr>
      </w:pPr>
      <w:r w:rsidRPr="00451CC2">
        <w:rPr>
          <w:rFonts w:eastAsia="Calibri"/>
          <w:highlight w:val="white"/>
          <w:lang w:val="en-US"/>
        </w:rPr>
        <w:t xml:space="preserve">Moreover, Greece aims to upgrade its defence capabilities through military alliances and partnerships and respectively through </w:t>
      </w:r>
      <w:r w:rsidRPr="00451CC2">
        <w:rPr>
          <w:rFonts w:eastAsia="Calibri"/>
          <w:b/>
          <w:highlight w:val="white"/>
          <w:lang w:val="en-US"/>
        </w:rPr>
        <w:t xml:space="preserve">Bilateral </w:t>
      </w:r>
      <w:r w:rsidR="00B913EE">
        <w:rPr>
          <w:rFonts w:eastAsia="Calibri"/>
          <w:b/>
          <w:highlight w:val="white"/>
          <w:lang w:val="en-US"/>
        </w:rPr>
        <w:t>Defence</w:t>
      </w:r>
      <w:r w:rsidRPr="00451CC2">
        <w:rPr>
          <w:rFonts w:eastAsia="Calibri"/>
          <w:b/>
          <w:highlight w:val="white"/>
          <w:lang w:val="en-US"/>
        </w:rPr>
        <w:t xml:space="preserve"> Cooperation Agreements and Programs</w:t>
      </w:r>
      <w:r w:rsidRPr="00451CC2">
        <w:rPr>
          <w:rFonts w:eastAsia="Calibri"/>
          <w:highlight w:val="white"/>
          <w:lang w:val="en-US"/>
        </w:rPr>
        <w:t>. The reform represents an ongoing initiative, coordinated by the Ministry of National Defence and the Hellenic National Defence General Staff that involves negotiating and signing Bilateral and Trilateral Military Cooperation Agreements (contracting process), as well as the implementation of Military Cooperation Programs. During the reference period the conclusion of 17 Military Cooperation Programs (MCPs) with other state entities was achieved, with a focus on joint training and cooperation in critical operational areas. Among the most notable were: a. Bright Star 25 in Egypt from August 22 to September 10, 2025, b. Platinum Wolf 25 in Serbia from June 11 to 27, 2025, and c. Immediate Response 2025 in regions of Greece and North Macedonia from May to June 2025.</w:t>
      </w:r>
    </w:p>
    <w:p w14:paraId="51C9E2BA" w14:textId="77777777" w:rsidR="00451CC2" w:rsidRPr="00451CC2" w:rsidRDefault="00451CC2" w:rsidP="000F3F38">
      <w:pPr>
        <w:rPr>
          <w:rFonts w:eastAsia="Calibri"/>
          <w:highlight w:val="white"/>
          <w:lang w:val="en-US"/>
        </w:rPr>
      </w:pPr>
      <w:r w:rsidRPr="00451CC2">
        <w:rPr>
          <w:rFonts w:eastAsia="Calibri"/>
          <w:highlight w:val="white"/>
          <w:lang w:val="en-US"/>
        </w:rPr>
        <w:t xml:space="preserve">Furthermore, the implementation of the </w:t>
      </w:r>
      <w:r w:rsidRPr="00451CC2">
        <w:rPr>
          <w:rFonts w:eastAsia="Calibri"/>
          <w:b/>
          <w:highlight w:val="white"/>
          <w:lang w:val="en-US"/>
        </w:rPr>
        <w:t xml:space="preserve">Medium-Term </w:t>
      </w:r>
      <w:r w:rsidR="00B913EE">
        <w:rPr>
          <w:rFonts w:eastAsia="Calibri"/>
          <w:b/>
          <w:highlight w:val="white"/>
          <w:lang w:val="en-US"/>
        </w:rPr>
        <w:t>Defence</w:t>
      </w:r>
      <w:r w:rsidRPr="00451CC2">
        <w:rPr>
          <w:rFonts w:eastAsia="Calibri"/>
          <w:b/>
          <w:highlight w:val="white"/>
          <w:lang w:val="en-US"/>
        </w:rPr>
        <w:t xml:space="preserve"> Equipment Plan</w:t>
      </w:r>
      <w:r w:rsidRPr="00451CC2">
        <w:rPr>
          <w:rFonts w:eastAsia="Calibri"/>
          <w:highlight w:val="white"/>
          <w:lang w:val="en-US"/>
        </w:rPr>
        <w:t xml:space="preserve">, in terms of upgrading capability, armament and planning targets at ensuring, maintaining, and gradually enhancing the </w:t>
      </w:r>
      <w:r w:rsidR="00B913EE">
        <w:rPr>
          <w:rFonts w:eastAsia="Calibri"/>
          <w:highlight w:val="white"/>
          <w:lang w:val="en-US"/>
        </w:rPr>
        <w:t>Defence</w:t>
      </w:r>
      <w:r w:rsidRPr="00451CC2">
        <w:rPr>
          <w:rFonts w:eastAsia="Calibri"/>
          <w:highlight w:val="white"/>
          <w:lang w:val="en-US"/>
        </w:rPr>
        <w:t xml:space="preserve"> capacity and readiness of the Armed Forces. The implementation of the country's medium-term Armament Program focuses on acquiring </w:t>
      </w:r>
      <w:r w:rsidR="00B913EE">
        <w:rPr>
          <w:rFonts w:eastAsia="Calibri"/>
          <w:highlight w:val="white"/>
          <w:lang w:val="en-US"/>
        </w:rPr>
        <w:t>Defence</w:t>
      </w:r>
      <w:r w:rsidRPr="00451CC2">
        <w:rPr>
          <w:rFonts w:eastAsia="Calibri"/>
          <w:highlight w:val="white"/>
          <w:lang w:val="en-US"/>
        </w:rPr>
        <w:t xml:space="preserve"> Systems that will enhance Greece's </w:t>
      </w:r>
      <w:r w:rsidR="00B913EE">
        <w:rPr>
          <w:rFonts w:eastAsia="Calibri"/>
          <w:highlight w:val="white"/>
          <w:lang w:val="en-US"/>
        </w:rPr>
        <w:t>Defence</w:t>
      </w:r>
      <w:r w:rsidRPr="00451CC2">
        <w:rPr>
          <w:rFonts w:eastAsia="Calibri"/>
          <w:highlight w:val="white"/>
          <w:lang w:val="en-US"/>
        </w:rPr>
        <w:t xml:space="preserve"> capabilities both at sea and in the air. During the reporting period, three major developments occurred: a. The first </w:t>
      </w:r>
      <w:proofErr w:type="spellStart"/>
      <w:r w:rsidRPr="00451CC2">
        <w:rPr>
          <w:rFonts w:eastAsia="Calibri"/>
          <w:highlight w:val="white"/>
          <w:lang w:val="en-US"/>
        </w:rPr>
        <w:t>Belharra</w:t>
      </w:r>
      <w:proofErr w:type="spellEnd"/>
      <w:r w:rsidRPr="00451CC2">
        <w:rPr>
          <w:rFonts w:eastAsia="Calibri"/>
          <w:highlight w:val="white"/>
          <w:lang w:val="en-US"/>
        </w:rPr>
        <w:t xml:space="preserve">-class (FDI HN) frigate, HS </w:t>
      </w:r>
      <w:proofErr w:type="spellStart"/>
      <w:r w:rsidRPr="00451CC2">
        <w:rPr>
          <w:rFonts w:eastAsia="Calibri"/>
          <w:highlight w:val="white"/>
          <w:lang w:val="en-US"/>
        </w:rPr>
        <w:t>Kimon</w:t>
      </w:r>
      <w:proofErr w:type="spellEnd"/>
      <w:r w:rsidRPr="00451CC2">
        <w:rPr>
          <w:rFonts w:eastAsia="Calibri"/>
          <w:highlight w:val="white"/>
          <w:lang w:val="en-US"/>
        </w:rPr>
        <w:t xml:space="preserve"> (F-601), was officially commissioned and delivered to the Hellenic Navy in December 2025. </w:t>
      </w:r>
      <w:proofErr w:type="spellStart"/>
      <w:r w:rsidRPr="00451CC2">
        <w:rPr>
          <w:rFonts w:eastAsia="Calibri"/>
          <w:highlight w:val="white"/>
          <w:lang w:val="en-US"/>
        </w:rPr>
        <w:t>Kimon</w:t>
      </w:r>
      <w:proofErr w:type="spellEnd"/>
      <w:r w:rsidRPr="00451CC2">
        <w:rPr>
          <w:rFonts w:eastAsia="Calibri"/>
          <w:highlight w:val="white"/>
          <w:lang w:val="en-US"/>
        </w:rPr>
        <w:t xml:space="preserve"> is the first of four advanced FDI HN frigates ordered for the Hellenic Navy to serve in anti-air, anti-surface, and anti-submarine warfare, along with two additional which are expected within 2026. b. Work is currently underway to upgrade F-16 aircraft to Viper configuration. As of February 2026, the completion rate of the upgrade works reached 60%. c. In September 2025, </w:t>
      </w:r>
      <w:r w:rsidRPr="00451CC2">
        <w:rPr>
          <w:rFonts w:eastAsia="Calibri"/>
          <w:highlight w:val="white"/>
          <w:lang w:val="en-US"/>
        </w:rPr>
        <w:lastRenderedPageBreak/>
        <w:t>a Memorandum of Cooperation on Naval Collaboration between Greece and Italy was signed, along with a Declaration of Intent for the acquisition of two Italian FREMM-type frigates.</w:t>
      </w:r>
    </w:p>
    <w:p w14:paraId="490BEB16" w14:textId="77777777" w:rsidR="00451CC2" w:rsidRPr="00451CC2" w:rsidRDefault="00451CC2" w:rsidP="000F3F38">
      <w:pPr>
        <w:rPr>
          <w:rFonts w:eastAsia="Calibri"/>
          <w:highlight w:val="white"/>
          <w:lang w:val="en-US"/>
        </w:rPr>
      </w:pPr>
      <w:r w:rsidRPr="00451CC2">
        <w:rPr>
          <w:rFonts w:eastAsia="Calibri"/>
          <w:highlight w:val="white"/>
          <w:lang w:val="en-US"/>
        </w:rPr>
        <w:t xml:space="preserve">To enhance maritime borders and land border security along with the country's defensive capabilities, major innovative projects regarding the supply </w:t>
      </w:r>
      <w:r w:rsidRPr="00451CC2">
        <w:rPr>
          <w:rFonts w:eastAsia="Calibri"/>
          <w:b/>
          <w:highlight w:val="white"/>
          <w:lang w:val="en-US"/>
        </w:rPr>
        <w:t>of all-terrain surveillance vehicles, Search and Rescue (SAR) equipment, Maritime Border Surveillance Systems and Unmanned Aerial Systems for border surveillance</w:t>
      </w:r>
      <w:r w:rsidRPr="00451CC2">
        <w:rPr>
          <w:rFonts w:eastAsia="Calibri"/>
          <w:highlight w:val="white"/>
          <w:lang w:val="en-US"/>
        </w:rPr>
        <w:t xml:space="preserve">, are being prepared by the armed forces. </w:t>
      </w:r>
    </w:p>
    <w:p w14:paraId="69468BF2" w14:textId="77777777" w:rsidR="00451CC2" w:rsidRPr="00451CC2" w:rsidRDefault="00451CC2" w:rsidP="000F3F38">
      <w:pPr>
        <w:rPr>
          <w:rFonts w:eastAsia="Calibri"/>
          <w:highlight w:val="white"/>
          <w:lang w:val="en-US"/>
        </w:rPr>
      </w:pPr>
      <w:r w:rsidRPr="00451CC2">
        <w:rPr>
          <w:rFonts w:eastAsia="Calibri"/>
          <w:highlight w:val="white"/>
          <w:lang w:val="en-US"/>
        </w:rPr>
        <w:t xml:space="preserve">As regards </w:t>
      </w:r>
      <w:r w:rsidRPr="00451CC2">
        <w:rPr>
          <w:rFonts w:eastAsia="Calibri"/>
          <w:b/>
          <w:highlight w:val="white"/>
          <w:lang w:val="en-US"/>
        </w:rPr>
        <w:t>Unmanned Aerial Systems for border surveillance</w:t>
      </w:r>
      <w:r w:rsidRPr="00451CC2">
        <w:rPr>
          <w:rFonts w:eastAsia="Calibri"/>
          <w:highlight w:val="white"/>
          <w:lang w:val="en-US"/>
        </w:rPr>
        <w:t xml:space="preserve">, following the approval of the Technical Data Sheet on 25 October 2025, the competent department of the Ministry of National Defence is currently reviewing the Tender Document and the project specifications. A review by the competent managing authority will follow in the next phase. Lastly, regarding the provision of </w:t>
      </w:r>
      <w:r w:rsidRPr="00451CC2">
        <w:rPr>
          <w:rFonts w:eastAsia="Calibri"/>
          <w:b/>
          <w:highlight w:val="white"/>
          <w:lang w:val="en-US"/>
        </w:rPr>
        <w:t>Search and Rescue (SAR) equipment</w:t>
      </w:r>
      <w:r w:rsidRPr="00451CC2">
        <w:rPr>
          <w:rFonts w:eastAsia="Calibri"/>
          <w:highlight w:val="white"/>
          <w:lang w:val="en-US"/>
        </w:rPr>
        <w:t xml:space="preserve"> to enhance the effectiveness of search and rescue operations by the Armed Forces, the tender process for the procurement of the equipment is in progress as of December 2025. The submission of bids was completed on 9 February 2026 and the evaluation process is currently ongoing. In addition, a tender procedure is in progress for the provision of flight simulator (F/S) training for Hellenic Air Force SAR helicopter crews. The sub-project was launched in February 2026, with the deadline for submission of bids set for 3 April 2026. </w:t>
      </w:r>
    </w:p>
    <w:p w14:paraId="5273C4C4" w14:textId="77777777" w:rsidR="00451CC2" w:rsidRPr="00451CC2" w:rsidRDefault="00451CC2" w:rsidP="000F3F38">
      <w:pPr>
        <w:rPr>
          <w:rFonts w:eastAsia="Calibri"/>
          <w:highlight w:val="white"/>
          <w:lang w:val="en-US"/>
        </w:rPr>
      </w:pPr>
      <w:r w:rsidRPr="00451CC2">
        <w:rPr>
          <w:rFonts w:eastAsia="Calibri"/>
          <w:highlight w:val="white"/>
          <w:lang w:val="en-US"/>
        </w:rPr>
        <w:t>Finally, to expand the capabilities of the Hellenic Ministry of National Defence (</w:t>
      </w:r>
      <w:proofErr w:type="spellStart"/>
      <w:r w:rsidRPr="00451CC2">
        <w:rPr>
          <w:rFonts w:eastAsia="Calibri"/>
          <w:highlight w:val="white"/>
          <w:lang w:val="en-US"/>
        </w:rPr>
        <w:t>HMoD</w:t>
      </w:r>
      <w:proofErr w:type="spellEnd"/>
      <w:r w:rsidRPr="00451CC2">
        <w:rPr>
          <w:rFonts w:eastAsia="Calibri"/>
          <w:highlight w:val="white"/>
          <w:lang w:val="en-US"/>
        </w:rPr>
        <w:t xml:space="preserve">) in the field of cybersecurity, the establishment of a new </w:t>
      </w:r>
      <w:r w:rsidRPr="00451CC2">
        <w:rPr>
          <w:rFonts w:eastAsia="Calibri"/>
          <w:b/>
          <w:highlight w:val="white"/>
          <w:lang w:val="en-US"/>
        </w:rPr>
        <w:t>Security Operations Centre</w:t>
      </w:r>
      <w:r w:rsidRPr="00451CC2">
        <w:rPr>
          <w:rFonts w:eastAsia="Calibri"/>
          <w:highlight w:val="white"/>
          <w:lang w:val="en-US"/>
        </w:rPr>
        <w:t xml:space="preserve">, tailored to the needs of the Armed Forces </w:t>
      </w:r>
      <w:r w:rsidRPr="00451CC2">
        <w:rPr>
          <w:rFonts w:eastAsia="Calibri"/>
          <w:b/>
          <w:highlight w:val="white"/>
          <w:lang w:val="en-US"/>
        </w:rPr>
        <w:t>Cybersecurity Division</w:t>
      </w:r>
      <w:r w:rsidRPr="00451CC2">
        <w:rPr>
          <w:rFonts w:eastAsia="Calibri"/>
          <w:highlight w:val="white"/>
          <w:lang w:val="en-US"/>
        </w:rPr>
        <w:t xml:space="preserve">, is currently in the planning phase. Notably, the new Electronic Warfare Directorate building at </w:t>
      </w:r>
      <w:proofErr w:type="spellStart"/>
      <w:r w:rsidRPr="00451CC2">
        <w:rPr>
          <w:rFonts w:eastAsia="Calibri"/>
          <w:highlight w:val="white"/>
          <w:lang w:val="en-US"/>
        </w:rPr>
        <w:t>Papagos</w:t>
      </w:r>
      <w:proofErr w:type="spellEnd"/>
      <w:r w:rsidRPr="00451CC2">
        <w:rPr>
          <w:rFonts w:eastAsia="Calibri"/>
          <w:highlight w:val="white"/>
          <w:lang w:val="en-US"/>
        </w:rPr>
        <w:t xml:space="preserve"> Army Base is expected to be completed by June 2026, following the completion of electrical and mechanical works. The project has reached a completion rate of 78%.</w:t>
      </w:r>
    </w:p>
    <w:p w14:paraId="3E5064BA" w14:textId="77777777" w:rsidR="00451CC2" w:rsidRPr="006E668D" w:rsidRDefault="006E668D" w:rsidP="006E668D">
      <w:pPr>
        <w:pStyle w:val="Heading2"/>
        <w:pBdr>
          <w:bottom w:val="single" w:sz="4" w:space="1" w:color="4F81BD" w:themeColor="accent1"/>
        </w:pBdr>
        <w:rPr>
          <w:rFonts w:eastAsia="Calibri"/>
          <w:sz w:val="36"/>
          <w:lang w:val="en-US"/>
        </w:rPr>
      </w:pPr>
      <w:bookmarkStart w:id="43" w:name="_Toc227932495"/>
      <w:bookmarkStart w:id="44" w:name="_Toc228279088"/>
      <w:r>
        <w:rPr>
          <w:rFonts w:eastAsia="Calibri"/>
          <w:sz w:val="36"/>
          <w:lang w:val="en-US"/>
        </w:rPr>
        <w:t>M</w:t>
      </w:r>
      <w:r w:rsidRPr="006E668D">
        <w:rPr>
          <w:rFonts w:eastAsia="Calibri"/>
          <w:sz w:val="36"/>
          <w:lang w:val="en-US"/>
        </w:rPr>
        <w:t xml:space="preserve">inistry of </w:t>
      </w:r>
      <w:r>
        <w:rPr>
          <w:rFonts w:eastAsia="Calibri"/>
          <w:sz w:val="36"/>
          <w:lang w:val="en-US"/>
        </w:rPr>
        <w:t>I</w:t>
      </w:r>
      <w:r w:rsidRPr="006E668D">
        <w:rPr>
          <w:rFonts w:eastAsia="Calibri"/>
          <w:sz w:val="36"/>
          <w:lang w:val="en-US"/>
        </w:rPr>
        <w:t>nterior</w:t>
      </w:r>
      <w:bookmarkEnd w:id="43"/>
      <w:bookmarkEnd w:id="44"/>
      <w:r w:rsidRPr="006E668D">
        <w:rPr>
          <w:rFonts w:eastAsia="Calibri"/>
          <w:sz w:val="36"/>
          <w:lang w:val="en-US"/>
        </w:rPr>
        <w:t xml:space="preserve"> </w:t>
      </w:r>
    </w:p>
    <w:tbl>
      <w:tblPr>
        <w:tblW w:w="8902" w:type="dxa"/>
        <w:jc w:val="center"/>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Layout w:type="fixed"/>
        <w:tblLook w:val="0600" w:firstRow="0" w:lastRow="0" w:firstColumn="0" w:lastColumn="0" w:noHBand="1" w:noVBand="1"/>
      </w:tblPr>
      <w:tblGrid>
        <w:gridCol w:w="2409"/>
        <w:gridCol w:w="1603"/>
        <w:gridCol w:w="1724"/>
        <w:gridCol w:w="1580"/>
        <w:gridCol w:w="1586"/>
      </w:tblGrid>
      <w:tr w:rsidR="00451CC2" w:rsidRPr="008A7CB8" w14:paraId="26FE4D2D" w14:textId="77777777" w:rsidTr="00C9425F">
        <w:trPr>
          <w:trHeight w:val="170"/>
          <w:jc w:val="center"/>
        </w:trPr>
        <w:tc>
          <w:tcPr>
            <w:tcW w:w="2535" w:type="dxa"/>
            <w:shd w:val="clear" w:color="auto" w:fill="CFE2F3"/>
            <w:tcMar>
              <w:top w:w="0" w:type="dxa"/>
              <w:left w:w="40" w:type="dxa"/>
              <w:bottom w:w="0" w:type="dxa"/>
              <w:right w:w="40" w:type="dxa"/>
            </w:tcMar>
            <w:vAlign w:val="center"/>
          </w:tcPr>
          <w:p w14:paraId="2D34FF06" w14:textId="77777777" w:rsidR="00451CC2" w:rsidRPr="008A7CB8" w:rsidRDefault="00451CC2" w:rsidP="008A7CB8">
            <w:pPr>
              <w:pStyle w:val="Tabletext"/>
              <w:rPr>
                <w:rFonts w:eastAsia="Calibri"/>
                <w:b/>
              </w:rPr>
            </w:pPr>
            <w:r w:rsidRPr="008A7CB8">
              <w:rPr>
                <w:rFonts w:eastAsia="Calibri"/>
                <w:b/>
              </w:rPr>
              <w:t>REFORM / INVESTMENT</w:t>
            </w:r>
          </w:p>
        </w:tc>
        <w:tc>
          <w:tcPr>
            <w:tcW w:w="1685" w:type="dxa"/>
            <w:shd w:val="clear" w:color="auto" w:fill="CFE2F3"/>
            <w:tcMar>
              <w:top w:w="0" w:type="dxa"/>
              <w:left w:w="40" w:type="dxa"/>
              <w:bottom w:w="0" w:type="dxa"/>
              <w:right w:w="40" w:type="dxa"/>
            </w:tcMar>
            <w:vAlign w:val="center"/>
          </w:tcPr>
          <w:p w14:paraId="65285FA5" w14:textId="77777777" w:rsidR="00451CC2" w:rsidRPr="008A7CB8" w:rsidRDefault="00451CC2" w:rsidP="008A7CB8">
            <w:pPr>
              <w:pStyle w:val="Tabletext"/>
              <w:rPr>
                <w:rFonts w:eastAsia="Calibri"/>
                <w:b/>
              </w:rPr>
            </w:pPr>
            <w:r w:rsidRPr="008A7CB8">
              <w:rPr>
                <w:rFonts w:eastAsia="Calibri"/>
                <w:b/>
              </w:rPr>
              <w:t>RRF / MFF</w:t>
            </w:r>
          </w:p>
        </w:tc>
        <w:tc>
          <w:tcPr>
            <w:tcW w:w="1813" w:type="dxa"/>
            <w:shd w:val="clear" w:color="auto" w:fill="CFE2F3"/>
            <w:tcMar>
              <w:top w:w="0" w:type="dxa"/>
              <w:left w:w="40" w:type="dxa"/>
              <w:bottom w:w="0" w:type="dxa"/>
              <w:right w:w="40" w:type="dxa"/>
            </w:tcMar>
            <w:vAlign w:val="center"/>
          </w:tcPr>
          <w:p w14:paraId="58EA2E4F" w14:textId="77777777" w:rsidR="00451CC2" w:rsidRPr="008A7CB8" w:rsidRDefault="00451CC2" w:rsidP="008A7CB8">
            <w:pPr>
              <w:pStyle w:val="Tabletext"/>
              <w:rPr>
                <w:rFonts w:eastAsia="Calibri"/>
                <w:b/>
              </w:rPr>
            </w:pPr>
            <w:r w:rsidRPr="008A7CB8">
              <w:rPr>
                <w:rFonts w:eastAsia="Calibri"/>
                <w:b/>
              </w:rPr>
              <w:t>CSR</w:t>
            </w:r>
          </w:p>
        </w:tc>
        <w:tc>
          <w:tcPr>
            <w:tcW w:w="1661" w:type="dxa"/>
            <w:shd w:val="clear" w:color="auto" w:fill="CFE2F3"/>
            <w:tcMar>
              <w:top w:w="0" w:type="dxa"/>
              <w:left w:w="40" w:type="dxa"/>
              <w:bottom w:w="0" w:type="dxa"/>
              <w:right w:w="40" w:type="dxa"/>
            </w:tcMar>
            <w:vAlign w:val="center"/>
          </w:tcPr>
          <w:p w14:paraId="2AFF5FB9" w14:textId="77777777" w:rsidR="00451CC2" w:rsidRPr="008A7CB8" w:rsidRDefault="00451CC2" w:rsidP="008A7CB8">
            <w:pPr>
              <w:pStyle w:val="Tabletext"/>
              <w:rPr>
                <w:rFonts w:eastAsia="Calibri"/>
                <w:b/>
              </w:rPr>
            </w:pPr>
            <w:r w:rsidRPr="008A7CB8">
              <w:rPr>
                <w:rFonts w:eastAsia="Calibri"/>
                <w:b/>
              </w:rPr>
              <w:t>COMMON PRIORITIES</w:t>
            </w:r>
          </w:p>
        </w:tc>
        <w:tc>
          <w:tcPr>
            <w:tcW w:w="1661" w:type="dxa"/>
            <w:shd w:val="clear" w:color="auto" w:fill="CFE2F3"/>
            <w:tcMar>
              <w:top w:w="0" w:type="dxa"/>
              <w:left w:w="100" w:type="dxa"/>
              <w:bottom w:w="0" w:type="dxa"/>
              <w:right w:w="100" w:type="dxa"/>
            </w:tcMar>
            <w:vAlign w:val="center"/>
          </w:tcPr>
          <w:p w14:paraId="2207F993" w14:textId="77777777" w:rsidR="00451CC2" w:rsidRPr="008A7CB8" w:rsidRDefault="00451CC2" w:rsidP="008A7CB8">
            <w:pPr>
              <w:pStyle w:val="Tabletext"/>
              <w:rPr>
                <w:rFonts w:eastAsia="Calibri"/>
                <w:b/>
              </w:rPr>
            </w:pPr>
            <w:r w:rsidRPr="008A7CB8">
              <w:rPr>
                <w:rFonts w:eastAsia="Calibri"/>
                <w:b/>
              </w:rPr>
              <w:t>On-track status</w:t>
            </w:r>
          </w:p>
        </w:tc>
      </w:tr>
      <w:tr w:rsidR="00451CC2" w:rsidRPr="008A7CB8" w14:paraId="65A0BE32" w14:textId="77777777" w:rsidTr="00C9425F">
        <w:trPr>
          <w:trHeight w:val="170"/>
          <w:jc w:val="center"/>
        </w:trPr>
        <w:tc>
          <w:tcPr>
            <w:tcW w:w="2535" w:type="dxa"/>
            <w:tcMar>
              <w:top w:w="0" w:type="dxa"/>
              <w:left w:w="40" w:type="dxa"/>
              <w:bottom w:w="0" w:type="dxa"/>
              <w:right w:w="40" w:type="dxa"/>
            </w:tcMar>
            <w:vAlign w:val="center"/>
          </w:tcPr>
          <w:p w14:paraId="04E389D9" w14:textId="77777777" w:rsidR="00451CC2" w:rsidRPr="008A7CB8" w:rsidRDefault="00540671" w:rsidP="008A7CB8">
            <w:pPr>
              <w:pStyle w:val="Tabletext"/>
              <w:rPr>
                <w:rFonts w:eastAsia="Calibri"/>
              </w:rPr>
            </w:pPr>
            <w:r w:rsidRPr="00540671">
              <w:rPr>
                <w:rFonts w:eastAsia="Calibri"/>
                <w:b/>
              </w:rPr>
              <w:t>REFORM 1:</w:t>
            </w:r>
            <w:r w:rsidR="00451CC2" w:rsidRPr="008A7CB8">
              <w:rPr>
                <w:rFonts w:eastAsia="Calibri"/>
              </w:rPr>
              <w:t xml:space="preserve"> The implementation of the National Multilevel Governance System</w:t>
            </w:r>
          </w:p>
        </w:tc>
        <w:tc>
          <w:tcPr>
            <w:tcW w:w="1685" w:type="dxa"/>
            <w:tcMar>
              <w:top w:w="0" w:type="dxa"/>
              <w:left w:w="40" w:type="dxa"/>
              <w:bottom w:w="0" w:type="dxa"/>
              <w:right w:w="40" w:type="dxa"/>
            </w:tcMar>
            <w:vAlign w:val="center"/>
          </w:tcPr>
          <w:p w14:paraId="282BFCC9" w14:textId="77777777" w:rsidR="00451CC2" w:rsidRPr="008A7CB8" w:rsidRDefault="00451CC2" w:rsidP="008A7CB8">
            <w:pPr>
              <w:pStyle w:val="Tabletext"/>
              <w:rPr>
                <w:rFonts w:eastAsia="Calibri"/>
              </w:rPr>
            </w:pPr>
            <w:r w:rsidRPr="008A7CB8">
              <w:rPr>
                <w:rFonts w:eastAsia="Calibri"/>
              </w:rPr>
              <w:t xml:space="preserve">RRF 16972 </w:t>
            </w:r>
          </w:p>
        </w:tc>
        <w:tc>
          <w:tcPr>
            <w:tcW w:w="1813" w:type="dxa"/>
            <w:tcMar>
              <w:top w:w="0" w:type="dxa"/>
              <w:left w:w="40" w:type="dxa"/>
              <w:bottom w:w="0" w:type="dxa"/>
              <w:right w:w="40" w:type="dxa"/>
            </w:tcMar>
            <w:vAlign w:val="center"/>
          </w:tcPr>
          <w:p w14:paraId="3A8D7247" w14:textId="77777777" w:rsidR="00451CC2" w:rsidRPr="008A7CB8" w:rsidRDefault="00451CC2" w:rsidP="008A7CB8">
            <w:pPr>
              <w:pStyle w:val="Tabletext"/>
              <w:rPr>
                <w:rFonts w:eastAsia="Calibri"/>
              </w:rPr>
            </w:pPr>
            <w:r w:rsidRPr="008A7CB8">
              <w:rPr>
                <w:rFonts w:eastAsia="Calibri"/>
              </w:rPr>
              <w:t>2025 CSR1.5</w:t>
            </w:r>
          </w:p>
          <w:p w14:paraId="5F65DDAA" w14:textId="77777777" w:rsidR="00451CC2" w:rsidRPr="008A7CB8" w:rsidRDefault="00451CC2" w:rsidP="008A7CB8">
            <w:pPr>
              <w:pStyle w:val="Tabletext"/>
              <w:rPr>
                <w:rFonts w:eastAsia="Calibri"/>
              </w:rPr>
            </w:pPr>
            <w:r w:rsidRPr="008A7CB8">
              <w:rPr>
                <w:rFonts w:eastAsia="Calibri"/>
              </w:rPr>
              <w:t>2024 CSR1.5</w:t>
            </w:r>
          </w:p>
          <w:p w14:paraId="61F5B4B9" w14:textId="77777777" w:rsidR="00451CC2" w:rsidRPr="008A7CB8" w:rsidRDefault="00451CC2" w:rsidP="008A7CB8">
            <w:pPr>
              <w:pStyle w:val="Tabletext"/>
              <w:rPr>
                <w:rFonts w:eastAsia="Calibri"/>
              </w:rPr>
            </w:pPr>
            <w:r w:rsidRPr="008A7CB8">
              <w:rPr>
                <w:rFonts w:eastAsia="Calibri"/>
              </w:rPr>
              <w:t>2024 CSR1.6</w:t>
            </w:r>
          </w:p>
          <w:p w14:paraId="2A23019D" w14:textId="77777777" w:rsidR="00451CC2" w:rsidRPr="008A7CB8" w:rsidRDefault="00451CC2" w:rsidP="008A7CB8">
            <w:pPr>
              <w:pStyle w:val="Tabletext"/>
              <w:rPr>
                <w:rFonts w:eastAsia="Calibri"/>
              </w:rPr>
            </w:pPr>
            <w:r w:rsidRPr="008A7CB8">
              <w:rPr>
                <w:rFonts w:eastAsia="Calibri"/>
              </w:rPr>
              <w:t xml:space="preserve">2023 CSR1.9 </w:t>
            </w:r>
            <w:r w:rsidR="008E2AC6">
              <w:rPr>
                <w:rFonts w:eastAsia="Calibri"/>
              </w:rPr>
              <w:br/>
            </w:r>
            <w:r w:rsidRPr="008A7CB8">
              <w:rPr>
                <w:rFonts w:eastAsia="Calibri"/>
              </w:rPr>
              <w:t>2022 CSR1.6</w:t>
            </w:r>
          </w:p>
          <w:p w14:paraId="1C01A6CC" w14:textId="77777777" w:rsidR="00451CC2" w:rsidRPr="008A7CB8" w:rsidRDefault="00451CC2" w:rsidP="008A7CB8">
            <w:pPr>
              <w:pStyle w:val="Tabletext"/>
              <w:rPr>
                <w:rFonts w:eastAsia="Calibri"/>
              </w:rPr>
            </w:pPr>
            <w:r w:rsidRPr="008A7CB8">
              <w:rPr>
                <w:rFonts w:eastAsia="Calibri"/>
              </w:rPr>
              <w:t>2020 CSR3.8</w:t>
            </w:r>
          </w:p>
          <w:p w14:paraId="0668B3E2" w14:textId="77777777" w:rsidR="00451CC2" w:rsidRPr="008A7CB8" w:rsidRDefault="00451CC2" w:rsidP="008A7CB8">
            <w:pPr>
              <w:pStyle w:val="Tabletext"/>
              <w:rPr>
                <w:rFonts w:eastAsia="Calibri"/>
              </w:rPr>
            </w:pPr>
            <w:r w:rsidRPr="008A7CB8">
              <w:rPr>
                <w:rFonts w:eastAsia="Calibri"/>
              </w:rPr>
              <w:t>2020 CSR3.9</w:t>
            </w:r>
          </w:p>
          <w:p w14:paraId="79C99B6C" w14:textId="77777777" w:rsidR="00451CC2" w:rsidRPr="008A7CB8" w:rsidRDefault="00451CC2" w:rsidP="008A7CB8">
            <w:pPr>
              <w:pStyle w:val="Tabletext"/>
              <w:rPr>
                <w:rFonts w:eastAsia="Calibri"/>
              </w:rPr>
            </w:pPr>
            <w:r w:rsidRPr="008A7CB8">
              <w:rPr>
                <w:rFonts w:eastAsia="Calibri"/>
              </w:rPr>
              <w:t xml:space="preserve">2019 CSR2.6 </w:t>
            </w:r>
          </w:p>
        </w:tc>
        <w:tc>
          <w:tcPr>
            <w:tcW w:w="1661" w:type="dxa"/>
            <w:tcMar>
              <w:top w:w="0" w:type="dxa"/>
              <w:left w:w="40" w:type="dxa"/>
              <w:bottom w:w="0" w:type="dxa"/>
              <w:right w:w="40" w:type="dxa"/>
            </w:tcMar>
            <w:vAlign w:val="center"/>
          </w:tcPr>
          <w:p w14:paraId="465C7286" w14:textId="77777777" w:rsidR="00451CC2" w:rsidRPr="008A7CB8" w:rsidRDefault="00451CC2" w:rsidP="008A7CB8">
            <w:pPr>
              <w:pStyle w:val="Tabletext"/>
              <w:rPr>
                <w:rFonts w:eastAsia="Calibri"/>
              </w:rPr>
            </w:pPr>
            <w:r w:rsidRPr="008A7CB8">
              <w:rPr>
                <w:rFonts w:eastAsia="Calibri"/>
              </w:rPr>
              <w:t>Social and Economic resilience</w:t>
            </w:r>
          </w:p>
        </w:tc>
        <w:tc>
          <w:tcPr>
            <w:tcW w:w="1661" w:type="dxa"/>
            <w:tcMar>
              <w:top w:w="0" w:type="dxa"/>
              <w:left w:w="100" w:type="dxa"/>
              <w:bottom w:w="0" w:type="dxa"/>
              <w:right w:w="100" w:type="dxa"/>
            </w:tcMar>
            <w:vAlign w:val="center"/>
          </w:tcPr>
          <w:p w14:paraId="63A254EC" w14:textId="77777777" w:rsidR="00451CC2" w:rsidRPr="008A7CB8" w:rsidRDefault="00451CC2" w:rsidP="008A7CB8">
            <w:pPr>
              <w:pStyle w:val="Tabletext"/>
              <w:rPr>
                <w:rFonts w:eastAsia="Calibri"/>
              </w:rPr>
            </w:pPr>
            <w:r w:rsidRPr="008A7CB8">
              <w:rPr>
                <w:rFonts w:eastAsia="Calibri"/>
              </w:rPr>
              <w:t>On track</w:t>
            </w:r>
          </w:p>
        </w:tc>
      </w:tr>
      <w:tr w:rsidR="00451CC2" w:rsidRPr="008A7CB8" w14:paraId="65616E0C" w14:textId="77777777" w:rsidTr="00C9425F">
        <w:trPr>
          <w:trHeight w:val="170"/>
          <w:jc w:val="center"/>
        </w:trPr>
        <w:tc>
          <w:tcPr>
            <w:tcW w:w="2535" w:type="dxa"/>
            <w:tcMar>
              <w:top w:w="0" w:type="dxa"/>
              <w:left w:w="40" w:type="dxa"/>
              <w:bottom w:w="0" w:type="dxa"/>
              <w:right w:w="40" w:type="dxa"/>
            </w:tcMar>
            <w:vAlign w:val="center"/>
          </w:tcPr>
          <w:p w14:paraId="62AD638C" w14:textId="77777777" w:rsidR="00451CC2" w:rsidRPr="008A7CB8" w:rsidRDefault="00540671" w:rsidP="008A7CB8">
            <w:pPr>
              <w:pStyle w:val="Tabletext"/>
              <w:rPr>
                <w:rFonts w:eastAsia="Calibri"/>
              </w:rPr>
            </w:pPr>
            <w:r w:rsidRPr="00540671">
              <w:rPr>
                <w:rFonts w:eastAsia="Calibri"/>
                <w:b/>
              </w:rPr>
              <w:t>REFORM 2:</w:t>
            </w:r>
            <w:r w:rsidR="00451CC2" w:rsidRPr="008A7CB8">
              <w:rPr>
                <w:rFonts w:eastAsia="Calibri"/>
              </w:rPr>
              <w:t xml:space="preserve"> New Incentive and Reward System in the Public Sector</w:t>
            </w:r>
          </w:p>
        </w:tc>
        <w:tc>
          <w:tcPr>
            <w:tcW w:w="1685" w:type="dxa"/>
            <w:tcMar>
              <w:top w:w="0" w:type="dxa"/>
              <w:left w:w="40" w:type="dxa"/>
              <w:bottom w:w="0" w:type="dxa"/>
              <w:right w:w="40" w:type="dxa"/>
            </w:tcMar>
            <w:vAlign w:val="center"/>
          </w:tcPr>
          <w:p w14:paraId="30D0D477" w14:textId="77777777" w:rsidR="00451CC2" w:rsidRPr="008A7CB8" w:rsidRDefault="00451CC2" w:rsidP="008A7CB8">
            <w:pPr>
              <w:pStyle w:val="Tabletext"/>
              <w:rPr>
                <w:rFonts w:eastAsia="Calibri"/>
              </w:rPr>
            </w:pPr>
            <w:r w:rsidRPr="008A7CB8">
              <w:rPr>
                <w:rFonts w:eastAsia="Calibri"/>
              </w:rPr>
              <w:t>RRF 16972</w:t>
            </w:r>
          </w:p>
        </w:tc>
        <w:tc>
          <w:tcPr>
            <w:tcW w:w="1813" w:type="dxa"/>
            <w:tcMar>
              <w:top w:w="0" w:type="dxa"/>
              <w:left w:w="40" w:type="dxa"/>
              <w:bottom w:w="0" w:type="dxa"/>
              <w:right w:w="40" w:type="dxa"/>
            </w:tcMar>
            <w:vAlign w:val="center"/>
          </w:tcPr>
          <w:p w14:paraId="5673B491" w14:textId="77777777" w:rsidR="00451CC2" w:rsidRPr="008A7CB8" w:rsidRDefault="00451CC2" w:rsidP="008A7CB8">
            <w:pPr>
              <w:pStyle w:val="Tabletext"/>
              <w:rPr>
                <w:rFonts w:eastAsia="Calibri"/>
              </w:rPr>
            </w:pPr>
            <w:r w:rsidRPr="008A7CB8">
              <w:rPr>
                <w:rFonts w:eastAsia="Calibri"/>
              </w:rPr>
              <w:t>2025 CSR1.5</w:t>
            </w:r>
          </w:p>
          <w:p w14:paraId="2FE308A0" w14:textId="77777777" w:rsidR="00451CC2" w:rsidRPr="008A7CB8" w:rsidRDefault="00451CC2" w:rsidP="008A7CB8">
            <w:pPr>
              <w:pStyle w:val="Tabletext"/>
              <w:rPr>
                <w:rFonts w:eastAsia="Calibri"/>
              </w:rPr>
            </w:pPr>
            <w:r w:rsidRPr="008A7CB8">
              <w:rPr>
                <w:rFonts w:eastAsia="Calibri"/>
              </w:rPr>
              <w:t>2024 CSR1.5</w:t>
            </w:r>
          </w:p>
          <w:p w14:paraId="33CEB5D2" w14:textId="77777777" w:rsidR="00451CC2" w:rsidRPr="008A7CB8" w:rsidRDefault="00451CC2" w:rsidP="008A7CB8">
            <w:pPr>
              <w:pStyle w:val="Tabletext"/>
              <w:rPr>
                <w:rFonts w:eastAsia="Calibri"/>
              </w:rPr>
            </w:pPr>
            <w:r w:rsidRPr="008A7CB8">
              <w:rPr>
                <w:rFonts w:eastAsia="Calibri"/>
              </w:rPr>
              <w:t>2024 CSR1.6</w:t>
            </w:r>
          </w:p>
          <w:p w14:paraId="1C220F02" w14:textId="77777777" w:rsidR="00451CC2" w:rsidRPr="008A7CB8" w:rsidRDefault="00451CC2" w:rsidP="008A7CB8">
            <w:pPr>
              <w:pStyle w:val="Tabletext"/>
              <w:rPr>
                <w:rFonts w:eastAsia="Calibri"/>
              </w:rPr>
            </w:pPr>
            <w:r w:rsidRPr="008A7CB8">
              <w:rPr>
                <w:rFonts w:eastAsia="Calibri"/>
              </w:rPr>
              <w:t xml:space="preserve">2023 CSR1.9 </w:t>
            </w:r>
            <w:r w:rsidR="008E2AC6">
              <w:rPr>
                <w:rFonts w:eastAsia="Calibri"/>
              </w:rPr>
              <w:br/>
            </w:r>
            <w:r w:rsidRPr="008A7CB8">
              <w:rPr>
                <w:rFonts w:eastAsia="Calibri"/>
              </w:rPr>
              <w:t>2022 CSR1.6</w:t>
            </w:r>
          </w:p>
          <w:p w14:paraId="61A691C5" w14:textId="77777777" w:rsidR="00451CC2" w:rsidRPr="008A7CB8" w:rsidRDefault="00451CC2" w:rsidP="008A7CB8">
            <w:pPr>
              <w:pStyle w:val="Tabletext"/>
              <w:rPr>
                <w:rFonts w:eastAsia="Calibri"/>
              </w:rPr>
            </w:pPr>
            <w:r w:rsidRPr="008A7CB8">
              <w:rPr>
                <w:rFonts w:eastAsia="Calibri"/>
              </w:rPr>
              <w:t>2020 CSR3.8</w:t>
            </w:r>
          </w:p>
          <w:p w14:paraId="4E332ECC" w14:textId="77777777" w:rsidR="00451CC2" w:rsidRPr="008A7CB8" w:rsidRDefault="00451CC2" w:rsidP="008A7CB8">
            <w:pPr>
              <w:pStyle w:val="Tabletext"/>
              <w:rPr>
                <w:rFonts w:eastAsia="Calibri"/>
              </w:rPr>
            </w:pPr>
            <w:r w:rsidRPr="008A7CB8">
              <w:rPr>
                <w:rFonts w:eastAsia="Calibri"/>
              </w:rPr>
              <w:t>2020 CSR3.9</w:t>
            </w:r>
          </w:p>
          <w:p w14:paraId="1C972818" w14:textId="77777777" w:rsidR="00451CC2" w:rsidRPr="008A7CB8" w:rsidRDefault="00451CC2" w:rsidP="008A7CB8">
            <w:pPr>
              <w:pStyle w:val="Tabletext"/>
              <w:rPr>
                <w:rFonts w:eastAsia="Calibri"/>
              </w:rPr>
            </w:pPr>
            <w:r w:rsidRPr="008A7CB8">
              <w:rPr>
                <w:rFonts w:eastAsia="Calibri"/>
              </w:rPr>
              <w:t xml:space="preserve">2019 CSR2.6 </w:t>
            </w:r>
          </w:p>
        </w:tc>
        <w:tc>
          <w:tcPr>
            <w:tcW w:w="1661" w:type="dxa"/>
            <w:tcMar>
              <w:top w:w="0" w:type="dxa"/>
              <w:left w:w="40" w:type="dxa"/>
              <w:bottom w:w="0" w:type="dxa"/>
              <w:right w:w="40" w:type="dxa"/>
            </w:tcMar>
            <w:vAlign w:val="center"/>
          </w:tcPr>
          <w:p w14:paraId="6DE9EE58" w14:textId="77777777" w:rsidR="00451CC2" w:rsidRPr="008A7CB8" w:rsidRDefault="00451CC2" w:rsidP="008A7CB8">
            <w:pPr>
              <w:pStyle w:val="Tabletext"/>
              <w:rPr>
                <w:rFonts w:eastAsia="Calibri"/>
              </w:rPr>
            </w:pPr>
            <w:r w:rsidRPr="008A7CB8">
              <w:rPr>
                <w:rFonts w:eastAsia="Calibri"/>
              </w:rPr>
              <w:t>Social and Economic resilience</w:t>
            </w:r>
          </w:p>
        </w:tc>
        <w:tc>
          <w:tcPr>
            <w:tcW w:w="1661" w:type="dxa"/>
            <w:tcMar>
              <w:top w:w="0" w:type="dxa"/>
              <w:left w:w="100" w:type="dxa"/>
              <w:bottom w:w="0" w:type="dxa"/>
              <w:right w:w="100" w:type="dxa"/>
            </w:tcMar>
            <w:vAlign w:val="center"/>
          </w:tcPr>
          <w:p w14:paraId="426986B4" w14:textId="77777777" w:rsidR="00451CC2" w:rsidRPr="008A7CB8" w:rsidRDefault="00451CC2" w:rsidP="008A7CB8">
            <w:pPr>
              <w:pStyle w:val="Tabletext"/>
              <w:rPr>
                <w:rFonts w:eastAsia="Calibri"/>
              </w:rPr>
            </w:pPr>
            <w:r w:rsidRPr="008A7CB8">
              <w:rPr>
                <w:rFonts w:eastAsia="Calibri"/>
              </w:rPr>
              <w:t xml:space="preserve">Completed </w:t>
            </w:r>
          </w:p>
        </w:tc>
      </w:tr>
      <w:tr w:rsidR="00451CC2" w:rsidRPr="008A7CB8" w14:paraId="5B12D426" w14:textId="77777777" w:rsidTr="00C9425F">
        <w:trPr>
          <w:trHeight w:val="170"/>
          <w:jc w:val="center"/>
        </w:trPr>
        <w:tc>
          <w:tcPr>
            <w:tcW w:w="2535" w:type="dxa"/>
            <w:tcMar>
              <w:top w:w="0" w:type="dxa"/>
              <w:left w:w="40" w:type="dxa"/>
              <w:bottom w:w="0" w:type="dxa"/>
              <w:right w:w="40" w:type="dxa"/>
            </w:tcMar>
            <w:vAlign w:val="center"/>
          </w:tcPr>
          <w:p w14:paraId="65C7A736" w14:textId="77777777" w:rsidR="00451CC2" w:rsidRPr="008A7CB8" w:rsidRDefault="00540671" w:rsidP="008A7CB8">
            <w:pPr>
              <w:pStyle w:val="Tabletext"/>
              <w:rPr>
                <w:rFonts w:eastAsia="Calibri"/>
              </w:rPr>
            </w:pPr>
            <w:r w:rsidRPr="00540671">
              <w:rPr>
                <w:rFonts w:eastAsia="Calibri"/>
                <w:b/>
              </w:rPr>
              <w:lastRenderedPageBreak/>
              <w:t>REFORM 3:</w:t>
            </w:r>
            <w:r w:rsidR="00451CC2" w:rsidRPr="008A7CB8">
              <w:rPr>
                <w:rFonts w:eastAsia="Calibri"/>
              </w:rPr>
              <w:t xml:space="preserve"> National Policy on Administrative Procedures</w:t>
            </w:r>
          </w:p>
        </w:tc>
        <w:tc>
          <w:tcPr>
            <w:tcW w:w="1685" w:type="dxa"/>
            <w:tcMar>
              <w:top w:w="0" w:type="dxa"/>
              <w:left w:w="40" w:type="dxa"/>
              <w:bottom w:w="0" w:type="dxa"/>
              <w:right w:w="40" w:type="dxa"/>
            </w:tcMar>
            <w:vAlign w:val="center"/>
          </w:tcPr>
          <w:p w14:paraId="3766AF30" w14:textId="77777777" w:rsidR="00451CC2" w:rsidRPr="008A7CB8" w:rsidRDefault="00451CC2" w:rsidP="008A7CB8">
            <w:pPr>
              <w:pStyle w:val="Tabletext"/>
              <w:rPr>
                <w:rFonts w:eastAsia="Calibri"/>
              </w:rPr>
            </w:pPr>
            <w:r w:rsidRPr="008A7CB8">
              <w:rPr>
                <w:rFonts w:eastAsia="Calibri"/>
              </w:rPr>
              <w:t>RRF 16929</w:t>
            </w:r>
          </w:p>
        </w:tc>
        <w:tc>
          <w:tcPr>
            <w:tcW w:w="1813" w:type="dxa"/>
            <w:tcMar>
              <w:top w:w="0" w:type="dxa"/>
              <w:left w:w="40" w:type="dxa"/>
              <w:bottom w:w="0" w:type="dxa"/>
              <w:right w:w="40" w:type="dxa"/>
            </w:tcMar>
            <w:vAlign w:val="center"/>
          </w:tcPr>
          <w:p w14:paraId="795BA5D7" w14:textId="77777777" w:rsidR="00451CC2" w:rsidRPr="008A7CB8" w:rsidRDefault="00451CC2" w:rsidP="008A7CB8">
            <w:pPr>
              <w:pStyle w:val="Tabletext"/>
              <w:rPr>
                <w:rFonts w:eastAsia="Calibri"/>
              </w:rPr>
            </w:pPr>
            <w:r w:rsidRPr="008A7CB8">
              <w:rPr>
                <w:rFonts w:eastAsia="Calibri"/>
              </w:rPr>
              <w:t>2025 CSR3.1</w:t>
            </w:r>
          </w:p>
          <w:p w14:paraId="4BF62E67" w14:textId="77777777" w:rsidR="00451CC2" w:rsidRPr="008A7CB8" w:rsidRDefault="00451CC2" w:rsidP="008A7CB8">
            <w:pPr>
              <w:pStyle w:val="Tabletext"/>
              <w:rPr>
                <w:rFonts w:eastAsia="Calibri"/>
              </w:rPr>
            </w:pPr>
            <w:r w:rsidRPr="008A7CB8">
              <w:rPr>
                <w:rFonts w:eastAsia="Calibri"/>
              </w:rPr>
              <w:t>2024 CSR1.7</w:t>
            </w:r>
          </w:p>
          <w:p w14:paraId="3E5F04A7" w14:textId="77777777" w:rsidR="00451CC2" w:rsidRPr="008A7CB8" w:rsidRDefault="00451CC2" w:rsidP="008A7CB8">
            <w:pPr>
              <w:pStyle w:val="Tabletext"/>
              <w:rPr>
                <w:rFonts w:eastAsia="Calibri"/>
              </w:rPr>
            </w:pPr>
            <w:r w:rsidRPr="008A7CB8">
              <w:rPr>
                <w:rFonts w:eastAsia="Calibri"/>
              </w:rPr>
              <w:t>2020 CSR 3.9</w:t>
            </w:r>
          </w:p>
          <w:p w14:paraId="5E424F56" w14:textId="77777777" w:rsidR="00451CC2" w:rsidRPr="008A7CB8" w:rsidRDefault="00451CC2" w:rsidP="008A7CB8">
            <w:pPr>
              <w:pStyle w:val="Tabletext"/>
              <w:rPr>
                <w:rFonts w:eastAsia="Calibri"/>
              </w:rPr>
            </w:pPr>
            <w:r w:rsidRPr="008A7CB8">
              <w:rPr>
                <w:rFonts w:eastAsia="Calibri"/>
              </w:rPr>
              <w:t xml:space="preserve">2019 CSR 2.3 </w:t>
            </w:r>
          </w:p>
        </w:tc>
        <w:tc>
          <w:tcPr>
            <w:tcW w:w="1661" w:type="dxa"/>
            <w:tcMar>
              <w:top w:w="0" w:type="dxa"/>
              <w:left w:w="40" w:type="dxa"/>
              <w:bottom w:w="0" w:type="dxa"/>
              <w:right w:w="40" w:type="dxa"/>
            </w:tcMar>
            <w:vAlign w:val="center"/>
          </w:tcPr>
          <w:p w14:paraId="30EA79D3" w14:textId="77777777" w:rsidR="00451CC2" w:rsidRPr="008A7CB8" w:rsidRDefault="00451CC2" w:rsidP="008A7CB8">
            <w:pPr>
              <w:pStyle w:val="Tabletext"/>
              <w:rPr>
                <w:rFonts w:eastAsia="Calibri"/>
              </w:rPr>
            </w:pPr>
            <w:r w:rsidRPr="008A7CB8">
              <w:rPr>
                <w:rFonts w:eastAsia="Calibri"/>
              </w:rPr>
              <w:t>Social and Economic resilience</w:t>
            </w:r>
          </w:p>
        </w:tc>
        <w:tc>
          <w:tcPr>
            <w:tcW w:w="1661" w:type="dxa"/>
            <w:tcMar>
              <w:top w:w="0" w:type="dxa"/>
              <w:left w:w="100" w:type="dxa"/>
              <w:bottom w:w="0" w:type="dxa"/>
              <w:right w:w="100" w:type="dxa"/>
            </w:tcMar>
            <w:vAlign w:val="center"/>
          </w:tcPr>
          <w:p w14:paraId="2E50567D" w14:textId="77777777" w:rsidR="00451CC2" w:rsidRPr="008A7CB8" w:rsidRDefault="00451CC2" w:rsidP="008A7CB8">
            <w:pPr>
              <w:pStyle w:val="Tabletext"/>
              <w:rPr>
                <w:rFonts w:eastAsia="Calibri"/>
              </w:rPr>
            </w:pPr>
            <w:r w:rsidRPr="008A7CB8">
              <w:rPr>
                <w:rFonts w:eastAsia="Calibri"/>
              </w:rPr>
              <w:t>On track</w:t>
            </w:r>
          </w:p>
        </w:tc>
      </w:tr>
      <w:tr w:rsidR="00451CC2" w:rsidRPr="008A7CB8" w14:paraId="65598915" w14:textId="77777777" w:rsidTr="00C9425F">
        <w:trPr>
          <w:trHeight w:val="170"/>
          <w:jc w:val="center"/>
        </w:trPr>
        <w:tc>
          <w:tcPr>
            <w:tcW w:w="2535" w:type="dxa"/>
            <w:tcMar>
              <w:top w:w="0" w:type="dxa"/>
              <w:left w:w="40" w:type="dxa"/>
              <w:bottom w:w="0" w:type="dxa"/>
              <w:right w:w="40" w:type="dxa"/>
            </w:tcMar>
            <w:vAlign w:val="center"/>
          </w:tcPr>
          <w:p w14:paraId="7C618E5E" w14:textId="77777777" w:rsidR="00451CC2" w:rsidRPr="008A7CB8" w:rsidRDefault="00540671" w:rsidP="008A7CB8">
            <w:pPr>
              <w:pStyle w:val="Tabletext"/>
              <w:rPr>
                <w:rFonts w:eastAsia="Calibri"/>
              </w:rPr>
            </w:pPr>
            <w:r w:rsidRPr="00540671">
              <w:rPr>
                <w:rFonts w:eastAsia="Calibri"/>
                <w:b/>
              </w:rPr>
              <w:t>INVESTMENT 1:</w:t>
            </w:r>
            <w:r w:rsidR="00451CC2" w:rsidRPr="008A7CB8">
              <w:rPr>
                <w:rFonts w:eastAsia="Calibri"/>
              </w:rPr>
              <w:t xml:space="preserve"> Local Government Data Management Hubs</w:t>
            </w:r>
          </w:p>
        </w:tc>
        <w:tc>
          <w:tcPr>
            <w:tcW w:w="1685" w:type="dxa"/>
            <w:tcMar>
              <w:top w:w="0" w:type="dxa"/>
              <w:left w:w="40" w:type="dxa"/>
              <w:bottom w:w="0" w:type="dxa"/>
              <w:right w:w="40" w:type="dxa"/>
            </w:tcMar>
            <w:vAlign w:val="center"/>
          </w:tcPr>
          <w:p w14:paraId="459FA0D0" w14:textId="77777777" w:rsidR="00451CC2" w:rsidRPr="008A7CB8" w:rsidRDefault="00451CC2" w:rsidP="008A7CB8">
            <w:pPr>
              <w:pStyle w:val="Tabletext"/>
              <w:rPr>
                <w:rFonts w:eastAsia="Calibri"/>
              </w:rPr>
            </w:pPr>
            <w:r w:rsidRPr="008A7CB8">
              <w:rPr>
                <w:rFonts w:eastAsia="Calibri"/>
              </w:rPr>
              <w:t>RRF 16842</w:t>
            </w:r>
          </w:p>
        </w:tc>
        <w:tc>
          <w:tcPr>
            <w:tcW w:w="1813" w:type="dxa"/>
            <w:tcMar>
              <w:top w:w="0" w:type="dxa"/>
              <w:left w:w="40" w:type="dxa"/>
              <w:bottom w:w="0" w:type="dxa"/>
              <w:right w:w="40" w:type="dxa"/>
            </w:tcMar>
            <w:vAlign w:val="center"/>
          </w:tcPr>
          <w:p w14:paraId="17E91E5C" w14:textId="77777777" w:rsidR="00451CC2" w:rsidRPr="008A7CB8" w:rsidRDefault="00451CC2" w:rsidP="008A7CB8">
            <w:pPr>
              <w:pStyle w:val="Tabletext"/>
              <w:rPr>
                <w:rFonts w:eastAsia="Calibri"/>
              </w:rPr>
            </w:pPr>
            <w:r w:rsidRPr="008A7CB8">
              <w:rPr>
                <w:rFonts w:eastAsia="Calibri"/>
              </w:rPr>
              <w:t>2020 CSR 1.1</w:t>
            </w:r>
          </w:p>
          <w:p w14:paraId="653E7E3F" w14:textId="77777777" w:rsidR="00451CC2" w:rsidRPr="008A7CB8" w:rsidRDefault="00451CC2" w:rsidP="008A7CB8">
            <w:pPr>
              <w:pStyle w:val="Tabletext"/>
              <w:rPr>
                <w:rFonts w:eastAsia="Calibri"/>
              </w:rPr>
            </w:pPr>
            <w:r w:rsidRPr="008A7CB8">
              <w:rPr>
                <w:rFonts w:eastAsia="Calibri"/>
              </w:rPr>
              <w:t>2020 CSR 3.9</w:t>
            </w:r>
          </w:p>
          <w:p w14:paraId="297E1406" w14:textId="77777777" w:rsidR="00451CC2" w:rsidRPr="008A7CB8" w:rsidRDefault="00451CC2" w:rsidP="008A7CB8">
            <w:pPr>
              <w:pStyle w:val="Tabletext"/>
              <w:rPr>
                <w:rFonts w:eastAsia="Calibri"/>
              </w:rPr>
            </w:pPr>
            <w:r w:rsidRPr="008A7CB8">
              <w:rPr>
                <w:rFonts w:eastAsia="Calibri"/>
              </w:rPr>
              <w:t>2019 CSR2.3</w:t>
            </w:r>
          </w:p>
          <w:p w14:paraId="64D2FB8D" w14:textId="77777777" w:rsidR="00451CC2" w:rsidRPr="008A7CB8" w:rsidRDefault="00451CC2" w:rsidP="008A7CB8">
            <w:pPr>
              <w:pStyle w:val="Tabletext"/>
              <w:rPr>
                <w:rFonts w:eastAsia="Calibri"/>
              </w:rPr>
            </w:pPr>
          </w:p>
        </w:tc>
        <w:tc>
          <w:tcPr>
            <w:tcW w:w="1661" w:type="dxa"/>
            <w:tcMar>
              <w:top w:w="0" w:type="dxa"/>
              <w:left w:w="40" w:type="dxa"/>
              <w:bottom w:w="0" w:type="dxa"/>
              <w:right w:w="40" w:type="dxa"/>
            </w:tcMar>
            <w:vAlign w:val="center"/>
          </w:tcPr>
          <w:p w14:paraId="0D09341B" w14:textId="77777777" w:rsidR="00451CC2" w:rsidRPr="008A7CB8" w:rsidRDefault="00451CC2" w:rsidP="008A7CB8">
            <w:pPr>
              <w:pStyle w:val="Tabletext"/>
              <w:rPr>
                <w:rFonts w:eastAsia="Calibri"/>
              </w:rPr>
            </w:pPr>
            <w:r w:rsidRPr="008A7CB8">
              <w:rPr>
                <w:rFonts w:eastAsia="Calibri"/>
              </w:rPr>
              <w:t>Social and Economic resilience</w:t>
            </w:r>
          </w:p>
          <w:p w14:paraId="3520A828" w14:textId="77777777" w:rsidR="00451CC2" w:rsidRPr="008A7CB8" w:rsidRDefault="00451CC2" w:rsidP="008A7CB8">
            <w:pPr>
              <w:pStyle w:val="Tabletext"/>
              <w:rPr>
                <w:rFonts w:eastAsia="Calibri"/>
              </w:rPr>
            </w:pPr>
            <w:r w:rsidRPr="008A7CB8">
              <w:rPr>
                <w:rFonts w:eastAsia="Calibri"/>
              </w:rPr>
              <w:t>Common Priority Fair green and digital transition</w:t>
            </w:r>
          </w:p>
        </w:tc>
        <w:tc>
          <w:tcPr>
            <w:tcW w:w="1661" w:type="dxa"/>
            <w:tcMar>
              <w:top w:w="0" w:type="dxa"/>
              <w:left w:w="100" w:type="dxa"/>
              <w:bottom w:w="0" w:type="dxa"/>
              <w:right w:w="100" w:type="dxa"/>
            </w:tcMar>
            <w:vAlign w:val="center"/>
          </w:tcPr>
          <w:p w14:paraId="40DFD0C9" w14:textId="77777777" w:rsidR="00451CC2" w:rsidRPr="008A7CB8" w:rsidRDefault="00451CC2" w:rsidP="008A7CB8">
            <w:pPr>
              <w:pStyle w:val="Tabletext"/>
              <w:rPr>
                <w:rFonts w:eastAsia="Calibri"/>
              </w:rPr>
            </w:pPr>
            <w:r w:rsidRPr="008A7CB8">
              <w:rPr>
                <w:rFonts w:eastAsia="Calibri"/>
              </w:rPr>
              <w:t>Completed</w:t>
            </w:r>
          </w:p>
        </w:tc>
      </w:tr>
      <w:tr w:rsidR="00451CC2" w:rsidRPr="008A7CB8" w14:paraId="2C5425F0" w14:textId="77777777" w:rsidTr="00C9425F">
        <w:trPr>
          <w:trHeight w:val="170"/>
          <w:jc w:val="center"/>
        </w:trPr>
        <w:tc>
          <w:tcPr>
            <w:tcW w:w="2535" w:type="dxa"/>
            <w:tcMar>
              <w:top w:w="0" w:type="dxa"/>
              <w:left w:w="40" w:type="dxa"/>
              <w:bottom w:w="0" w:type="dxa"/>
              <w:right w:w="40" w:type="dxa"/>
            </w:tcMar>
            <w:vAlign w:val="center"/>
          </w:tcPr>
          <w:p w14:paraId="36ECD135" w14:textId="77777777" w:rsidR="00451CC2" w:rsidRPr="008A7CB8" w:rsidRDefault="00540671" w:rsidP="008A7CB8">
            <w:pPr>
              <w:pStyle w:val="Tabletext"/>
              <w:rPr>
                <w:rFonts w:eastAsia="Calibri"/>
              </w:rPr>
            </w:pPr>
            <w:r w:rsidRPr="00540671">
              <w:rPr>
                <w:rFonts w:eastAsia="Calibri"/>
                <w:b/>
              </w:rPr>
              <w:t>INVESTMENT 2:</w:t>
            </w:r>
            <w:r w:rsidR="00451CC2" w:rsidRPr="008A7CB8">
              <w:rPr>
                <w:rFonts w:eastAsia="Calibri"/>
              </w:rPr>
              <w:t xml:space="preserve"> Road Safety Projects in Local Authorities (Municipalities)</w:t>
            </w:r>
          </w:p>
        </w:tc>
        <w:tc>
          <w:tcPr>
            <w:tcW w:w="1685" w:type="dxa"/>
            <w:tcMar>
              <w:top w:w="0" w:type="dxa"/>
              <w:left w:w="40" w:type="dxa"/>
              <w:bottom w:w="0" w:type="dxa"/>
              <w:right w:w="40" w:type="dxa"/>
            </w:tcMar>
            <w:vAlign w:val="center"/>
          </w:tcPr>
          <w:p w14:paraId="3622AB48" w14:textId="77777777" w:rsidR="00451CC2" w:rsidRPr="008A7CB8" w:rsidRDefault="00451CC2" w:rsidP="008A7CB8">
            <w:pPr>
              <w:pStyle w:val="Tabletext"/>
              <w:rPr>
                <w:rFonts w:eastAsia="Calibri"/>
              </w:rPr>
            </w:pPr>
            <w:r w:rsidRPr="008A7CB8">
              <w:rPr>
                <w:rFonts w:eastAsia="Calibri"/>
              </w:rPr>
              <w:t>RRF 16331</w:t>
            </w:r>
          </w:p>
        </w:tc>
        <w:tc>
          <w:tcPr>
            <w:tcW w:w="1813" w:type="dxa"/>
            <w:tcMar>
              <w:top w:w="0" w:type="dxa"/>
              <w:left w:w="40" w:type="dxa"/>
              <w:bottom w:w="0" w:type="dxa"/>
              <w:right w:w="40" w:type="dxa"/>
            </w:tcMar>
            <w:vAlign w:val="center"/>
          </w:tcPr>
          <w:p w14:paraId="6B11B881" w14:textId="77777777" w:rsidR="00451CC2" w:rsidRPr="008A7CB8" w:rsidRDefault="00451CC2" w:rsidP="008A7CB8">
            <w:pPr>
              <w:pStyle w:val="Tabletext"/>
              <w:rPr>
                <w:rFonts w:eastAsia="Calibri"/>
              </w:rPr>
            </w:pPr>
            <w:r w:rsidRPr="008A7CB8">
              <w:rPr>
                <w:rFonts w:eastAsia="Calibri"/>
              </w:rPr>
              <w:t>2020.CSR3.4 2019.CSR2.1</w:t>
            </w:r>
          </w:p>
        </w:tc>
        <w:tc>
          <w:tcPr>
            <w:tcW w:w="1661" w:type="dxa"/>
            <w:tcMar>
              <w:top w:w="0" w:type="dxa"/>
              <w:left w:w="40" w:type="dxa"/>
              <w:bottom w:w="0" w:type="dxa"/>
              <w:right w:w="40" w:type="dxa"/>
            </w:tcMar>
            <w:vAlign w:val="center"/>
          </w:tcPr>
          <w:p w14:paraId="21E0146B" w14:textId="77777777" w:rsidR="00451CC2" w:rsidRPr="008A7CB8" w:rsidRDefault="00451CC2" w:rsidP="008A7CB8">
            <w:pPr>
              <w:pStyle w:val="Tabletext"/>
              <w:rPr>
                <w:rFonts w:eastAsia="Calibri"/>
              </w:rPr>
            </w:pPr>
            <w:r w:rsidRPr="008A7CB8">
              <w:rPr>
                <w:rFonts w:eastAsia="Calibri"/>
              </w:rPr>
              <w:t>Social and Economic resilience</w:t>
            </w:r>
          </w:p>
        </w:tc>
        <w:tc>
          <w:tcPr>
            <w:tcW w:w="1661" w:type="dxa"/>
            <w:tcMar>
              <w:top w:w="0" w:type="dxa"/>
              <w:left w:w="100" w:type="dxa"/>
              <w:bottom w:w="0" w:type="dxa"/>
              <w:right w:w="100" w:type="dxa"/>
            </w:tcMar>
            <w:vAlign w:val="center"/>
          </w:tcPr>
          <w:p w14:paraId="2C7C018C" w14:textId="77777777" w:rsidR="00451CC2" w:rsidRPr="008A7CB8" w:rsidRDefault="00451CC2" w:rsidP="008A7CB8">
            <w:pPr>
              <w:pStyle w:val="Tabletext"/>
              <w:rPr>
                <w:rFonts w:eastAsia="Calibri"/>
              </w:rPr>
            </w:pPr>
            <w:r w:rsidRPr="008A7CB8">
              <w:rPr>
                <w:rFonts w:eastAsia="Calibri"/>
              </w:rPr>
              <w:t>On track</w:t>
            </w:r>
          </w:p>
        </w:tc>
      </w:tr>
    </w:tbl>
    <w:p w14:paraId="33402601" w14:textId="77777777" w:rsidR="00451CC2" w:rsidRPr="00451CC2" w:rsidRDefault="00451CC2" w:rsidP="00285644">
      <w:pPr>
        <w:spacing w:before="240"/>
        <w:rPr>
          <w:rFonts w:eastAsia="Calibri"/>
          <w:lang w:val="en-US"/>
        </w:rPr>
      </w:pPr>
      <w:r w:rsidRPr="00451CC2">
        <w:rPr>
          <w:rFonts w:eastAsia="Calibri"/>
          <w:lang w:val="en-US"/>
        </w:rPr>
        <w:t xml:space="preserve">The </w:t>
      </w:r>
      <w:r w:rsidRPr="00451CC2">
        <w:rPr>
          <w:rFonts w:eastAsia="Calibri"/>
          <w:b/>
          <w:bCs/>
          <w:lang w:val="en-US"/>
        </w:rPr>
        <w:t>RRF reform</w:t>
      </w:r>
      <w:r w:rsidRPr="00451CC2">
        <w:rPr>
          <w:rFonts w:eastAsia="Calibri"/>
          <w:lang w:val="en-US"/>
        </w:rPr>
        <w:t xml:space="preserve"> </w:t>
      </w:r>
      <w:r w:rsidRPr="00451CC2">
        <w:rPr>
          <w:rFonts w:eastAsia="Calibri"/>
          <w:b/>
          <w:lang w:val="en-US"/>
        </w:rPr>
        <w:t>“</w:t>
      </w:r>
      <w:r w:rsidRPr="00451CC2">
        <w:rPr>
          <w:rFonts w:eastAsia="Calibri"/>
          <w:b/>
          <w:bCs/>
          <w:lang w:val="en-US"/>
        </w:rPr>
        <w:t>National Multilevel Governance System</w:t>
      </w:r>
      <w:r w:rsidRPr="00451CC2">
        <w:rPr>
          <w:rFonts w:eastAsia="Calibri"/>
          <w:b/>
          <w:lang w:val="en-US"/>
        </w:rPr>
        <w:t>”</w:t>
      </w:r>
      <w:r w:rsidRPr="00451CC2">
        <w:rPr>
          <w:rFonts w:eastAsia="Calibri"/>
          <w:lang w:val="en-US"/>
        </w:rPr>
        <w:t xml:space="preserve">, (Subpart.1 Multilevel Governance, Subproject 1.2 - Development of the Multilevel Governance System - MGS, Subproject 1.3 - Information System - IS of 16972ID)  was introduced </w:t>
      </w:r>
      <w:r>
        <w:rPr>
          <w:rFonts w:eastAsia="Calibri"/>
          <w:lang w:val="en-US"/>
        </w:rPr>
        <w:t>by</w:t>
      </w:r>
      <w:r w:rsidRPr="00451CC2">
        <w:rPr>
          <w:rFonts w:eastAsia="Calibri"/>
          <w:lang w:val="en-US"/>
        </w:rPr>
        <w:t xml:space="preserve"> Law 5013/2023, with the objective of enhancing the quality of public services provided to citizens by rationalizing the allocation of competencies across different levels of governance. In particular, the framework has been structured around four distinct governance levels </w:t>
      </w:r>
      <w:r w:rsidR="00043D85">
        <w:rPr>
          <w:lang w:val="en-US"/>
        </w:rPr>
        <w:t>—</w:t>
      </w:r>
      <w:r w:rsidRPr="00451CC2">
        <w:rPr>
          <w:rFonts w:eastAsia="Calibri"/>
          <w:lang w:val="en-US"/>
        </w:rPr>
        <w:t xml:space="preserve">central, </w:t>
      </w:r>
      <w:proofErr w:type="spellStart"/>
      <w:r w:rsidRPr="00451CC2">
        <w:rPr>
          <w:rFonts w:eastAsia="Calibri"/>
          <w:lang w:val="en-US"/>
        </w:rPr>
        <w:t>decentralised</w:t>
      </w:r>
      <w:proofErr w:type="spellEnd"/>
      <w:r w:rsidRPr="00451CC2">
        <w:rPr>
          <w:rFonts w:eastAsia="Calibri"/>
          <w:lang w:val="en-US"/>
        </w:rPr>
        <w:t>, regional, and local</w:t>
      </w:r>
      <w:r w:rsidR="00043D85">
        <w:rPr>
          <w:lang w:val="en-US"/>
        </w:rPr>
        <w:t>—</w:t>
      </w:r>
      <w:r w:rsidRPr="00451CC2">
        <w:rPr>
          <w:rFonts w:eastAsia="Calibri"/>
          <w:lang w:val="en-US"/>
        </w:rPr>
        <w:t xml:space="preserve"> clarifying the distribution of roles and responsibilities. Complementing this, a comprehensive hierarchical classification of policy areas has been developed, spanning four levels: the first two aligned with the COFOG classification, followed by thematic policy areas, and a detailed mapping of competences at the level of individual public administration entities. Building on this legal framework, the Ministry of Interior has advanced significantly in </w:t>
      </w:r>
      <w:proofErr w:type="spellStart"/>
      <w:r w:rsidRPr="00451CC2">
        <w:rPr>
          <w:rFonts w:eastAsia="Calibri"/>
          <w:lang w:val="en-US"/>
        </w:rPr>
        <w:t>operationalising</w:t>
      </w:r>
      <w:proofErr w:type="spellEnd"/>
      <w:r w:rsidRPr="00451CC2">
        <w:rPr>
          <w:rFonts w:eastAsia="Calibri"/>
          <w:lang w:val="en-US"/>
        </w:rPr>
        <w:t xml:space="preserve"> the Multi-Level Governance (MLG) model, with a focus on enhancing administrative efficiency, transparency, and coordination across levels of government, supported by digital tools. At the same time, notable progress has been achieved in the digital implementation of the reform. Two phases of the MLG Information System have been completed: the first enabling the systematic </w:t>
      </w:r>
      <w:proofErr w:type="spellStart"/>
      <w:r w:rsidRPr="00451CC2">
        <w:rPr>
          <w:rFonts w:eastAsia="Calibri"/>
          <w:lang w:val="en-US"/>
        </w:rPr>
        <w:t>digitisation</w:t>
      </w:r>
      <w:proofErr w:type="spellEnd"/>
      <w:r w:rsidRPr="00451CC2">
        <w:rPr>
          <w:rFonts w:eastAsia="Calibri"/>
          <w:lang w:val="en-US"/>
        </w:rPr>
        <w:t xml:space="preserve"> of </w:t>
      </w:r>
      <w:proofErr w:type="spellStart"/>
      <w:r w:rsidRPr="00451CC2">
        <w:rPr>
          <w:rFonts w:eastAsia="Calibri"/>
          <w:lang w:val="en-US"/>
        </w:rPr>
        <w:t>organisational</w:t>
      </w:r>
      <w:proofErr w:type="spellEnd"/>
      <w:r w:rsidRPr="00451CC2">
        <w:rPr>
          <w:rFonts w:eastAsia="Calibri"/>
          <w:lang w:val="en-US"/>
        </w:rPr>
        <w:t xml:space="preserve"> structures (including entities, administrative units, competences, and relevant legal acts), and the second extending to resource management data, such as real estate, equipment, and human resources. In addition, further enhancement of the system is underway through the planned integration of an AI-based component to support the automated registration and classification of competences. In the same vein, the Unified Code on Local Government represents a broader legislative initiative, while remaining closely aligned with the reform’s objectives. More specifically, the first practical application of the new MLG framework is reflected in the third book of the Unified Code on Local Government, which lists the competences of regions and municipalities, identifies the responsible level of governance, and classifies them according to both governance level and the COFOG model, and is expected to be adopted by May 2026. Overall, these developments mark a critical step towards a more coherent, data-driven, and interoperable governance model.</w:t>
      </w:r>
    </w:p>
    <w:p w14:paraId="3EFEC895" w14:textId="77777777" w:rsidR="00451CC2" w:rsidRPr="00451CC2" w:rsidRDefault="00451CC2" w:rsidP="000F3F38">
      <w:pPr>
        <w:rPr>
          <w:rFonts w:eastAsia="Calibri"/>
          <w:lang w:val="en-US"/>
        </w:rPr>
      </w:pPr>
      <w:r w:rsidRPr="00451CC2">
        <w:rPr>
          <w:rFonts w:eastAsia="Calibri"/>
          <w:lang w:val="en-US"/>
        </w:rPr>
        <w:t xml:space="preserve">The </w:t>
      </w:r>
      <w:r w:rsidRPr="00451CC2">
        <w:rPr>
          <w:rFonts w:eastAsia="Calibri"/>
          <w:b/>
          <w:bCs/>
          <w:lang w:val="en-US"/>
        </w:rPr>
        <w:t xml:space="preserve">RRF reform “New Incentive and Reward System in the Public Sector’’ </w:t>
      </w:r>
      <w:r w:rsidRPr="00451CC2">
        <w:rPr>
          <w:rFonts w:eastAsia="Calibri"/>
          <w:lang w:val="en-US"/>
        </w:rPr>
        <w:t xml:space="preserve">aims to maximize the performance of public organizations while improving the processes for employee performance assessment and goal setting. Primary legislation (Articles 31–37 of Law 5149/2024) has established a structured framework linking rewards to the goal-setting and evaluation processes outlined in Law 4940/2022. In April 2025, the issuance of circular guidelines for the implementation of the new incentive and rewards system for the project “New system for providing incentives and rewards (bonus) for employees’ contribution to </w:t>
      </w:r>
      <w:r w:rsidRPr="00451CC2">
        <w:rPr>
          <w:rFonts w:eastAsia="Calibri"/>
          <w:lang w:val="en-US"/>
        </w:rPr>
        <w:lastRenderedPageBreak/>
        <w:t>achieving targets” [31/01/2025 – 02/04/2025] was completed. By the end of 2025 the Act of the Council of Ministers (OJ 240/A’/22.12.2025) was issued as a final procedural prerequisite for the implementation of the new Incentive and Reward System in the Public Sector of Greece.</w:t>
      </w:r>
    </w:p>
    <w:p w14:paraId="4F61DC43" w14:textId="5D309C15" w:rsidR="00451CC2" w:rsidRPr="00451CC2" w:rsidRDefault="00451CC2" w:rsidP="000F3F38">
      <w:pPr>
        <w:rPr>
          <w:rFonts w:eastAsia="Calibri"/>
          <w:lang w:val="en-US"/>
        </w:rPr>
      </w:pPr>
      <w:r w:rsidRPr="00451CC2">
        <w:rPr>
          <w:rFonts w:eastAsia="Calibri"/>
          <w:lang w:val="en-US"/>
        </w:rPr>
        <w:t xml:space="preserve">The </w:t>
      </w:r>
      <w:r w:rsidRPr="00451CC2">
        <w:rPr>
          <w:rFonts w:eastAsia="Calibri"/>
          <w:b/>
          <w:bCs/>
          <w:lang w:val="en-US"/>
        </w:rPr>
        <w:t>RRF</w:t>
      </w:r>
      <w:r w:rsidRPr="00451CC2">
        <w:rPr>
          <w:rFonts w:eastAsia="Calibri"/>
          <w:lang w:val="en-US"/>
        </w:rPr>
        <w:t xml:space="preserve"> </w:t>
      </w:r>
      <w:r w:rsidRPr="00451CC2">
        <w:rPr>
          <w:rFonts w:eastAsia="Calibri"/>
          <w:b/>
          <w:bCs/>
          <w:lang w:val="en-US"/>
        </w:rPr>
        <w:t>reform</w:t>
      </w:r>
      <w:r w:rsidRPr="00451CC2">
        <w:rPr>
          <w:rFonts w:eastAsia="Calibri"/>
          <w:lang w:val="en-US"/>
        </w:rPr>
        <w:t xml:space="preserve"> </w:t>
      </w:r>
      <w:r w:rsidRPr="00451CC2">
        <w:rPr>
          <w:rFonts w:eastAsia="Calibri"/>
          <w:b/>
          <w:lang w:val="en-US"/>
        </w:rPr>
        <w:t>“</w:t>
      </w:r>
      <w:r w:rsidRPr="00451CC2">
        <w:rPr>
          <w:rFonts w:eastAsia="Calibri"/>
          <w:b/>
          <w:bCs/>
          <w:lang w:val="en-US"/>
        </w:rPr>
        <w:t>National Policy on Administrative Procedures</w:t>
      </w:r>
      <w:r w:rsidRPr="00451CC2">
        <w:rPr>
          <w:rFonts w:eastAsia="Calibri"/>
          <w:lang w:val="en-US"/>
        </w:rPr>
        <w:t xml:space="preserve"> </w:t>
      </w:r>
      <w:r w:rsidRPr="00451CC2">
        <w:rPr>
          <w:rFonts w:eastAsia="Calibri"/>
          <w:b/>
          <w:bCs/>
          <w:lang w:val="en-US"/>
        </w:rPr>
        <w:t>(NPAP)”</w:t>
      </w:r>
      <w:r w:rsidRPr="00451CC2">
        <w:rPr>
          <w:rFonts w:eastAsia="Calibri"/>
          <w:lang w:val="en-US"/>
        </w:rPr>
        <w:t xml:space="preserve"> constitutes a unified and coherent framework aimed at the continuous improvement of public administrative processes and the reduction of bureaucratic burdens. It is structured around three interconnected pillars: (</w:t>
      </w:r>
      <w:proofErr w:type="spellStart"/>
      <w:r w:rsidRPr="00451CC2">
        <w:rPr>
          <w:rFonts w:eastAsia="Calibri"/>
          <w:lang w:val="en-US"/>
        </w:rPr>
        <w:t>i</w:t>
      </w:r>
      <w:proofErr w:type="spellEnd"/>
      <w:r w:rsidRPr="00451CC2">
        <w:rPr>
          <w:rFonts w:eastAsia="Calibri"/>
          <w:lang w:val="en-US"/>
        </w:rPr>
        <w:t xml:space="preserve">) the National Registry of Administrative Procedures “MITOS”, which serves as a centralized repository for the documentation of procedures; (ii) the National Program for Procedure Simplification, which focuses on redesigning and streamlining existing administrative workflows; and (iii) the Observatory for Bureaucracy, which assesses the impact of simplification initiatives on administrative efficiency. As of 15 April 2026, a total of 4,292 administrative procedures have been published on the MITOS platform by the Ministry of Interior, marking significant progress in the </w:t>
      </w:r>
      <w:proofErr w:type="spellStart"/>
      <w:r w:rsidRPr="00451CC2">
        <w:rPr>
          <w:rFonts w:eastAsia="Calibri"/>
          <w:lang w:val="en-US"/>
        </w:rPr>
        <w:t>standardisation</w:t>
      </w:r>
      <w:proofErr w:type="spellEnd"/>
      <w:r w:rsidRPr="00451CC2">
        <w:rPr>
          <w:rFonts w:eastAsia="Calibri"/>
          <w:lang w:val="en-US"/>
        </w:rPr>
        <w:t xml:space="preserve">, documentation, and transparency of public administration processes. This initiative constitutes a key component of the national reform agenda, enhancing efficiency, legal certainty, and user-oriented service delivery. The platform has also received international recognition, earning the “EPSA 2023–24 Special Recognition” at the EIPA awards. These actions contribute to reducing administrative burdens for businesses through the simplification and digitalisation of procedures, as reflected in Greece’s improved DESI performance (from 64.40 in 2023 to 76.72 in 2025, an increase of 18.76%). Further progress is linked to milestone 99 which introduces a </w:t>
      </w:r>
      <w:proofErr w:type="spellStart"/>
      <w:r w:rsidRPr="00451CC2">
        <w:rPr>
          <w:rFonts w:eastAsia="Calibri"/>
          <w:lang w:val="en-US"/>
        </w:rPr>
        <w:t>standardised</w:t>
      </w:r>
      <w:proofErr w:type="spellEnd"/>
      <w:r w:rsidRPr="00451CC2">
        <w:rPr>
          <w:rFonts w:eastAsia="Calibri"/>
          <w:lang w:val="en-US"/>
        </w:rPr>
        <w:t xml:space="preserve"> methodology based on the Standard Cost Model, the establishment of a Bureaucracy Measurement Index (BMI), and an enhanced Regulatory Impact Analysis (RIA) framework. It further includes the publication of 20 measurement reports and the full </w:t>
      </w:r>
      <w:proofErr w:type="spellStart"/>
      <w:r w:rsidRPr="00451CC2">
        <w:rPr>
          <w:rFonts w:eastAsia="Calibri"/>
          <w:lang w:val="en-US"/>
        </w:rPr>
        <w:t>operationalisation</w:t>
      </w:r>
      <w:proofErr w:type="spellEnd"/>
      <w:r w:rsidRPr="00451CC2">
        <w:rPr>
          <w:rFonts w:eastAsia="Calibri"/>
          <w:lang w:val="en-US"/>
        </w:rPr>
        <w:t xml:space="preserve"> of the Bureaucracy Observatory, with a formal mandate to monitor and implement the methodology, by the end of June</w:t>
      </w:r>
      <w:r w:rsidRPr="00451CC2">
        <w:rPr>
          <w:rFonts w:eastAsia="Calibri"/>
          <w:color w:val="FF0000"/>
          <w:lang w:val="en-US"/>
        </w:rPr>
        <w:t xml:space="preserve"> </w:t>
      </w:r>
      <w:r w:rsidRPr="00451CC2">
        <w:rPr>
          <w:rFonts w:eastAsia="Calibri"/>
          <w:lang w:val="en-US"/>
        </w:rPr>
        <w:t>2026. It should be noted that pursuant to the recent Joint Decision No. 1899/5-2-2026 of the Deputy Ministers of Economy and Finance and of the Interior (OJ B’ 552) the Coordinating Committee of the National Program for the Simplification of Procedures is established in order to support the coordination and monitoring of reform initiatives. The scope of the EPAD Coordinating Committee includes actions related to the design and implementation of measures to simplify procedures, such as the systematic use of ex officio document exchange (e.g. birth and family status certificates) between public authorities, reducing burden and supporting the “once-only” principle. It is worth noting that the reform of the Local Government Code constitutes a major undertaking aimed at simplification, codification, and the reduction of administrative burdens, thereby reflecting the objectives of the reform in the best possible way. Given the vast scope of the material it covers</w:t>
      </w:r>
      <w:r w:rsidR="00CA62F8">
        <w:rPr>
          <w:rFonts w:eastAsia="Calibri"/>
          <w:lang w:val="en-US"/>
        </w:rPr>
        <w:t xml:space="preserve"> </w:t>
      </w:r>
      <w:r w:rsidRPr="00451CC2">
        <w:rPr>
          <w:rFonts w:eastAsia="Calibri"/>
          <w:lang w:val="en-US"/>
        </w:rPr>
        <w:t>—encompassing all areas of local government activity—</w:t>
      </w:r>
      <w:r w:rsidR="00CA62F8">
        <w:rPr>
          <w:rFonts w:eastAsia="Calibri"/>
          <w:lang w:val="en-US"/>
        </w:rPr>
        <w:t xml:space="preserve"> </w:t>
      </w:r>
      <w:r w:rsidRPr="00451CC2">
        <w:rPr>
          <w:rFonts w:eastAsia="Calibri"/>
          <w:lang w:val="en-US"/>
        </w:rPr>
        <w:t xml:space="preserve">it also serves the purposes of the aforementioned reform of multilevel governance.  Finally, a Technical Support Instrument (TSI) project with Expertise France introduces an AI tool, which identifies and streamlines or eliminates unnecessary procedures enabling evidence-based simplification and </w:t>
      </w:r>
      <w:proofErr w:type="spellStart"/>
      <w:r w:rsidRPr="00451CC2">
        <w:rPr>
          <w:rFonts w:eastAsia="Calibri"/>
          <w:lang w:val="en-US"/>
        </w:rPr>
        <w:t>optimisation</w:t>
      </w:r>
      <w:proofErr w:type="spellEnd"/>
      <w:r w:rsidRPr="00451CC2">
        <w:rPr>
          <w:rFonts w:eastAsia="Calibri"/>
          <w:lang w:val="en-US"/>
        </w:rPr>
        <w:t xml:space="preserve"> of administrative processes.</w:t>
      </w:r>
    </w:p>
    <w:p w14:paraId="784BD1E6" w14:textId="77777777" w:rsidR="00451CC2" w:rsidRPr="00451CC2" w:rsidRDefault="00451CC2" w:rsidP="000F3F38">
      <w:pPr>
        <w:rPr>
          <w:rFonts w:eastAsia="Calibri"/>
          <w:lang w:val="en-US"/>
        </w:rPr>
      </w:pPr>
      <w:r w:rsidRPr="00451CC2">
        <w:rPr>
          <w:rFonts w:eastAsia="Calibri"/>
          <w:lang w:val="en-US"/>
        </w:rPr>
        <w:t xml:space="preserve">The </w:t>
      </w:r>
      <w:r w:rsidRPr="00451CC2">
        <w:rPr>
          <w:rFonts w:eastAsia="Calibri"/>
          <w:b/>
          <w:bCs/>
          <w:lang w:val="en-US"/>
        </w:rPr>
        <w:t>RRF investment</w:t>
      </w:r>
      <w:r w:rsidRPr="00451CC2">
        <w:rPr>
          <w:rFonts w:eastAsia="Calibri"/>
          <w:lang w:val="en-US"/>
        </w:rPr>
        <w:t xml:space="preserve"> </w:t>
      </w:r>
      <w:r w:rsidRPr="00451CC2">
        <w:rPr>
          <w:rFonts w:eastAsia="Calibri"/>
          <w:b/>
          <w:bCs/>
          <w:lang w:val="en-US"/>
        </w:rPr>
        <w:t>of</w:t>
      </w:r>
      <w:r w:rsidRPr="00451CC2">
        <w:rPr>
          <w:rFonts w:eastAsia="Calibri"/>
          <w:lang w:val="en-US"/>
        </w:rPr>
        <w:t xml:space="preserve"> </w:t>
      </w:r>
      <w:r w:rsidRPr="00451CC2">
        <w:rPr>
          <w:rFonts w:eastAsia="Calibri"/>
          <w:b/>
          <w:lang w:val="en-US"/>
        </w:rPr>
        <w:t>“</w:t>
      </w:r>
      <w:r w:rsidRPr="00451CC2">
        <w:rPr>
          <w:rFonts w:eastAsia="Calibri"/>
          <w:b/>
          <w:bCs/>
          <w:lang w:val="en-US"/>
        </w:rPr>
        <w:t>Local Government Data Management Hubs”</w:t>
      </w:r>
      <w:r w:rsidRPr="00451CC2">
        <w:rPr>
          <w:rFonts w:eastAsia="Calibri"/>
          <w:lang w:val="en-US"/>
        </w:rPr>
        <w:t xml:space="preserve">, implemented pursuant to the Memorandum of Cooperation signed on 11 June 2024 between the Ministers of Interior and Digital Governance, forms part of the framework agreement for the RRF-funded project “Central Hub for the Management and Analysis of Multidimensional Big Data -Central BI - Data </w:t>
      </w:r>
      <w:r w:rsidRPr="00451CC2">
        <w:rPr>
          <w:rFonts w:eastAsia="Calibri"/>
          <w:lang w:val="en-US"/>
        </w:rPr>
        <w:lastRenderedPageBreak/>
        <w:t xml:space="preserve">Analytics - 16842ID”. It constitutes a strategic investment comprising two key components aimed at strengthening data governance, enhancing transparency, and improving operational efficiency across Local Government Authorities (LGAs): </w:t>
      </w:r>
    </w:p>
    <w:p w14:paraId="0FC06369" w14:textId="77777777" w:rsidR="00451CC2" w:rsidRPr="00451CC2" w:rsidRDefault="00451CC2" w:rsidP="003D2D44">
      <w:pPr>
        <w:spacing w:after="0"/>
        <w:rPr>
          <w:rFonts w:eastAsia="Calibri"/>
          <w:b/>
          <w:bCs/>
          <w:lang w:val="en-US"/>
        </w:rPr>
      </w:pPr>
      <w:r w:rsidRPr="00451CC2">
        <w:rPr>
          <w:rFonts w:eastAsia="Calibri"/>
          <w:b/>
          <w:bCs/>
          <w:lang w:val="en-US"/>
        </w:rPr>
        <w:t>1. Upgrade of the Interoperability Hub and Financial Information Services for LGAs:</w:t>
      </w:r>
    </w:p>
    <w:p w14:paraId="62B27A8D" w14:textId="77777777" w:rsidR="00451CC2" w:rsidRPr="00451CC2" w:rsidRDefault="00451CC2" w:rsidP="000F3F38">
      <w:pPr>
        <w:rPr>
          <w:rFonts w:eastAsia="Calibri"/>
          <w:lang w:val="en-US"/>
        </w:rPr>
      </w:pPr>
      <w:r w:rsidRPr="00451CC2">
        <w:rPr>
          <w:rFonts w:eastAsia="Calibri"/>
          <w:lang w:val="en-US"/>
        </w:rPr>
        <w:t xml:space="preserve">This component focuses on strengthening the core system responsible for the collection, processing, and dissemination of financial data relating to local government. It aims to expand the range of data categories, introduce new functionalities, ensure full interoperability with other digital platforms, and alleviate administrative burdens on local authorities. The definition of the functional requirements of the upgraded Interoperability Hub, in line with the principles and rules of the new accounting framework, has been completed, with the system expected to become operational by end April 2026. </w:t>
      </w:r>
    </w:p>
    <w:p w14:paraId="74145108" w14:textId="77777777" w:rsidR="00451CC2" w:rsidRPr="00451CC2" w:rsidRDefault="00451CC2" w:rsidP="003D2D44">
      <w:pPr>
        <w:spacing w:after="0"/>
        <w:rPr>
          <w:rFonts w:eastAsia="Calibri"/>
          <w:b/>
          <w:bCs/>
          <w:lang w:val="en-US"/>
        </w:rPr>
      </w:pPr>
      <w:r w:rsidRPr="00451CC2">
        <w:rPr>
          <w:rFonts w:eastAsia="Calibri"/>
          <w:b/>
          <w:bCs/>
          <w:lang w:val="en-US"/>
        </w:rPr>
        <w:t>2. Local Government Performance Monitoring Hub:</w:t>
      </w:r>
    </w:p>
    <w:p w14:paraId="4A7589A1" w14:textId="77777777" w:rsidR="00451CC2" w:rsidRPr="00451CC2" w:rsidRDefault="00451CC2" w:rsidP="000F3F38">
      <w:pPr>
        <w:rPr>
          <w:rFonts w:eastAsia="Calibri"/>
          <w:lang w:val="en-US"/>
        </w:rPr>
      </w:pPr>
      <w:r w:rsidRPr="00451CC2">
        <w:rPr>
          <w:rFonts w:eastAsia="Calibri"/>
          <w:lang w:val="en-US"/>
        </w:rPr>
        <w:t xml:space="preserve">This component entails the development of a dedicated hub for monitoring and evaluating the performance of LGAs. It aggregates data related to financial, administrative, and operational functions, which are then processed to produce performance measurement and evaluation indicators. The hub is envisioned as a transparency mechanism, offering citizens access to comparative and individual performance metrics for municipalities. Substantial progress has been achieved under the second component. As of 2024, the data collection phase has been completed. The Monitoring Hub has compiled anonymized data covering 770 variables and 167 indicators, organized into 12 data groups for Municipalities and 8 for Regions. Of these, 255 indicators are automatically extracted via interoperable connections with over 15 existing public registers, while 515 are sourced from structured questionnaires completed by Local Authorities. This has resulted in the development of 24 final evaluation indicators - 17 for Municipalities and 7 for Regions. Furthermore, the Joint Ministerial Decision (OJ B’6087/14-11-2025) regarding the operation of the Local Government Performance Monitoring Hub has been issued. The implementation of the database, the calculation of measurement and evaluation indicators, and the development of the website for publishing the results have been completed. The website became publicly available in March 2026, marking a highly successful completion of the first cycle of data collection and performance monitoring for municipalities for the year 2024. Overall, 313 municipalities (94.3% of the total) fully or partially complied with the obligation to complete and submit the questionnaire, demonstrating a high level of engagement across local authorities. At the same time, the first year of implementation has provided valuable insights into areas requiring further development, including the recording and </w:t>
      </w:r>
      <w:proofErr w:type="spellStart"/>
      <w:r w:rsidRPr="00451CC2">
        <w:rPr>
          <w:rFonts w:eastAsia="Calibri"/>
          <w:lang w:val="en-US"/>
        </w:rPr>
        <w:t>utilisation</w:t>
      </w:r>
      <w:proofErr w:type="spellEnd"/>
      <w:r w:rsidRPr="00451CC2">
        <w:rPr>
          <w:rFonts w:eastAsia="Calibri"/>
          <w:lang w:val="en-US"/>
        </w:rPr>
        <w:t xml:space="preserve"> of real estate assets, the determination of tax bases by category, the registration of public infrastructure and road networks, the monitoring of energy consumption, and municipal sports facilities. This initial phase constitutes an important step in strengthening municipalities’ administrative capacity. Building on this foundation, the Ministry of Interior expects continued improvement in data quality and foresees the gradual and more comprehensive integration of these areas into the Performance Hub’s reports and indicators.</w:t>
      </w:r>
    </w:p>
    <w:p w14:paraId="1A2DCAB8" w14:textId="77777777" w:rsidR="00451CC2" w:rsidRPr="00451CC2" w:rsidRDefault="00451CC2" w:rsidP="000F3F38">
      <w:pPr>
        <w:rPr>
          <w:rFonts w:eastAsia="Calibri"/>
          <w:lang w:val="en-US"/>
        </w:rPr>
      </w:pPr>
      <w:r w:rsidRPr="00451CC2">
        <w:rPr>
          <w:rFonts w:eastAsia="Calibri"/>
          <w:lang w:val="en-US"/>
        </w:rPr>
        <w:t xml:space="preserve">The </w:t>
      </w:r>
      <w:r w:rsidRPr="00451CC2">
        <w:rPr>
          <w:rFonts w:eastAsia="Calibri"/>
          <w:b/>
          <w:bCs/>
          <w:lang w:val="en-US"/>
        </w:rPr>
        <w:t xml:space="preserve">RRF investment </w:t>
      </w:r>
      <w:r w:rsidRPr="00D412A6">
        <w:rPr>
          <w:rFonts w:eastAsia="Calibri"/>
          <w:b/>
          <w:lang w:val="en-US"/>
        </w:rPr>
        <w:t>“</w:t>
      </w:r>
      <w:r w:rsidRPr="00451CC2">
        <w:rPr>
          <w:rFonts w:eastAsia="Calibri"/>
          <w:b/>
          <w:bCs/>
          <w:lang w:val="en-US"/>
        </w:rPr>
        <w:t>Road Safety Projects in Local Authorities (Municipalities)</w:t>
      </w:r>
      <w:r w:rsidRPr="00451CC2">
        <w:rPr>
          <w:rFonts w:eastAsia="Calibri"/>
          <w:b/>
          <w:lang w:val="en-US"/>
        </w:rPr>
        <w:t>”</w:t>
      </w:r>
      <w:r w:rsidRPr="00451CC2">
        <w:rPr>
          <w:rFonts w:eastAsia="Calibri"/>
          <w:b/>
          <w:bCs/>
          <w:lang w:val="en-US"/>
        </w:rPr>
        <w:t xml:space="preserve"> </w:t>
      </w:r>
      <w:r w:rsidRPr="00451CC2">
        <w:rPr>
          <w:rFonts w:eastAsia="Calibri"/>
          <w:lang w:val="en-US"/>
        </w:rPr>
        <w:t xml:space="preserve">aims to enhance road safety through the implementation of the </w:t>
      </w:r>
      <w:r w:rsidRPr="00451CC2">
        <w:rPr>
          <w:rFonts w:eastAsia="Calibri"/>
          <w:b/>
          <w:bCs/>
          <w:lang w:val="en-US"/>
        </w:rPr>
        <w:t>Road Safety Improvement Programme (RSIP)</w:t>
      </w:r>
      <w:r w:rsidRPr="00451CC2">
        <w:rPr>
          <w:rFonts w:eastAsia="Calibri"/>
          <w:lang w:val="en-US"/>
        </w:rPr>
        <w:t xml:space="preserve">. The programme targets approximately 7,000 high-risk locations across a network extending over 2,500 km. The investment is expected to generate immediate positive effects </w:t>
      </w:r>
      <w:r w:rsidRPr="00451CC2">
        <w:rPr>
          <w:rFonts w:eastAsia="Calibri"/>
          <w:lang w:val="en-US"/>
        </w:rPr>
        <w:lastRenderedPageBreak/>
        <w:t xml:space="preserve">on the national economic environment, while contributing to the broader objective of strengthening social and economic resilience. Implementation of the RSIP is approaching completion, with the majority of contractual commitments already fulfilled. Notably, contracts have been awarded for interventions at no fewer than 8,693 hazardous locations. In parallel, intelligent LED lighting infrastructure has been deployed across 31,938 lighting poles. These developments represent a significant advancement in improving road safety conditions and </w:t>
      </w:r>
      <w:proofErr w:type="spellStart"/>
      <w:r w:rsidRPr="00451CC2">
        <w:rPr>
          <w:rFonts w:eastAsia="Calibri"/>
          <w:lang w:val="en-US"/>
        </w:rPr>
        <w:t>modernising</w:t>
      </w:r>
      <w:proofErr w:type="spellEnd"/>
      <w:r w:rsidRPr="00451CC2">
        <w:rPr>
          <w:rFonts w:eastAsia="Calibri"/>
          <w:lang w:val="en-US"/>
        </w:rPr>
        <w:t xml:space="preserve"> transport infrastructure, demonstrating steady and tangible progress in the execution of the project which is expected to be fully completed by August 2026. </w:t>
      </w:r>
    </w:p>
    <w:p w14:paraId="69C6B787" w14:textId="77777777" w:rsidR="00451CC2" w:rsidRDefault="006E668D" w:rsidP="007A373B">
      <w:pPr>
        <w:pStyle w:val="Heading2"/>
        <w:pBdr>
          <w:bottom w:val="single" w:sz="4" w:space="1" w:color="4F81BD" w:themeColor="accent1"/>
        </w:pBdr>
        <w:spacing w:before="840"/>
        <w:rPr>
          <w:rFonts w:eastAsia="Calibri"/>
          <w:sz w:val="36"/>
          <w:lang w:val="en-US"/>
        </w:rPr>
      </w:pPr>
      <w:bookmarkStart w:id="45" w:name="_Toc227932496"/>
      <w:bookmarkStart w:id="46" w:name="_Toc228279089"/>
      <w:r>
        <w:rPr>
          <w:rFonts w:eastAsia="Calibri"/>
          <w:sz w:val="36"/>
          <w:lang w:val="en-US"/>
        </w:rPr>
        <w:t>M</w:t>
      </w:r>
      <w:r w:rsidRPr="006E668D">
        <w:rPr>
          <w:rFonts w:eastAsia="Calibri"/>
          <w:sz w:val="36"/>
          <w:lang w:val="en-US"/>
        </w:rPr>
        <w:t xml:space="preserve">inistry of </w:t>
      </w:r>
      <w:r>
        <w:rPr>
          <w:rFonts w:eastAsia="Calibri"/>
          <w:sz w:val="36"/>
          <w:lang w:val="en-US"/>
        </w:rPr>
        <w:t>E</w:t>
      </w:r>
      <w:r w:rsidRPr="006E668D">
        <w:rPr>
          <w:rFonts w:eastAsia="Calibri"/>
          <w:sz w:val="36"/>
          <w:lang w:val="en-US"/>
        </w:rPr>
        <w:t xml:space="preserve">ducation, </w:t>
      </w:r>
      <w:r>
        <w:rPr>
          <w:rFonts w:eastAsia="Calibri"/>
          <w:sz w:val="36"/>
          <w:lang w:val="en-US"/>
        </w:rPr>
        <w:t>R</w:t>
      </w:r>
      <w:r w:rsidRPr="006E668D">
        <w:rPr>
          <w:rFonts w:eastAsia="Calibri"/>
          <w:sz w:val="36"/>
          <w:lang w:val="en-US"/>
        </w:rPr>
        <w:t xml:space="preserve">eligious </w:t>
      </w:r>
      <w:r>
        <w:rPr>
          <w:rFonts w:eastAsia="Calibri"/>
          <w:sz w:val="36"/>
          <w:lang w:val="en-US"/>
        </w:rPr>
        <w:t>A</w:t>
      </w:r>
      <w:r w:rsidRPr="006E668D">
        <w:rPr>
          <w:rFonts w:eastAsia="Calibri"/>
          <w:sz w:val="36"/>
          <w:lang w:val="en-US"/>
        </w:rPr>
        <w:t xml:space="preserve">ffairs and </w:t>
      </w:r>
      <w:r>
        <w:rPr>
          <w:rFonts w:eastAsia="Calibri"/>
          <w:sz w:val="36"/>
          <w:lang w:val="en-US"/>
        </w:rPr>
        <w:t>S</w:t>
      </w:r>
      <w:r w:rsidRPr="006E668D">
        <w:rPr>
          <w:rFonts w:eastAsia="Calibri"/>
          <w:sz w:val="36"/>
          <w:lang w:val="en-US"/>
        </w:rPr>
        <w:t>ports</w:t>
      </w:r>
      <w:bookmarkEnd w:id="45"/>
      <w:bookmarkEnd w:id="46"/>
    </w:p>
    <w:tbl>
      <w:tblPr>
        <w:tblW w:w="8984" w:type="dxa"/>
        <w:jc w:val="center"/>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Look w:val="04A0" w:firstRow="1" w:lastRow="0" w:firstColumn="1" w:lastColumn="0" w:noHBand="0" w:noVBand="1"/>
      </w:tblPr>
      <w:tblGrid>
        <w:gridCol w:w="3253"/>
        <w:gridCol w:w="927"/>
        <w:gridCol w:w="1889"/>
        <w:gridCol w:w="1760"/>
        <w:gridCol w:w="1155"/>
      </w:tblGrid>
      <w:tr w:rsidR="006E668D" w:rsidRPr="006E668D" w14:paraId="4D0A779C" w14:textId="77777777" w:rsidTr="00285644">
        <w:trPr>
          <w:trHeight w:val="170"/>
          <w:jc w:val="center"/>
        </w:trPr>
        <w:tc>
          <w:tcPr>
            <w:tcW w:w="3253" w:type="dxa"/>
            <w:shd w:val="clear" w:color="000000" w:fill="CFE2F3"/>
            <w:vAlign w:val="center"/>
            <w:hideMark/>
          </w:tcPr>
          <w:p w14:paraId="077BA936" w14:textId="77777777" w:rsidR="006E668D" w:rsidRPr="006E668D" w:rsidRDefault="006E668D" w:rsidP="006E668D">
            <w:pPr>
              <w:pStyle w:val="Tabletext"/>
              <w:rPr>
                <w:b/>
              </w:rPr>
            </w:pPr>
            <w:r w:rsidRPr="006E668D">
              <w:rPr>
                <w:b/>
              </w:rPr>
              <w:t>REFORM / INVESTMENT</w:t>
            </w:r>
          </w:p>
        </w:tc>
        <w:tc>
          <w:tcPr>
            <w:tcW w:w="927" w:type="dxa"/>
            <w:shd w:val="clear" w:color="000000" w:fill="CFE2F3"/>
            <w:vAlign w:val="center"/>
            <w:hideMark/>
          </w:tcPr>
          <w:p w14:paraId="2E173710" w14:textId="77777777" w:rsidR="006E668D" w:rsidRPr="006E668D" w:rsidRDefault="006E668D" w:rsidP="006E668D">
            <w:pPr>
              <w:pStyle w:val="Tabletext"/>
              <w:rPr>
                <w:b/>
              </w:rPr>
            </w:pPr>
            <w:r w:rsidRPr="006E668D">
              <w:rPr>
                <w:b/>
              </w:rPr>
              <w:t>RRF / MFF</w:t>
            </w:r>
          </w:p>
        </w:tc>
        <w:tc>
          <w:tcPr>
            <w:tcW w:w="1889" w:type="dxa"/>
            <w:tcBorders>
              <w:bottom w:val="single" w:sz="2" w:space="0" w:color="4F81BD" w:themeColor="accent1"/>
            </w:tcBorders>
            <w:shd w:val="clear" w:color="000000" w:fill="CFE2F3"/>
            <w:vAlign w:val="center"/>
            <w:hideMark/>
          </w:tcPr>
          <w:p w14:paraId="4BA82E5D" w14:textId="77777777" w:rsidR="006E668D" w:rsidRPr="006E668D" w:rsidRDefault="006E668D" w:rsidP="006E668D">
            <w:pPr>
              <w:pStyle w:val="Tabletext"/>
              <w:rPr>
                <w:b/>
              </w:rPr>
            </w:pPr>
            <w:r w:rsidRPr="006E668D">
              <w:rPr>
                <w:b/>
              </w:rPr>
              <w:t>CSR</w:t>
            </w:r>
          </w:p>
        </w:tc>
        <w:tc>
          <w:tcPr>
            <w:tcW w:w="1760" w:type="dxa"/>
            <w:shd w:val="clear" w:color="000000" w:fill="CFE2F3"/>
            <w:vAlign w:val="center"/>
            <w:hideMark/>
          </w:tcPr>
          <w:p w14:paraId="0E077F8D" w14:textId="77777777" w:rsidR="006E668D" w:rsidRPr="006E668D" w:rsidRDefault="006E668D" w:rsidP="006E668D">
            <w:pPr>
              <w:pStyle w:val="Tabletext"/>
              <w:rPr>
                <w:b/>
              </w:rPr>
            </w:pPr>
            <w:r w:rsidRPr="006E668D">
              <w:rPr>
                <w:b/>
              </w:rPr>
              <w:t>COMMON PRIORITIES</w:t>
            </w:r>
          </w:p>
        </w:tc>
        <w:tc>
          <w:tcPr>
            <w:tcW w:w="1155" w:type="dxa"/>
            <w:shd w:val="clear" w:color="000000" w:fill="CFE2F3"/>
            <w:vAlign w:val="center"/>
            <w:hideMark/>
          </w:tcPr>
          <w:p w14:paraId="50B50EED" w14:textId="77777777" w:rsidR="006E668D" w:rsidRPr="006E668D" w:rsidRDefault="006E668D" w:rsidP="006E668D">
            <w:pPr>
              <w:pStyle w:val="Tabletext"/>
              <w:rPr>
                <w:b/>
              </w:rPr>
            </w:pPr>
            <w:r w:rsidRPr="006E668D">
              <w:rPr>
                <w:b/>
              </w:rPr>
              <w:t>On-track status</w:t>
            </w:r>
          </w:p>
        </w:tc>
      </w:tr>
      <w:tr w:rsidR="006E668D" w:rsidRPr="006E668D" w14:paraId="3AB42254" w14:textId="77777777" w:rsidTr="00285644">
        <w:trPr>
          <w:trHeight w:val="170"/>
          <w:jc w:val="center"/>
        </w:trPr>
        <w:tc>
          <w:tcPr>
            <w:tcW w:w="3253" w:type="dxa"/>
            <w:vMerge w:val="restart"/>
            <w:vAlign w:val="center"/>
            <w:hideMark/>
          </w:tcPr>
          <w:p w14:paraId="259B6986" w14:textId="77777777" w:rsidR="006E668D" w:rsidRPr="006E668D" w:rsidRDefault="00540671" w:rsidP="006E668D">
            <w:pPr>
              <w:pStyle w:val="Tabletext"/>
            </w:pPr>
            <w:r w:rsidRPr="00540671">
              <w:rPr>
                <w:b/>
              </w:rPr>
              <w:t>REFORM 1:</w:t>
            </w:r>
            <w:r w:rsidR="006E668D" w:rsidRPr="006E668D">
              <w:t xml:space="preserve"> Strategy for Excellence in Universities &amp; Innovation</w:t>
            </w:r>
          </w:p>
        </w:tc>
        <w:tc>
          <w:tcPr>
            <w:tcW w:w="927" w:type="dxa"/>
            <w:vMerge w:val="restart"/>
            <w:vAlign w:val="center"/>
            <w:hideMark/>
          </w:tcPr>
          <w:p w14:paraId="562C08F4" w14:textId="77777777" w:rsidR="006E668D" w:rsidRPr="006E668D" w:rsidRDefault="006E668D" w:rsidP="006E668D">
            <w:pPr>
              <w:pStyle w:val="Tabletext"/>
            </w:pPr>
            <w:r w:rsidRPr="006E668D">
              <w:t>RRF 16289</w:t>
            </w:r>
          </w:p>
        </w:tc>
        <w:tc>
          <w:tcPr>
            <w:tcW w:w="1889" w:type="dxa"/>
            <w:tcBorders>
              <w:bottom w:val="nil"/>
            </w:tcBorders>
            <w:vAlign w:val="center"/>
            <w:hideMark/>
          </w:tcPr>
          <w:p w14:paraId="72605938" w14:textId="77777777" w:rsidR="006E668D" w:rsidRPr="006E668D" w:rsidRDefault="006E668D" w:rsidP="006E668D">
            <w:pPr>
              <w:pStyle w:val="Tabletext"/>
            </w:pPr>
            <w:r w:rsidRPr="006E668D">
              <w:t>2025.CSR5.5</w:t>
            </w:r>
          </w:p>
        </w:tc>
        <w:tc>
          <w:tcPr>
            <w:tcW w:w="1760" w:type="dxa"/>
            <w:vMerge w:val="restart"/>
            <w:vAlign w:val="center"/>
            <w:hideMark/>
          </w:tcPr>
          <w:p w14:paraId="754BBEB7" w14:textId="77777777" w:rsidR="006E668D" w:rsidRPr="006E668D" w:rsidRDefault="006E668D" w:rsidP="006E668D">
            <w:pPr>
              <w:pStyle w:val="Tabletext"/>
            </w:pPr>
            <w:r w:rsidRPr="006E668D">
              <w:t>Social and Economic resilience</w:t>
            </w:r>
          </w:p>
        </w:tc>
        <w:tc>
          <w:tcPr>
            <w:tcW w:w="1155" w:type="dxa"/>
            <w:vMerge w:val="restart"/>
            <w:vAlign w:val="center"/>
            <w:hideMark/>
          </w:tcPr>
          <w:p w14:paraId="75E0589B" w14:textId="77777777" w:rsidR="006E668D" w:rsidRPr="006E668D" w:rsidRDefault="006E668D" w:rsidP="006E668D">
            <w:pPr>
              <w:pStyle w:val="Tabletext"/>
            </w:pPr>
            <w:r w:rsidRPr="006E668D">
              <w:t>On track</w:t>
            </w:r>
          </w:p>
        </w:tc>
      </w:tr>
      <w:tr w:rsidR="006E668D" w:rsidRPr="006E668D" w14:paraId="61698895" w14:textId="77777777" w:rsidTr="00285644">
        <w:trPr>
          <w:trHeight w:val="170"/>
          <w:jc w:val="center"/>
        </w:trPr>
        <w:tc>
          <w:tcPr>
            <w:tcW w:w="3253" w:type="dxa"/>
            <w:vMerge/>
            <w:vAlign w:val="center"/>
            <w:hideMark/>
          </w:tcPr>
          <w:p w14:paraId="2B95B946" w14:textId="77777777" w:rsidR="006E668D" w:rsidRPr="006E668D" w:rsidRDefault="006E668D" w:rsidP="006E668D">
            <w:pPr>
              <w:pStyle w:val="Tabletext"/>
            </w:pPr>
          </w:p>
        </w:tc>
        <w:tc>
          <w:tcPr>
            <w:tcW w:w="927" w:type="dxa"/>
            <w:vMerge/>
            <w:vAlign w:val="center"/>
            <w:hideMark/>
          </w:tcPr>
          <w:p w14:paraId="29F17438" w14:textId="77777777" w:rsidR="006E668D" w:rsidRPr="006E668D" w:rsidRDefault="006E668D" w:rsidP="006E668D">
            <w:pPr>
              <w:pStyle w:val="Tabletext"/>
            </w:pPr>
          </w:p>
        </w:tc>
        <w:tc>
          <w:tcPr>
            <w:tcW w:w="1889" w:type="dxa"/>
            <w:tcBorders>
              <w:top w:val="nil"/>
              <w:bottom w:val="nil"/>
            </w:tcBorders>
            <w:vAlign w:val="center"/>
            <w:hideMark/>
          </w:tcPr>
          <w:p w14:paraId="2F044E41" w14:textId="77777777" w:rsidR="006E668D" w:rsidRPr="006E668D" w:rsidRDefault="006E668D" w:rsidP="006E668D">
            <w:pPr>
              <w:pStyle w:val="Tabletext"/>
            </w:pPr>
            <w:r w:rsidRPr="006E668D">
              <w:t>2024.CSR2.1</w:t>
            </w:r>
          </w:p>
        </w:tc>
        <w:tc>
          <w:tcPr>
            <w:tcW w:w="1760" w:type="dxa"/>
            <w:vMerge/>
            <w:vAlign w:val="center"/>
            <w:hideMark/>
          </w:tcPr>
          <w:p w14:paraId="533AD925" w14:textId="77777777" w:rsidR="006E668D" w:rsidRPr="006E668D" w:rsidRDefault="006E668D" w:rsidP="006E668D">
            <w:pPr>
              <w:pStyle w:val="Tabletext"/>
            </w:pPr>
          </w:p>
        </w:tc>
        <w:tc>
          <w:tcPr>
            <w:tcW w:w="1155" w:type="dxa"/>
            <w:vMerge/>
            <w:vAlign w:val="center"/>
            <w:hideMark/>
          </w:tcPr>
          <w:p w14:paraId="13A94FDD" w14:textId="77777777" w:rsidR="006E668D" w:rsidRPr="006E668D" w:rsidRDefault="006E668D" w:rsidP="006E668D">
            <w:pPr>
              <w:pStyle w:val="Tabletext"/>
            </w:pPr>
          </w:p>
        </w:tc>
      </w:tr>
      <w:tr w:rsidR="006E668D" w:rsidRPr="006E668D" w14:paraId="4D70B72A" w14:textId="77777777" w:rsidTr="00285644">
        <w:trPr>
          <w:trHeight w:val="170"/>
          <w:jc w:val="center"/>
        </w:trPr>
        <w:tc>
          <w:tcPr>
            <w:tcW w:w="3253" w:type="dxa"/>
            <w:vMerge/>
            <w:vAlign w:val="center"/>
            <w:hideMark/>
          </w:tcPr>
          <w:p w14:paraId="28A997EB" w14:textId="77777777" w:rsidR="006E668D" w:rsidRPr="006E668D" w:rsidRDefault="006E668D" w:rsidP="006E668D">
            <w:pPr>
              <w:pStyle w:val="Tabletext"/>
            </w:pPr>
          </w:p>
        </w:tc>
        <w:tc>
          <w:tcPr>
            <w:tcW w:w="927" w:type="dxa"/>
            <w:vMerge/>
            <w:vAlign w:val="center"/>
            <w:hideMark/>
          </w:tcPr>
          <w:p w14:paraId="0D35D968" w14:textId="77777777" w:rsidR="006E668D" w:rsidRPr="006E668D" w:rsidRDefault="006E668D" w:rsidP="006E668D">
            <w:pPr>
              <w:pStyle w:val="Tabletext"/>
            </w:pPr>
          </w:p>
        </w:tc>
        <w:tc>
          <w:tcPr>
            <w:tcW w:w="1889" w:type="dxa"/>
            <w:tcBorders>
              <w:top w:val="nil"/>
              <w:bottom w:val="nil"/>
            </w:tcBorders>
            <w:vAlign w:val="center"/>
            <w:hideMark/>
          </w:tcPr>
          <w:p w14:paraId="65E225BF" w14:textId="77777777" w:rsidR="006E668D" w:rsidRPr="006E668D" w:rsidRDefault="006E668D" w:rsidP="006E668D">
            <w:pPr>
              <w:pStyle w:val="Tabletext"/>
            </w:pPr>
            <w:r w:rsidRPr="006E668D">
              <w:t>2024.CSR1.7</w:t>
            </w:r>
          </w:p>
        </w:tc>
        <w:tc>
          <w:tcPr>
            <w:tcW w:w="1760" w:type="dxa"/>
            <w:vMerge/>
            <w:vAlign w:val="center"/>
            <w:hideMark/>
          </w:tcPr>
          <w:p w14:paraId="2FCF0EB8" w14:textId="77777777" w:rsidR="006E668D" w:rsidRPr="006E668D" w:rsidRDefault="006E668D" w:rsidP="006E668D">
            <w:pPr>
              <w:pStyle w:val="Tabletext"/>
            </w:pPr>
          </w:p>
        </w:tc>
        <w:tc>
          <w:tcPr>
            <w:tcW w:w="1155" w:type="dxa"/>
            <w:vMerge/>
            <w:vAlign w:val="center"/>
            <w:hideMark/>
          </w:tcPr>
          <w:p w14:paraId="357465C3" w14:textId="77777777" w:rsidR="006E668D" w:rsidRPr="006E668D" w:rsidRDefault="006E668D" w:rsidP="006E668D">
            <w:pPr>
              <w:pStyle w:val="Tabletext"/>
            </w:pPr>
          </w:p>
        </w:tc>
      </w:tr>
      <w:tr w:rsidR="006E668D" w:rsidRPr="006E668D" w14:paraId="6848CAD9" w14:textId="77777777" w:rsidTr="00285644">
        <w:trPr>
          <w:trHeight w:val="170"/>
          <w:jc w:val="center"/>
        </w:trPr>
        <w:tc>
          <w:tcPr>
            <w:tcW w:w="3253" w:type="dxa"/>
            <w:vMerge/>
            <w:vAlign w:val="center"/>
            <w:hideMark/>
          </w:tcPr>
          <w:p w14:paraId="782FB17A" w14:textId="77777777" w:rsidR="006E668D" w:rsidRPr="006E668D" w:rsidRDefault="006E668D" w:rsidP="006E668D">
            <w:pPr>
              <w:pStyle w:val="Tabletext"/>
            </w:pPr>
          </w:p>
        </w:tc>
        <w:tc>
          <w:tcPr>
            <w:tcW w:w="927" w:type="dxa"/>
            <w:vMerge/>
            <w:vAlign w:val="center"/>
            <w:hideMark/>
          </w:tcPr>
          <w:p w14:paraId="58B892C0" w14:textId="77777777" w:rsidR="006E668D" w:rsidRPr="006E668D" w:rsidRDefault="006E668D" w:rsidP="006E668D">
            <w:pPr>
              <w:pStyle w:val="Tabletext"/>
            </w:pPr>
          </w:p>
        </w:tc>
        <w:tc>
          <w:tcPr>
            <w:tcW w:w="1889" w:type="dxa"/>
            <w:tcBorders>
              <w:top w:val="nil"/>
              <w:bottom w:val="nil"/>
            </w:tcBorders>
            <w:vAlign w:val="center"/>
            <w:hideMark/>
          </w:tcPr>
          <w:p w14:paraId="3BE2AC49" w14:textId="77777777" w:rsidR="006E668D" w:rsidRPr="006E668D" w:rsidRDefault="006E668D" w:rsidP="006E668D">
            <w:pPr>
              <w:pStyle w:val="Tabletext"/>
            </w:pPr>
            <w:r w:rsidRPr="006E668D">
              <w:t>2020.CSR3.8</w:t>
            </w:r>
          </w:p>
        </w:tc>
        <w:tc>
          <w:tcPr>
            <w:tcW w:w="1760" w:type="dxa"/>
            <w:vMerge/>
            <w:vAlign w:val="center"/>
            <w:hideMark/>
          </w:tcPr>
          <w:p w14:paraId="01F852E0" w14:textId="77777777" w:rsidR="006E668D" w:rsidRPr="006E668D" w:rsidRDefault="006E668D" w:rsidP="006E668D">
            <w:pPr>
              <w:pStyle w:val="Tabletext"/>
            </w:pPr>
          </w:p>
        </w:tc>
        <w:tc>
          <w:tcPr>
            <w:tcW w:w="1155" w:type="dxa"/>
            <w:vMerge/>
            <w:vAlign w:val="center"/>
            <w:hideMark/>
          </w:tcPr>
          <w:p w14:paraId="2E90137F" w14:textId="77777777" w:rsidR="006E668D" w:rsidRPr="006E668D" w:rsidRDefault="006E668D" w:rsidP="006E668D">
            <w:pPr>
              <w:pStyle w:val="Tabletext"/>
            </w:pPr>
          </w:p>
        </w:tc>
      </w:tr>
      <w:tr w:rsidR="006E668D" w:rsidRPr="006E668D" w14:paraId="77C4C8CC" w14:textId="77777777" w:rsidTr="00285644">
        <w:trPr>
          <w:trHeight w:val="170"/>
          <w:jc w:val="center"/>
        </w:trPr>
        <w:tc>
          <w:tcPr>
            <w:tcW w:w="3253" w:type="dxa"/>
            <w:vMerge/>
            <w:vAlign w:val="center"/>
            <w:hideMark/>
          </w:tcPr>
          <w:p w14:paraId="4B9AE443" w14:textId="77777777" w:rsidR="006E668D" w:rsidRPr="006E668D" w:rsidRDefault="006E668D" w:rsidP="006E668D">
            <w:pPr>
              <w:pStyle w:val="Tabletext"/>
            </w:pPr>
          </w:p>
        </w:tc>
        <w:tc>
          <w:tcPr>
            <w:tcW w:w="927" w:type="dxa"/>
            <w:vMerge/>
            <w:vAlign w:val="center"/>
            <w:hideMark/>
          </w:tcPr>
          <w:p w14:paraId="1033BABB" w14:textId="77777777" w:rsidR="006E668D" w:rsidRPr="006E668D" w:rsidRDefault="006E668D" w:rsidP="006E668D">
            <w:pPr>
              <w:pStyle w:val="Tabletext"/>
            </w:pPr>
          </w:p>
        </w:tc>
        <w:tc>
          <w:tcPr>
            <w:tcW w:w="1889" w:type="dxa"/>
            <w:tcBorders>
              <w:top w:val="nil"/>
              <w:bottom w:val="nil"/>
            </w:tcBorders>
            <w:vAlign w:val="center"/>
            <w:hideMark/>
          </w:tcPr>
          <w:p w14:paraId="2B8F49FD" w14:textId="77777777" w:rsidR="006E668D" w:rsidRPr="006E668D" w:rsidRDefault="006E668D" w:rsidP="006E668D">
            <w:pPr>
              <w:pStyle w:val="Tabletext"/>
            </w:pPr>
            <w:r w:rsidRPr="006E668D">
              <w:t>2020.CSR3.9</w:t>
            </w:r>
          </w:p>
        </w:tc>
        <w:tc>
          <w:tcPr>
            <w:tcW w:w="1760" w:type="dxa"/>
            <w:vMerge/>
            <w:vAlign w:val="center"/>
            <w:hideMark/>
          </w:tcPr>
          <w:p w14:paraId="33162F46" w14:textId="77777777" w:rsidR="006E668D" w:rsidRPr="006E668D" w:rsidRDefault="006E668D" w:rsidP="006E668D">
            <w:pPr>
              <w:pStyle w:val="Tabletext"/>
            </w:pPr>
          </w:p>
        </w:tc>
        <w:tc>
          <w:tcPr>
            <w:tcW w:w="1155" w:type="dxa"/>
            <w:vMerge/>
            <w:vAlign w:val="center"/>
            <w:hideMark/>
          </w:tcPr>
          <w:p w14:paraId="75206B64" w14:textId="77777777" w:rsidR="006E668D" w:rsidRPr="006E668D" w:rsidRDefault="006E668D" w:rsidP="006E668D">
            <w:pPr>
              <w:pStyle w:val="Tabletext"/>
            </w:pPr>
          </w:p>
        </w:tc>
      </w:tr>
      <w:tr w:rsidR="006E668D" w:rsidRPr="006E668D" w14:paraId="5AD94C0F" w14:textId="77777777" w:rsidTr="00285644">
        <w:trPr>
          <w:trHeight w:val="170"/>
          <w:jc w:val="center"/>
        </w:trPr>
        <w:tc>
          <w:tcPr>
            <w:tcW w:w="3253" w:type="dxa"/>
            <w:vMerge/>
            <w:vAlign w:val="center"/>
            <w:hideMark/>
          </w:tcPr>
          <w:p w14:paraId="5358227C" w14:textId="77777777" w:rsidR="006E668D" w:rsidRPr="006E668D" w:rsidRDefault="006E668D" w:rsidP="006E668D">
            <w:pPr>
              <w:pStyle w:val="Tabletext"/>
            </w:pPr>
          </w:p>
        </w:tc>
        <w:tc>
          <w:tcPr>
            <w:tcW w:w="927" w:type="dxa"/>
            <w:vMerge/>
            <w:vAlign w:val="center"/>
            <w:hideMark/>
          </w:tcPr>
          <w:p w14:paraId="772FC9EF" w14:textId="77777777" w:rsidR="006E668D" w:rsidRPr="006E668D" w:rsidRDefault="006E668D" w:rsidP="006E668D">
            <w:pPr>
              <w:pStyle w:val="Tabletext"/>
            </w:pPr>
          </w:p>
        </w:tc>
        <w:tc>
          <w:tcPr>
            <w:tcW w:w="1889" w:type="dxa"/>
            <w:tcBorders>
              <w:top w:val="nil"/>
              <w:bottom w:val="nil"/>
            </w:tcBorders>
            <w:vAlign w:val="center"/>
            <w:hideMark/>
          </w:tcPr>
          <w:p w14:paraId="7F62BC53" w14:textId="77777777" w:rsidR="006E668D" w:rsidRPr="006E668D" w:rsidRDefault="006E668D" w:rsidP="006E668D">
            <w:pPr>
              <w:pStyle w:val="Tabletext"/>
            </w:pPr>
            <w:r w:rsidRPr="006E668D">
              <w:t>2019.CSR2.3</w:t>
            </w:r>
          </w:p>
        </w:tc>
        <w:tc>
          <w:tcPr>
            <w:tcW w:w="1760" w:type="dxa"/>
            <w:vMerge/>
            <w:vAlign w:val="center"/>
            <w:hideMark/>
          </w:tcPr>
          <w:p w14:paraId="09DFA894" w14:textId="77777777" w:rsidR="006E668D" w:rsidRPr="006E668D" w:rsidRDefault="006E668D" w:rsidP="006E668D">
            <w:pPr>
              <w:pStyle w:val="Tabletext"/>
            </w:pPr>
          </w:p>
        </w:tc>
        <w:tc>
          <w:tcPr>
            <w:tcW w:w="1155" w:type="dxa"/>
            <w:vMerge/>
            <w:vAlign w:val="center"/>
            <w:hideMark/>
          </w:tcPr>
          <w:p w14:paraId="6452E2F2" w14:textId="77777777" w:rsidR="006E668D" w:rsidRPr="006E668D" w:rsidRDefault="006E668D" w:rsidP="006E668D">
            <w:pPr>
              <w:pStyle w:val="Tabletext"/>
            </w:pPr>
          </w:p>
        </w:tc>
      </w:tr>
      <w:tr w:rsidR="006E668D" w:rsidRPr="006E668D" w14:paraId="1692B3F4" w14:textId="77777777" w:rsidTr="00285644">
        <w:trPr>
          <w:trHeight w:val="170"/>
          <w:jc w:val="center"/>
        </w:trPr>
        <w:tc>
          <w:tcPr>
            <w:tcW w:w="3253" w:type="dxa"/>
            <w:vMerge/>
            <w:vAlign w:val="center"/>
            <w:hideMark/>
          </w:tcPr>
          <w:p w14:paraId="5D47B5BD" w14:textId="77777777" w:rsidR="006E668D" w:rsidRPr="006E668D" w:rsidRDefault="006E668D" w:rsidP="006E668D">
            <w:pPr>
              <w:pStyle w:val="Tabletext"/>
            </w:pPr>
          </w:p>
        </w:tc>
        <w:tc>
          <w:tcPr>
            <w:tcW w:w="927" w:type="dxa"/>
            <w:vMerge/>
            <w:vAlign w:val="center"/>
            <w:hideMark/>
          </w:tcPr>
          <w:p w14:paraId="2313E8C8" w14:textId="77777777" w:rsidR="006E668D" w:rsidRPr="006E668D" w:rsidRDefault="006E668D" w:rsidP="006E668D">
            <w:pPr>
              <w:pStyle w:val="Tabletext"/>
            </w:pPr>
          </w:p>
        </w:tc>
        <w:tc>
          <w:tcPr>
            <w:tcW w:w="1889" w:type="dxa"/>
            <w:tcBorders>
              <w:top w:val="nil"/>
              <w:bottom w:val="nil"/>
            </w:tcBorders>
            <w:vAlign w:val="center"/>
            <w:hideMark/>
          </w:tcPr>
          <w:p w14:paraId="4DD60152" w14:textId="77777777" w:rsidR="006E668D" w:rsidRPr="006E668D" w:rsidRDefault="006E668D" w:rsidP="006E668D">
            <w:pPr>
              <w:pStyle w:val="Tabletext"/>
            </w:pPr>
            <w:r w:rsidRPr="006E668D">
              <w:t>2019.CSR2.4</w:t>
            </w:r>
          </w:p>
        </w:tc>
        <w:tc>
          <w:tcPr>
            <w:tcW w:w="1760" w:type="dxa"/>
            <w:vMerge/>
            <w:vAlign w:val="center"/>
            <w:hideMark/>
          </w:tcPr>
          <w:p w14:paraId="25FD7744" w14:textId="77777777" w:rsidR="006E668D" w:rsidRPr="006E668D" w:rsidRDefault="006E668D" w:rsidP="006E668D">
            <w:pPr>
              <w:pStyle w:val="Tabletext"/>
            </w:pPr>
          </w:p>
        </w:tc>
        <w:tc>
          <w:tcPr>
            <w:tcW w:w="1155" w:type="dxa"/>
            <w:vMerge/>
            <w:vAlign w:val="center"/>
            <w:hideMark/>
          </w:tcPr>
          <w:p w14:paraId="07D52254" w14:textId="77777777" w:rsidR="006E668D" w:rsidRPr="006E668D" w:rsidRDefault="006E668D" w:rsidP="006E668D">
            <w:pPr>
              <w:pStyle w:val="Tabletext"/>
            </w:pPr>
          </w:p>
        </w:tc>
      </w:tr>
      <w:tr w:rsidR="006E668D" w:rsidRPr="006E668D" w14:paraId="089D4CF4" w14:textId="77777777" w:rsidTr="00285644">
        <w:trPr>
          <w:trHeight w:val="170"/>
          <w:jc w:val="center"/>
        </w:trPr>
        <w:tc>
          <w:tcPr>
            <w:tcW w:w="3253" w:type="dxa"/>
            <w:vMerge/>
            <w:vAlign w:val="center"/>
            <w:hideMark/>
          </w:tcPr>
          <w:p w14:paraId="150E5D67" w14:textId="77777777" w:rsidR="006E668D" w:rsidRPr="006E668D" w:rsidRDefault="006E668D" w:rsidP="006E668D">
            <w:pPr>
              <w:pStyle w:val="Tabletext"/>
            </w:pPr>
          </w:p>
        </w:tc>
        <w:tc>
          <w:tcPr>
            <w:tcW w:w="927" w:type="dxa"/>
            <w:vMerge/>
            <w:vAlign w:val="center"/>
            <w:hideMark/>
          </w:tcPr>
          <w:p w14:paraId="6321F003" w14:textId="77777777" w:rsidR="006E668D" w:rsidRPr="006E668D" w:rsidRDefault="006E668D" w:rsidP="006E668D">
            <w:pPr>
              <w:pStyle w:val="Tabletext"/>
            </w:pPr>
          </w:p>
        </w:tc>
        <w:tc>
          <w:tcPr>
            <w:tcW w:w="1889" w:type="dxa"/>
            <w:tcBorders>
              <w:top w:val="nil"/>
            </w:tcBorders>
            <w:vAlign w:val="center"/>
            <w:hideMark/>
          </w:tcPr>
          <w:p w14:paraId="28019AC1" w14:textId="77777777" w:rsidR="006E668D" w:rsidRPr="006E668D" w:rsidRDefault="006E668D" w:rsidP="006E668D">
            <w:pPr>
              <w:pStyle w:val="Tabletext"/>
            </w:pPr>
            <w:r w:rsidRPr="006E668D">
              <w:t>2019.CSR2.5</w:t>
            </w:r>
          </w:p>
        </w:tc>
        <w:tc>
          <w:tcPr>
            <w:tcW w:w="1760" w:type="dxa"/>
            <w:vMerge/>
            <w:vAlign w:val="center"/>
            <w:hideMark/>
          </w:tcPr>
          <w:p w14:paraId="609A94A9" w14:textId="77777777" w:rsidR="006E668D" w:rsidRPr="006E668D" w:rsidRDefault="006E668D" w:rsidP="006E668D">
            <w:pPr>
              <w:pStyle w:val="Tabletext"/>
            </w:pPr>
          </w:p>
        </w:tc>
        <w:tc>
          <w:tcPr>
            <w:tcW w:w="1155" w:type="dxa"/>
            <w:vMerge/>
            <w:vAlign w:val="center"/>
            <w:hideMark/>
          </w:tcPr>
          <w:p w14:paraId="2545FA3A" w14:textId="77777777" w:rsidR="006E668D" w:rsidRPr="006E668D" w:rsidRDefault="006E668D" w:rsidP="006E668D">
            <w:pPr>
              <w:pStyle w:val="Tabletext"/>
            </w:pPr>
          </w:p>
        </w:tc>
      </w:tr>
      <w:tr w:rsidR="006E668D" w:rsidRPr="006E668D" w14:paraId="67778A19" w14:textId="77777777" w:rsidTr="00285644">
        <w:trPr>
          <w:trHeight w:val="170"/>
          <w:jc w:val="center"/>
        </w:trPr>
        <w:tc>
          <w:tcPr>
            <w:tcW w:w="3253" w:type="dxa"/>
            <w:vAlign w:val="center"/>
            <w:hideMark/>
          </w:tcPr>
          <w:p w14:paraId="159DE3DE" w14:textId="77777777" w:rsidR="006E668D" w:rsidRPr="006E668D" w:rsidRDefault="00540671" w:rsidP="006E668D">
            <w:pPr>
              <w:pStyle w:val="Tabletext"/>
            </w:pPr>
            <w:r w:rsidRPr="00540671">
              <w:rPr>
                <w:b/>
              </w:rPr>
              <w:t>REFORM 2:</w:t>
            </w:r>
            <w:r w:rsidR="006E668D" w:rsidRPr="006E668D">
              <w:t xml:space="preserve"> Supporting public HEIs and providing an operating framework for non-profit branches of foreign universities</w:t>
            </w:r>
          </w:p>
        </w:tc>
        <w:tc>
          <w:tcPr>
            <w:tcW w:w="927" w:type="dxa"/>
            <w:vAlign w:val="center"/>
            <w:hideMark/>
          </w:tcPr>
          <w:p w14:paraId="653B6A1A" w14:textId="77777777" w:rsidR="006E668D" w:rsidRPr="006E668D" w:rsidRDefault="006E668D" w:rsidP="006E668D">
            <w:pPr>
              <w:pStyle w:val="Tabletext"/>
            </w:pPr>
            <w:r w:rsidRPr="006E668D">
              <w:t>-</w:t>
            </w:r>
          </w:p>
        </w:tc>
        <w:tc>
          <w:tcPr>
            <w:tcW w:w="1889" w:type="dxa"/>
            <w:tcBorders>
              <w:bottom w:val="single" w:sz="2" w:space="0" w:color="4F81BD" w:themeColor="accent1"/>
            </w:tcBorders>
            <w:vAlign w:val="center"/>
            <w:hideMark/>
          </w:tcPr>
          <w:p w14:paraId="336258F6" w14:textId="77777777" w:rsidR="006E668D" w:rsidRPr="006E668D" w:rsidRDefault="006E668D" w:rsidP="006E668D">
            <w:pPr>
              <w:pStyle w:val="Tabletext"/>
            </w:pPr>
            <w:r w:rsidRPr="006E668D">
              <w:t>2019.CSR2.5</w:t>
            </w:r>
          </w:p>
        </w:tc>
        <w:tc>
          <w:tcPr>
            <w:tcW w:w="1760" w:type="dxa"/>
            <w:vAlign w:val="center"/>
            <w:hideMark/>
          </w:tcPr>
          <w:p w14:paraId="5EFBB653" w14:textId="77777777" w:rsidR="006E668D" w:rsidRPr="006E668D" w:rsidRDefault="006E668D" w:rsidP="006E668D">
            <w:pPr>
              <w:pStyle w:val="Tabletext"/>
            </w:pPr>
            <w:r w:rsidRPr="006E668D">
              <w:t>Social and Economic resilience</w:t>
            </w:r>
          </w:p>
        </w:tc>
        <w:tc>
          <w:tcPr>
            <w:tcW w:w="1155" w:type="dxa"/>
            <w:vAlign w:val="center"/>
            <w:hideMark/>
          </w:tcPr>
          <w:p w14:paraId="798E69A3" w14:textId="77777777" w:rsidR="006E668D" w:rsidRPr="006E668D" w:rsidRDefault="006E668D" w:rsidP="006E668D">
            <w:pPr>
              <w:pStyle w:val="Tabletext"/>
            </w:pPr>
            <w:r w:rsidRPr="006E668D">
              <w:t>On track</w:t>
            </w:r>
          </w:p>
        </w:tc>
      </w:tr>
      <w:tr w:rsidR="006E668D" w:rsidRPr="006E668D" w14:paraId="6BA793F4" w14:textId="77777777" w:rsidTr="00285644">
        <w:trPr>
          <w:trHeight w:val="170"/>
          <w:jc w:val="center"/>
        </w:trPr>
        <w:tc>
          <w:tcPr>
            <w:tcW w:w="3253" w:type="dxa"/>
            <w:vMerge w:val="restart"/>
            <w:vAlign w:val="center"/>
            <w:hideMark/>
          </w:tcPr>
          <w:p w14:paraId="6FF9D2E5" w14:textId="77777777" w:rsidR="006E668D" w:rsidRPr="006E668D" w:rsidRDefault="00540671" w:rsidP="006E668D">
            <w:pPr>
              <w:pStyle w:val="Tabletext"/>
            </w:pPr>
            <w:r w:rsidRPr="00540671">
              <w:rPr>
                <w:b/>
              </w:rPr>
              <w:t>REFORM 3:</w:t>
            </w:r>
            <w:r w:rsidR="006E668D" w:rsidRPr="006E668D">
              <w:t xml:space="preserve"> Collaboration with OECD on Education Policy Review: Improving Learning Outcomes in Greece</w:t>
            </w:r>
          </w:p>
        </w:tc>
        <w:tc>
          <w:tcPr>
            <w:tcW w:w="927" w:type="dxa"/>
            <w:vMerge w:val="restart"/>
            <w:vAlign w:val="center"/>
            <w:hideMark/>
          </w:tcPr>
          <w:p w14:paraId="5E1C9805" w14:textId="77777777" w:rsidR="006E668D" w:rsidRPr="006E668D" w:rsidRDefault="006E668D" w:rsidP="006E668D">
            <w:pPr>
              <w:pStyle w:val="Tabletext"/>
            </w:pPr>
            <w:r w:rsidRPr="006E668D">
              <w:t>-</w:t>
            </w:r>
          </w:p>
        </w:tc>
        <w:tc>
          <w:tcPr>
            <w:tcW w:w="1889" w:type="dxa"/>
            <w:tcBorders>
              <w:bottom w:val="nil"/>
            </w:tcBorders>
            <w:vAlign w:val="center"/>
            <w:hideMark/>
          </w:tcPr>
          <w:p w14:paraId="0A00E956" w14:textId="77777777" w:rsidR="006E668D" w:rsidRPr="006E668D" w:rsidRDefault="006E668D" w:rsidP="006E668D">
            <w:pPr>
              <w:pStyle w:val="Tabletext"/>
            </w:pPr>
            <w:r w:rsidRPr="006E668D">
              <w:t>2025.CSR5.6</w:t>
            </w:r>
          </w:p>
        </w:tc>
        <w:tc>
          <w:tcPr>
            <w:tcW w:w="1760" w:type="dxa"/>
            <w:vMerge w:val="restart"/>
            <w:vAlign w:val="center"/>
            <w:hideMark/>
          </w:tcPr>
          <w:p w14:paraId="600442D6" w14:textId="77777777" w:rsidR="006E668D" w:rsidRPr="006E668D" w:rsidRDefault="006E668D" w:rsidP="006E668D">
            <w:pPr>
              <w:pStyle w:val="Tabletext"/>
            </w:pPr>
            <w:r w:rsidRPr="006E668D">
              <w:t>Social and Economic resilience</w:t>
            </w:r>
          </w:p>
        </w:tc>
        <w:tc>
          <w:tcPr>
            <w:tcW w:w="1155" w:type="dxa"/>
            <w:vMerge w:val="restart"/>
            <w:vAlign w:val="center"/>
            <w:hideMark/>
          </w:tcPr>
          <w:p w14:paraId="1E84E73B" w14:textId="77777777" w:rsidR="006E668D" w:rsidRPr="006E668D" w:rsidRDefault="006E668D" w:rsidP="006E668D">
            <w:pPr>
              <w:pStyle w:val="Tabletext"/>
            </w:pPr>
            <w:r w:rsidRPr="006E668D">
              <w:t>Completed</w:t>
            </w:r>
          </w:p>
        </w:tc>
      </w:tr>
      <w:tr w:rsidR="006E668D" w:rsidRPr="006E668D" w14:paraId="7F29B14D" w14:textId="77777777" w:rsidTr="00285644">
        <w:trPr>
          <w:trHeight w:val="170"/>
          <w:jc w:val="center"/>
        </w:trPr>
        <w:tc>
          <w:tcPr>
            <w:tcW w:w="3253" w:type="dxa"/>
            <w:vMerge/>
            <w:vAlign w:val="center"/>
            <w:hideMark/>
          </w:tcPr>
          <w:p w14:paraId="16E3E976" w14:textId="77777777" w:rsidR="006E668D" w:rsidRPr="006E668D" w:rsidRDefault="006E668D" w:rsidP="006E668D">
            <w:pPr>
              <w:pStyle w:val="Tabletext"/>
            </w:pPr>
          </w:p>
        </w:tc>
        <w:tc>
          <w:tcPr>
            <w:tcW w:w="927" w:type="dxa"/>
            <w:vMerge/>
            <w:vAlign w:val="center"/>
            <w:hideMark/>
          </w:tcPr>
          <w:p w14:paraId="4080040C" w14:textId="77777777" w:rsidR="006E668D" w:rsidRPr="006E668D" w:rsidRDefault="006E668D" w:rsidP="006E668D">
            <w:pPr>
              <w:pStyle w:val="Tabletext"/>
            </w:pPr>
          </w:p>
        </w:tc>
        <w:tc>
          <w:tcPr>
            <w:tcW w:w="1889" w:type="dxa"/>
            <w:tcBorders>
              <w:top w:val="nil"/>
              <w:bottom w:val="nil"/>
            </w:tcBorders>
            <w:vAlign w:val="center"/>
            <w:hideMark/>
          </w:tcPr>
          <w:p w14:paraId="0A281256" w14:textId="77777777" w:rsidR="006E668D" w:rsidRPr="006E668D" w:rsidRDefault="006E668D" w:rsidP="006E668D">
            <w:pPr>
              <w:pStyle w:val="Tabletext"/>
            </w:pPr>
            <w:r w:rsidRPr="006E668D">
              <w:t>2024.CSR3.1</w:t>
            </w:r>
          </w:p>
        </w:tc>
        <w:tc>
          <w:tcPr>
            <w:tcW w:w="1760" w:type="dxa"/>
            <w:vMerge/>
            <w:vAlign w:val="center"/>
            <w:hideMark/>
          </w:tcPr>
          <w:p w14:paraId="3E5415C7" w14:textId="77777777" w:rsidR="006E668D" w:rsidRPr="006E668D" w:rsidRDefault="006E668D" w:rsidP="006E668D">
            <w:pPr>
              <w:pStyle w:val="Tabletext"/>
            </w:pPr>
          </w:p>
        </w:tc>
        <w:tc>
          <w:tcPr>
            <w:tcW w:w="1155" w:type="dxa"/>
            <w:vMerge/>
            <w:vAlign w:val="center"/>
            <w:hideMark/>
          </w:tcPr>
          <w:p w14:paraId="3AD45766" w14:textId="77777777" w:rsidR="006E668D" w:rsidRPr="006E668D" w:rsidRDefault="006E668D" w:rsidP="006E668D">
            <w:pPr>
              <w:pStyle w:val="Tabletext"/>
            </w:pPr>
          </w:p>
        </w:tc>
      </w:tr>
      <w:tr w:rsidR="006E668D" w:rsidRPr="006E668D" w14:paraId="70198899" w14:textId="77777777" w:rsidTr="00285644">
        <w:trPr>
          <w:trHeight w:val="170"/>
          <w:jc w:val="center"/>
        </w:trPr>
        <w:tc>
          <w:tcPr>
            <w:tcW w:w="3253" w:type="dxa"/>
            <w:vMerge/>
            <w:vAlign w:val="center"/>
            <w:hideMark/>
          </w:tcPr>
          <w:p w14:paraId="7D83E196" w14:textId="77777777" w:rsidR="006E668D" w:rsidRPr="006E668D" w:rsidRDefault="006E668D" w:rsidP="006E668D">
            <w:pPr>
              <w:pStyle w:val="Tabletext"/>
            </w:pPr>
          </w:p>
        </w:tc>
        <w:tc>
          <w:tcPr>
            <w:tcW w:w="927" w:type="dxa"/>
            <w:vMerge/>
            <w:vAlign w:val="center"/>
            <w:hideMark/>
          </w:tcPr>
          <w:p w14:paraId="47723931" w14:textId="77777777" w:rsidR="006E668D" w:rsidRPr="006E668D" w:rsidRDefault="006E668D" w:rsidP="006E668D">
            <w:pPr>
              <w:pStyle w:val="Tabletext"/>
            </w:pPr>
          </w:p>
        </w:tc>
        <w:tc>
          <w:tcPr>
            <w:tcW w:w="1889" w:type="dxa"/>
            <w:tcBorders>
              <w:top w:val="nil"/>
            </w:tcBorders>
            <w:vAlign w:val="center"/>
            <w:hideMark/>
          </w:tcPr>
          <w:p w14:paraId="0408F6D4" w14:textId="77777777" w:rsidR="006E668D" w:rsidRPr="006E668D" w:rsidRDefault="006E668D" w:rsidP="006E668D">
            <w:pPr>
              <w:pStyle w:val="Tabletext"/>
            </w:pPr>
            <w:r w:rsidRPr="006E668D">
              <w:t>2019.CSR2.5</w:t>
            </w:r>
          </w:p>
        </w:tc>
        <w:tc>
          <w:tcPr>
            <w:tcW w:w="1760" w:type="dxa"/>
            <w:vMerge/>
            <w:vAlign w:val="center"/>
            <w:hideMark/>
          </w:tcPr>
          <w:p w14:paraId="66F1D750" w14:textId="77777777" w:rsidR="006E668D" w:rsidRPr="006E668D" w:rsidRDefault="006E668D" w:rsidP="006E668D">
            <w:pPr>
              <w:pStyle w:val="Tabletext"/>
            </w:pPr>
          </w:p>
        </w:tc>
        <w:tc>
          <w:tcPr>
            <w:tcW w:w="1155" w:type="dxa"/>
            <w:vMerge/>
            <w:vAlign w:val="center"/>
            <w:hideMark/>
          </w:tcPr>
          <w:p w14:paraId="66DE1005" w14:textId="77777777" w:rsidR="006E668D" w:rsidRPr="006E668D" w:rsidRDefault="006E668D" w:rsidP="006E668D">
            <w:pPr>
              <w:pStyle w:val="Tabletext"/>
            </w:pPr>
          </w:p>
        </w:tc>
      </w:tr>
      <w:tr w:rsidR="006E668D" w:rsidRPr="006E668D" w14:paraId="1F89B0D0" w14:textId="77777777" w:rsidTr="00285644">
        <w:trPr>
          <w:trHeight w:val="170"/>
          <w:jc w:val="center"/>
        </w:trPr>
        <w:tc>
          <w:tcPr>
            <w:tcW w:w="3253" w:type="dxa"/>
            <w:vAlign w:val="center"/>
            <w:hideMark/>
          </w:tcPr>
          <w:p w14:paraId="1E9A4E4B" w14:textId="77777777" w:rsidR="006E668D" w:rsidRPr="006E668D" w:rsidRDefault="00540671" w:rsidP="006E668D">
            <w:pPr>
              <w:pStyle w:val="Tabletext"/>
            </w:pPr>
            <w:r w:rsidRPr="00540671">
              <w:rPr>
                <w:b/>
              </w:rPr>
              <w:t>REFORM 4:</w:t>
            </w:r>
            <w:r w:rsidR="006E668D" w:rsidRPr="006E668D">
              <w:t xml:space="preserve"> Further expansion of experimental and model schools' network</w:t>
            </w:r>
          </w:p>
        </w:tc>
        <w:tc>
          <w:tcPr>
            <w:tcW w:w="927" w:type="dxa"/>
            <w:vAlign w:val="center"/>
            <w:hideMark/>
          </w:tcPr>
          <w:p w14:paraId="20BA5EB3" w14:textId="77777777" w:rsidR="006E668D" w:rsidRPr="006E668D" w:rsidRDefault="006E668D" w:rsidP="006E668D">
            <w:pPr>
              <w:pStyle w:val="Tabletext"/>
            </w:pPr>
            <w:r w:rsidRPr="006E668D">
              <w:t>-</w:t>
            </w:r>
          </w:p>
        </w:tc>
        <w:tc>
          <w:tcPr>
            <w:tcW w:w="1889" w:type="dxa"/>
            <w:tcBorders>
              <w:bottom w:val="single" w:sz="2" w:space="0" w:color="4F81BD" w:themeColor="accent1"/>
            </w:tcBorders>
            <w:vAlign w:val="center"/>
            <w:hideMark/>
          </w:tcPr>
          <w:p w14:paraId="28CFCF7F" w14:textId="77777777" w:rsidR="006E668D" w:rsidRPr="006E668D" w:rsidRDefault="006E668D" w:rsidP="006E668D">
            <w:pPr>
              <w:pStyle w:val="Tabletext"/>
            </w:pPr>
            <w:r w:rsidRPr="006E668D">
              <w:t>2019.CSR2.5</w:t>
            </w:r>
          </w:p>
        </w:tc>
        <w:tc>
          <w:tcPr>
            <w:tcW w:w="1760" w:type="dxa"/>
            <w:vAlign w:val="center"/>
            <w:hideMark/>
          </w:tcPr>
          <w:p w14:paraId="47580624" w14:textId="77777777" w:rsidR="006E668D" w:rsidRPr="006E668D" w:rsidRDefault="006E668D" w:rsidP="006E668D">
            <w:pPr>
              <w:pStyle w:val="Tabletext"/>
            </w:pPr>
            <w:r w:rsidRPr="006E668D">
              <w:t>Social and Economic resilience</w:t>
            </w:r>
          </w:p>
        </w:tc>
        <w:tc>
          <w:tcPr>
            <w:tcW w:w="1155" w:type="dxa"/>
            <w:vAlign w:val="center"/>
            <w:hideMark/>
          </w:tcPr>
          <w:p w14:paraId="16F0661A" w14:textId="77777777" w:rsidR="006E668D" w:rsidRPr="006E668D" w:rsidRDefault="006E668D" w:rsidP="006E668D">
            <w:pPr>
              <w:pStyle w:val="Tabletext"/>
            </w:pPr>
            <w:r w:rsidRPr="006E668D">
              <w:t>On track</w:t>
            </w:r>
          </w:p>
        </w:tc>
      </w:tr>
      <w:tr w:rsidR="006E668D" w:rsidRPr="006E668D" w14:paraId="0C0294B1" w14:textId="77777777" w:rsidTr="00285644">
        <w:trPr>
          <w:trHeight w:val="170"/>
          <w:jc w:val="center"/>
        </w:trPr>
        <w:tc>
          <w:tcPr>
            <w:tcW w:w="3253" w:type="dxa"/>
            <w:vMerge w:val="restart"/>
            <w:vAlign w:val="center"/>
            <w:hideMark/>
          </w:tcPr>
          <w:p w14:paraId="0050EC57" w14:textId="77777777" w:rsidR="006E668D" w:rsidRPr="006E668D" w:rsidRDefault="00540671" w:rsidP="006E668D">
            <w:pPr>
              <w:pStyle w:val="Tabletext"/>
            </w:pPr>
            <w:r w:rsidRPr="00540671">
              <w:rPr>
                <w:b/>
              </w:rPr>
              <w:t>REFORM 5:</w:t>
            </w:r>
            <w:r w:rsidR="006E668D" w:rsidRPr="006E668D">
              <w:t xml:space="preserve"> all-day program</w:t>
            </w:r>
          </w:p>
        </w:tc>
        <w:tc>
          <w:tcPr>
            <w:tcW w:w="927" w:type="dxa"/>
            <w:vMerge w:val="restart"/>
            <w:vAlign w:val="center"/>
            <w:hideMark/>
          </w:tcPr>
          <w:p w14:paraId="3B8771BD" w14:textId="77777777" w:rsidR="006E668D" w:rsidRPr="006E668D" w:rsidRDefault="006E668D" w:rsidP="006E668D">
            <w:pPr>
              <w:pStyle w:val="Tabletext"/>
            </w:pPr>
            <w:r w:rsidRPr="006E668D">
              <w:t>MFF</w:t>
            </w:r>
          </w:p>
        </w:tc>
        <w:tc>
          <w:tcPr>
            <w:tcW w:w="1889" w:type="dxa"/>
            <w:tcBorders>
              <w:bottom w:val="nil"/>
            </w:tcBorders>
            <w:vAlign w:val="center"/>
            <w:hideMark/>
          </w:tcPr>
          <w:p w14:paraId="562338FA" w14:textId="77777777" w:rsidR="006E668D" w:rsidRPr="006E668D" w:rsidRDefault="006E668D" w:rsidP="006E668D">
            <w:pPr>
              <w:pStyle w:val="Tabletext"/>
            </w:pPr>
            <w:r w:rsidRPr="006E668D">
              <w:t>2025.CSR5.2</w:t>
            </w:r>
          </w:p>
        </w:tc>
        <w:tc>
          <w:tcPr>
            <w:tcW w:w="1760" w:type="dxa"/>
            <w:vMerge w:val="restart"/>
            <w:vAlign w:val="center"/>
            <w:hideMark/>
          </w:tcPr>
          <w:p w14:paraId="204DA477" w14:textId="77777777" w:rsidR="006E668D" w:rsidRPr="006E668D" w:rsidRDefault="006E668D" w:rsidP="006E668D">
            <w:pPr>
              <w:pStyle w:val="Tabletext"/>
            </w:pPr>
            <w:r w:rsidRPr="006E668D">
              <w:t>Social and Economic resilience</w:t>
            </w:r>
          </w:p>
        </w:tc>
        <w:tc>
          <w:tcPr>
            <w:tcW w:w="1155" w:type="dxa"/>
            <w:vMerge w:val="restart"/>
            <w:vAlign w:val="center"/>
            <w:hideMark/>
          </w:tcPr>
          <w:p w14:paraId="5DAB344F" w14:textId="77777777" w:rsidR="006E668D" w:rsidRPr="006E668D" w:rsidRDefault="006E668D" w:rsidP="006E668D">
            <w:pPr>
              <w:pStyle w:val="Tabletext"/>
            </w:pPr>
            <w:r w:rsidRPr="006E668D">
              <w:t>On track</w:t>
            </w:r>
          </w:p>
        </w:tc>
      </w:tr>
      <w:tr w:rsidR="006E668D" w:rsidRPr="006E668D" w14:paraId="0A9F410A" w14:textId="77777777" w:rsidTr="00285644">
        <w:trPr>
          <w:trHeight w:val="170"/>
          <w:jc w:val="center"/>
        </w:trPr>
        <w:tc>
          <w:tcPr>
            <w:tcW w:w="3253" w:type="dxa"/>
            <w:vMerge/>
            <w:vAlign w:val="center"/>
            <w:hideMark/>
          </w:tcPr>
          <w:p w14:paraId="5A0F038B" w14:textId="77777777" w:rsidR="006E668D" w:rsidRPr="006E668D" w:rsidRDefault="006E668D" w:rsidP="006E668D">
            <w:pPr>
              <w:pStyle w:val="Tabletext"/>
            </w:pPr>
          </w:p>
        </w:tc>
        <w:tc>
          <w:tcPr>
            <w:tcW w:w="927" w:type="dxa"/>
            <w:vMerge/>
            <w:vAlign w:val="center"/>
            <w:hideMark/>
          </w:tcPr>
          <w:p w14:paraId="0D07E303" w14:textId="77777777" w:rsidR="006E668D" w:rsidRPr="006E668D" w:rsidRDefault="006E668D" w:rsidP="006E668D">
            <w:pPr>
              <w:pStyle w:val="Tabletext"/>
            </w:pPr>
          </w:p>
        </w:tc>
        <w:tc>
          <w:tcPr>
            <w:tcW w:w="1889" w:type="dxa"/>
            <w:tcBorders>
              <w:top w:val="nil"/>
              <w:bottom w:val="nil"/>
            </w:tcBorders>
            <w:vAlign w:val="center"/>
            <w:hideMark/>
          </w:tcPr>
          <w:p w14:paraId="029C92B4" w14:textId="77777777" w:rsidR="006E668D" w:rsidRPr="006E668D" w:rsidRDefault="006E668D" w:rsidP="006E668D">
            <w:pPr>
              <w:pStyle w:val="Tabletext"/>
            </w:pPr>
            <w:r w:rsidRPr="006E668D">
              <w:t>2024.CSR3.1</w:t>
            </w:r>
          </w:p>
        </w:tc>
        <w:tc>
          <w:tcPr>
            <w:tcW w:w="1760" w:type="dxa"/>
            <w:vMerge/>
            <w:vAlign w:val="center"/>
            <w:hideMark/>
          </w:tcPr>
          <w:p w14:paraId="4BB4C819" w14:textId="77777777" w:rsidR="006E668D" w:rsidRPr="006E668D" w:rsidRDefault="006E668D" w:rsidP="006E668D">
            <w:pPr>
              <w:pStyle w:val="Tabletext"/>
            </w:pPr>
          </w:p>
        </w:tc>
        <w:tc>
          <w:tcPr>
            <w:tcW w:w="1155" w:type="dxa"/>
            <w:vMerge/>
            <w:vAlign w:val="center"/>
            <w:hideMark/>
          </w:tcPr>
          <w:p w14:paraId="716D5693" w14:textId="77777777" w:rsidR="006E668D" w:rsidRPr="006E668D" w:rsidRDefault="006E668D" w:rsidP="006E668D">
            <w:pPr>
              <w:pStyle w:val="Tabletext"/>
            </w:pPr>
          </w:p>
        </w:tc>
      </w:tr>
      <w:tr w:rsidR="006E668D" w:rsidRPr="006E668D" w14:paraId="7696EAA9" w14:textId="77777777" w:rsidTr="00285644">
        <w:trPr>
          <w:trHeight w:val="170"/>
          <w:jc w:val="center"/>
        </w:trPr>
        <w:tc>
          <w:tcPr>
            <w:tcW w:w="3253" w:type="dxa"/>
            <w:vMerge/>
            <w:vAlign w:val="center"/>
            <w:hideMark/>
          </w:tcPr>
          <w:p w14:paraId="1A8EC506" w14:textId="77777777" w:rsidR="006E668D" w:rsidRPr="006E668D" w:rsidRDefault="006E668D" w:rsidP="006E668D">
            <w:pPr>
              <w:pStyle w:val="Tabletext"/>
            </w:pPr>
          </w:p>
        </w:tc>
        <w:tc>
          <w:tcPr>
            <w:tcW w:w="927" w:type="dxa"/>
            <w:vMerge/>
            <w:vAlign w:val="center"/>
            <w:hideMark/>
          </w:tcPr>
          <w:p w14:paraId="722926FB" w14:textId="77777777" w:rsidR="006E668D" w:rsidRPr="006E668D" w:rsidRDefault="006E668D" w:rsidP="006E668D">
            <w:pPr>
              <w:pStyle w:val="Tabletext"/>
            </w:pPr>
          </w:p>
        </w:tc>
        <w:tc>
          <w:tcPr>
            <w:tcW w:w="1889" w:type="dxa"/>
            <w:tcBorders>
              <w:top w:val="nil"/>
              <w:bottom w:val="nil"/>
            </w:tcBorders>
            <w:vAlign w:val="center"/>
            <w:hideMark/>
          </w:tcPr>
          <w:p w14:paraId="2FC9670B" w14:textId="77777777" w:rsidR="006E668D" w:rsidRPr="006E668D" w:rsidRDefault="006E668D" w:rsidP="006E668D">
            <w:pPr>
              <w:pStyle w:val="Tabletext"/>
            </w:pPr>
            <w:r w:rsidRPr="006E668D">
              <w:t>2019.CSR2.5</w:t>
            </w:r>
          </w:p>
        </w:tc>
        <w:tc>
          <w:tcPr>
            <w:tcW w:w="1760" w:type="dxa"/>
            <w:vMerge/>
            <w:vAlign w:val="center"/>
            <w:hideMark/>
          </w:tcPr>
          <w:p w14:paraId="5C82CE36" w14:textId="77777777" w:rsidR="006E668D" w:rsidRPr="006E668D" w:rsidRDefault="006E668D" w:rsidP="006E668D">
            <w:pPr>
              <w:pStyle w:val="Tabletext"/>
            </w:pPr>
          </w:p>
        </w:tc>
        <w:tc>
          <w:tcPr>
            <w:tcW w:w="1155" w:type="dxa"/>
            <w:vMerge/>
            <w:vAlign w:val="center"/>
            <w:hideMark/>
          </w:tcPr>
          <w:p w14:paraId="212DD6D2" w14:textId="77777777" w:rsidR="006E668D" w:rsidRPr="006E668D" w:rsidRDefault="006E668D" w:rsidP="006E668D">
            <w:pPr>
              <w:pStyle w:val="Tabletext"/>
            </w:pPr>
          </w:p>
        </w:tc>
      </w:tr>
      <w:tr w:rsidR="006E668D" w:rsidRPr="006E668D" w14:paraId="538DCCFA" w14:textId="77777777" w:rsidTr="00285644">
        <w:trPr>
          <w:trHeight w:val="170"/>
          <w:jc w:val="center"/>
        </w:trPr>
        <w:tc>
          <w:tcPr>
            <w:tcW w:w="3253" w:type="dxa"/>
            <w:vMerge/>
            <w:vAlign w:val="center"/>
            <w:hideMark/>
          </w:tcPr>
          <w:p w14:paraId="16B55453" w14:textId="77777777" w:rsidR="006E668D" w:rsidRPr="006E668D" w:rsidRDefault="006E668D" w:rsidP="006E668D">
            <w:pPr>
              <w:pStyle w:val="Tabletext"/>
            </w:pPr>
          </w:p>
        </w:tc>
        <w:tc>
          <w:tcPr>
            <w:tcW w:w="927" w:type="dxa"/>
            <w:vMerge/>
            <w:vAlign w:val="center"/>
            <w:hideMark/>
          </w:tcPr>
          <w:p w14:paraId="4570C29A" w14:textId="77777777" w:rsidR="006E668D" w:rsidRPr="006E668D" w:rsidRDefault="006E668D" w:rsidP="006E668D">
            <w:pPr>
              <w:pStyle w:val="Tabletext"/>
            </w:pPr>
          </w:p>
        </w:tc>
        <w:tc>
          <w:tcPr>
            <w:tcW w:w="1889" w:type="dxa"/>
            <w:tcBorders>
              <w:top w:val="nil"/>
              <w:bottom w:val="nil"/>
            </w:tcBorders>
            <w:vAlign w:val="center"/>
            <w:hideMark/>
          </w:tcPr>
          <w:p w14:paraId="11E66E9B" w14:textId="77777777" w:rsidR="006E668D" w:rsidRPr="006E668D" w:rsidRDefault="006E668D" w:rsidP="006E668D">
            <w:pPr>
              <w:pStyle w:val="Tabletext"/>
            </w:pPr>
            <w:r w:rsidRPr="006E668D">
              <w:t>2019.CSR2.7</w:t>
            </w:r>
          </w:p>
        </w:tc>
        <w:tc>
          <w:tcPr>
            <w:tcW w:w="1760" w:type="dxa"/>
            <w:vMerge/>
            <w:vAlign w:val="center"/>
            <w:hideMark/>
          </w:tcPr>
          <w:p w14:paraId="502DEFEC" w14:textId="77777777" w:rsidR="006E668D" w:rsidRPr="006E668D" w:rsidRDefault="006E668D" w:rsidP="006E668D">
            <w:pPr>
              <w:pStyle w:val="Tabletext"/>
            </w:pPr>
          </w:p>
        </w:tc>
        <w:tc>
          <w:tcPr>
            <w:tcW w:w="1155" w:type="dxa"/>
            <w:vMerge/>
            <w:vAlign w:val="center"/>
            <w:hideMark/>
          </w:tcPr>
          <w:p w14:paraId="0D5A12BE" w14:textId="77777777" w:rsidR="006E668D" w:rsidRPr="006E668D" w:rsidRDefault="006E668D" w:rsidP="006E668D">
            <w:pPr>
              <w:pStyle w:val="Tabletext"/>
            </w:pPr>
          </w:p>
        </w:tc>
      </w:tr>
      <w:tr w:rsidR="006E668D" w:rsidRPr="006E668D" w14:paraId="327D4F47" w14:textId="77777777" w:rsidTr="00285644">
        <w:trPr>
          <w:trHeight w:val="170"/>
          <w:jc w:val="center"/>
        </w:trPr>
        <w:tc>
          <w:tcPr>
            <w:tcW w:w="3253" w:type="dxa"/>
            <w:vMerge/>
            <w:vAlign w:val="center"/>
            <w:hideMark/>
          </w:tcPr>
          <w:p w14:paraId="01FD7761" w14:textId="77777777" w:rsidR="006E668D" w:rsidRPr="006E668D" w:rsidRDefault="006E668D" w:rsidP="006E668D">
            <w:pPr>
              <w:pStyle w:val="Tabletext"/>
            </w:pPr>
          </w:p>
        </w:tc>
        <w:tc>
          <w:tcPr>
            <w:tcW w:w="927" w:type="dxa"/>
            <w:vMerge/>
            <w:vAlign w:val="center"/>
            <w:hideMark/>
          </w:tcPr>
          <w:p w14:paraId="73D96E92" w14:textId="77777777" w:rsidR="006E668D" w:rsidRPr="006E668D" w:rsidRDefault="006E668D" w:rsidP="006E668D">
            <w:pPr>
              <w:pStyle w:val="Tabletext"/>
            </w:pPr>
          </w:p>
        </w:tc>
        <w:tc>
          <w:tcPr>
            <w:tcW w:w="1889" w:type="dxa"/>
            <w:tcBorders>
              <w:top w:val="nil"/>
              <w:bottom w:val="single" w:sz="2" w:space="0" w:color="4F81BD" w:themeColor="accent1"/>
            </w:tcBorders>
            <w:vAlign w:val="center"/>
            <w:hideMark/>
          </w:tcPr>
          <w:p w14:paraId="7773C8EE" w14:textId="47764F8F" w:rsidR="006E668D" w:rsidRPr="006E668D" w:rsidRDefault="006E668D" w:rsidP="006E668D">
            <w:pPr>
              <w:pStyle w:val="Tabletext"/>
            </w:pPr>
          </w:p>
        </w:tc>
        <w:tc>
          <w:tcPr>
            <w:tcW w:w="1760" w:type="dxa"/>
            <w:vMerge/>
            <w:vAlign w:val="center"/>
            <w:hideMark/>
          </w:tcPr>
          <w:p w14:paraId="2FF046FA" w14:textId="77777777" w:rsidR="006E668D" w:rsidRPr="006E668D" w:rsidRDefault="006E668D" w:rsidP="006E668D">
            <w:pPr>
              <w:pStyle w:val="Tabletext"/>
            </w:pPr>
          </w:p>
        </w:tc>
        <w:tc>
          <w:tcPr>
            <w:tcW w:w="1155" w:type="dxa"/>
            <w:vMerge/>
            <w:vAlign w:val="center"/>
            <w:hideMark/>
          </w:tcPr>
          <w:p w14:paraId="2FDFA9AE" w14:textId="77777777" w:rsidR="006E668D" w:rsidRPr="006E668D" w:rsidRDefault="006E668D" w:rsidP="006E668D">
            <w:pPr>
              <w:pStyle w:val="Tabletext"/>
            </w:pPr>
          </w:p>
        </w:tc>
      </w:tr>
      <w:tr w:rsidR="006E668D" w:rsidRPr="006E668D" w14:paraId="1F81958B" w14:textId="77777777" w:rsidTr="00285644">
        <w:trPr>
          <w:trHeight w:val="170"/>
          <w:jc w:val="center"/>
        </w:trPr>
        <w:tc>
          <w:tcPr>
            <w:tcW w:w="3253" w:type="dxa"/>
            <w:vMerge w:val="restart"/>
            <w:vAlign w:val="center"/>
            <w:hideMark/>
          </w:tcPr>
          <w:p w14:paraId="0C57332F" w14:textId="77777777" w:rsidR="006E668D" w:rsidRPr="006E668D" w:rsidRDefault="00540671" w:rsidP="006E668D">
            <w:pPr>
              <w:pStyle w:val="Tabletext"/>
            </w:pPr>
            <w:r w:rsidRPr="00540671">
              <w:rPr>
                <w:b/>
              </w:rPr>
              <w:t>REFORM 6:</w:t>
            </w:r>
            <w:r w:rsidR="006E668D" w:rsidRPr="006E668D">
              <w:t xml:space="preserve"> Inclusion in education</w:t>
            </w:r>
          </w:p>
        </w:tc>
        <w:tc>
          <w:tcPr>
            <w:tcW w:w="927" w:type="dxa"/>
            <w:vMerge w:val="restart"/>
            <w:vAlign w:val="center"/>
            <w:hideMark/>
          </w:tcPr>
          <w:p w14:paraId="08534421" w14:textId="77777777" w:rsidR="006E668D" w:rsidRPr="006E668D" w:rsidRDefault="006E668D" w:rsidP="006E668D">
            <w:pPr>
              <w:pStyle w:val="Tabletext"/>
            </w:pPr>
            <w:r w:rsidRPr="006E668D">
              <w:t>MFF</w:t>
            </w:r>
          </w:p>
        </w:tc>
        <w:tc>
          <w:tcPr>
            <w:tcW w:w="1889" w:type="dxa"/>
            <w:tcBorders>
              <w:bottom w:val="nil"/>
            </w:tcBorders>
            <w:vAlign w:val="center"/>
            <w:hideMark/>
          </w:tcPr>
          <w:p w14:paraId="7D696659" w14:textId="77777777" w:rsidR="006E668D" w:rsidRPr="006E668D" w:rsidRDefault="006E668D" w:rsidP="006E668D">
            <w:pPr>
              <w:pStyle w:val="Tabletext"/>
            </w:pPr>
            <w:r w:rsidRPr="006E668D">
              <w:t>2024.CSR3.1</w:t>
            </w:r>
          </w:p>
        </w:tc>
        <w:tc>
          <w:tcPr>
            <w:tcW w:w="1760" w:type="dxa"/>
            <w:vMerge w:val="restart"/>
            <w:vAlign w:val="center"/>
            <w:hideMark/>
          </w:tcPr>
          <w:p w14:paraId="4F8865A8" w14:textId="77777777" w:rsidR="006E668D" w:rsidRPr="006E668D" w:rsidRDefault="006E668D" w:rsidP="006E668D">
            <w:pPr>
              <w:pStyle w:val="Tabletext"/>
            </w:pPr>
            <w:r w:rsidRPr="006E668D">
              <w:t>Social and Economic resilience</w:t>
            </w:r>
          </w:p>
        </w:tc>
        <w:tc>
          <w:tcPr>
            <w:tcW w:w="1155" w:type="dxa"/>
            <w:vMerge w:val="restart"/>
            <w:vAlign w:val="center"/>
            <w:hideMark/>
          </w:tcPr>
          <w:p w14:paraId="3EB0CBA7" w14:textId="77777777" w:rsidR="006E668D" w:rsidRPr="006E668D" w:rsidRDefault="006E668D" w:rsidP="006E668D">
            <w:pPr>
              <w:pStyle w:val="Tabletext"/>
            </w:pPr>
            <w:r w:rsidRPr="006E668D">
              <w:t>On track</w:t>
            </w:r>
          </w:p>
        </w:tc>
      </w:tr>
      <w:tr w:rsidR="006E668D" w:rsidRPr="006E668D" w14:paraId="15D7677A" w14:textId="77777777" w:rsidTr="00285644">
        <w:trPr>
          <w:trHeight w:val="170"/>
          <w:jc w:val="center"/>
        </w:trPr>
        <w:tc>
          <w:tcPr>
            <w:tcW w:w="3253" w:type="dxa"/>
            <w:vMerge/>
            <w:vAlign w:val="center"/>
            <w:hideMark/>
          </w:tcPr>
          <w:p w14:paraId="4952C119" w14:textId="77777777" w:rsidR="006E668D" w:rsidRPr="006E668D" w:rsidRDefault="006E668D" w:rsidP="006E668D">
            <w:pPr>
              <w:pStyle w:val="Tabletext"/>
            </w:pPr>
          </w:p>
        </w:tc>
        <w:tc>
          <w:tcPr>
            <w:tcW w:w="927" w:type="dxa"/>
            <w:vMerge/>
            <w:vAlign w:val="center"/>
            <w:hideMark/>
          </w:tcPr>
          <w:p w14:paraId="06C6C07D" w14:textId="77777777" w:rsidR="006E668D" w:rsidRPr="006E668D" w:rsidRDefault="006E668D" w:rsidP="006E668D">
            <w:pPr>
              <w:pStyle w:val="Tabletext"/>
            </w:pPr>
          </w:p>
        </w:tc>
        <w:tc>
          <w:tcPr>
            <w:tcW w:w="1889" w:type="dxa"/>
            <w:tcBorders>
              <w:top w:val="nil"/>
              <w:bottom w:val="single" w:sz="2" w:space="0" w:color="4F81BD" w:themeColor="accent1"/>
            </w:tcBorders>
            <w:vAlign w:val="center"/>
            <w:hideMark/>
          </w:tcPr>
          <w:p w14:paraId="11D33E2D" w14:textId="77777777" w:rsidR="006E668D" w:rsidRPr="006E668D" w:rsidRDefault="006E668D" w:rsidP="006E668D">
            <w:pPr>
              <w:pStyle w:val="Tabletext"/>
            </w:pPr>
            <w:r w:rsidRPr="006E668D">
              <w:t>2019.CSR2.5</w:t>
            </w:r>
          </w:p>
        </w:tc>
        <w:tc>
          <w:tcPr>
            <w:tcW w:w="1760" w:type="dxa"/>
            <w:vMerge/>
            <w:vAlign w:val="center"/>
            <w:hideMark/>
          </w:tcPr>
          <w:p w14:paraId="7004F1C0" w14:textId="77777777" w:rsidR="006E668D" w:rsidRPr="006E668D" w:rsidRDefault="006E668D" w:rsidP="006E668D">
            <w:pPr>
              <w:pStyle w:val="Tabletext"/>
            </w:pPr>
          </w:p>
        </w:tc>
        <w:tc>
          <w:tcPr>
            <w:tcW w:w="1155" w:type="dxa"/>
            <w:vMerge/>
            <w:vAlign w:val="center"/>
            <w:hideMark/>
          </w:tcPr>
          <w:p w14:paraId="08BB55CE" w14:textId="77777777" w:rsidR="006E668D" w:rsidRPr="006E668D" w:rsidRDefault="006E668D" w:rsidP="006E668D">
            <w:pPr>
              <w:pStyle w:val="Tabletext"/>
            </w:pPr>
          </w:p>
        </w:tc>
      </w:tr>
      <w:tr w:rsidR="006E668D" w:rsidRPr="006E668D" w14:paraId="0D4FB2A8" w14:textId="77777777" w:rsidTr="00285644">
        <w:trPr>
          <w:trHeight w:val="170"/>
          <w:jc w:val="center"/>
        </w:trPr>
        <w:tc>
          <w:tcPr>
            <w:tcW w:w="3253" w:type="dxa"/>
            <w:vMerge w:val="restart"/>
            <w:vAlign w:val="center"/>
            <w:hideMark/>
          </w:tcPr>
          <w:p w14:paraId="03A96A2C" w14:textId="77777777" w:rsidR="006E668D" w:rsidRPr="006E668D" w:rsidRDefault="00540671" w:rsidP="006E668D">
            <w:pPr>
              <w:pStyle w:val="Tabletext"/>
            </w:pPr>
            <w:r w:rsidRPr="00540671">
              <w:rPr>
                <w:b/>
              </w:rPr>
              <w:t>REFORM 7:</w:t>
            </w:r>
            <w:r w:rsidR="006E668D" w:rsidRPr="006E668D">
              <w:t xml:space="preserve"> Upgrading Vocational Education and Training</w:t>
            </w:r>
          </w:p>
        </w:tc>
        <w:tc>
          <w:tcPr>
            <w:tcW w:w="927" w:type="dxa"/>
            <w:vMerge w:val="restart"/>
            <w:vAlign w:val="center"/>
            <w:hideMark/>
          </w:tcPr>
          <w:p w14:paraId="155ACBF7" w14:textId="77777777" w:rsidR="006E668D" w:rsidRPr="006E668D" w:rsidRDefault="006E668D" w:rsidP="006E668D">
            <w:pPr>
              <w:pStyle w:val="Tabletext"/>
            </w:pPr>
            <w:r w:rsidRPr="006E668D">
              <w:t>RRF 16934</w:t>
            </w:r>
          </w:p>
        </w:tc>
        <w:tc>
          <w:tcPr>
            <w:tcW w:w="1889" w:type="dxa"/>
            <w:tcBorders>
              <w:bottom w:val="nil"/>
            </w:tcBorders>
            <w:vAlign w:val="center"/>
            <w:hideMark/>
          </w:tcPr>
          <w:p w14:paraId="574F7C20" w14:textId="77777777" w:rsidR="006E668D" w:rsidRPr="006E668D" w:rsidRDefault="006E668D" w:rsidP="006E668D">
            <w:pPr>
              <w:pStyle w:val="Tabletext"/>
            </w:pPr>
            <w:r w:rsidRPr="006E668D">
              <w:t>2025.CSR5.5</w:t>
            </w:r>
          </w:p>
        </w:tc>
        <w:tc>
          <w:tcPr>
            <w:tcW w:w="1760" w:type="dxa"/>
            <w:vMerge w:val="restart"/>
            <w:vAlign w:val="center"/>
            <w:hideMark/>
          </w:tcPr>
          <w:p w14:paraId="1F59B6B6" w14:textId="77777777" w:rsidR="006E668D" w:rsidRPr="006E668D" w:rsidRDefault="006E668D" w:rsidP="006E668D">
            <w:pPr>
              <w:pStyle w:val="Tabletext"/>
            </w:pPr>
            <w:r w:rsidRPr="006E668D">
              <w:t>Social and Economic resilience</w:t>
            </w:r>
          </w:p>
        </w:tc>
        <w:tc>
          <w:tcPr>
            <w:tcW w:w="1155" w:type="dxa"/>
            <w:vMerge w:val="restart"/>
            <w:vAlign w:val="center"/>
            <w:hideMark/>
          </w:tcPr>
          <w:p w14:paraId="4FC32AD9" w14:textId="77777777" w:rsidR="006E668D" w:rsidRPr="006E668D" w:rsidRDefault="006E668D" w:rsidP="006E668D">
            <w:pPr>
              <w:pStyle w:val="Tabletext"/>
            </w:pPr>
            <w:r w:rsidRPr="006E668D">
              <w:t>On track</w:t>
            </w:r>
          </w:p>
        </w:tc>
      </w:tr>
      <w:tr w:rsidR="006E668D" w:rsidRPr="006E668D" w14:paraId="17F59E1D" w14:textId="77777777" w:rsidTr="00285644">
        <w:trPr>
          <w:trHeight w:val="170"/>
          <w:jc w:val="center"/>
        </w:trPr>
        <w:tc>
          <w:tcPr>
            <w:tcW w:w="3253" w:type="dxa"/>
            <w:vMerge/>
            <w:vAlign w:val="center"/>
            <w:hideMark/>
          </w:tcPr>
          <w:p w14:paraId="4585991E" w14:textId="77777777" w:rsidR="006E668D" w:rsidRPr="006E668D" w:rsidRDefault="006E668D" w:rsidP="006E668D">
            <w:pPr>
              <w:pStyle w:val="Tabletext"/>
            </w:pPr>
          </w:p>
        </w:tc>
        <w:tc>
          <w:tcPr>
            <w:tcW w:w="927" w:type="dxa"/>
            <w:vMerge/>
            <w:vAlign w:val="center"/>
            <w:hideMark/>
          </w:tcPr>
          <w:p w14:paraId="314FF5AE" w14:textId="77777777" w:rsidR="006E668D" w:rsidRPr="006E668D" w:rsidRDefault="006E668D" w:rsidP="006E668D">
            <w:pPr>
              <w:pStyle w:val="Tabletext"/>
            </w:pPr>
          </w:p>
        </w:tc>
        <w:tc>
          <w:tcPr>
            <w:tcW w:w="1889" w:type="dxa"/>
            <w:tcBorders>
              <w:top w:val="nil"/>
              <w:bottom w:val="nil"/>
            </w:tcBorders>
            <w:vAlign w:val="center"/>
            <w:hideMark/>
          </w:tcPr>
          <w:p w14:paraId="6390EF9F" w14:textId="77777777" w:rsidR="006E668D" w:rsidRPr="006E668D" w:rsidRDefault="006E668D" w:rsidP="006E668D">
            <w:pPr>
              <w:pStyle w:val="Tabletext"/>
            </w:pPr>
            <w:r w:rsidRPr="006E668D">
              <w:t>2025.CSR5.6</w:t>
            </w:r>
          </w:p>
        </w:tc>
        <w:tc>
          <w:tcPr>
            <w:tcW w:w="1760" w:type="dxa"/>
            <w:vMerge/>
            <w:vAlign w:val="center"/>
            <w:hideMark/>
          </w:tcPr>
          <w:p w14:paraId="4A4597AE" w14:textId="77777777" w:rsidR="006E668D" w:rsidRPr="006E668D" w:rsidRDefault="006E668D" w:rsidP="006E668D">
            <w:pPr>
              <w:pStyle w:val="Tabletext"/>
            </w:pPr>
          </w:p>
        </w:tc>
        <w:tc>
          <w:tcPr>
            <w:tcW w:w="1155" w:type="dxa"/>
            <w:vMerge/>
            <w:vAlign w:val="center"/>
            <w:hideMark/>
          </w:tcPr>
          <w:p w14:paraId="6AD8BDC8" w14:textId="77777777" w:rsidR="006E668D" w:rsidRPr="006E668D" w:rsidRDefault="006E668D" w:rsidP="006E668D">
            <w:pPr>
              <w:pStyle w:val="Tabletext"/>
            </w:pPr>
          </w:p>
        </w:tc>
      </w:tr>
      <w:tr w:rsidR="006E668D" w:rsidRPr="006E668D" w14:paraId="3BF751EA" w14:textId="77777777" w:rsidTr="00285644">
        <w:trPr>
          <w:trHeight w:val="170"/>
          <w:jc w:val="center"/>
        </w:trPr>
        <w:tc>
          <w:tcPr>
            <w:tcW w:w="3253" w:type="dxa"/>
            <w:vMerge/>
            <w:vAlign w:val="center"/>
            <w:hideMark/>
          </w:tcPr>
          <w:p w14:paraId="44BF8D23" w14:textId="77777777" w:rsidR="006E668D" w:rsidRPr="006E668D" w:rsidRDefault="006E668D" w:rsidP="006E668D">
            <w:pPr>
              <w:pStyle w:val="Tabletext"/>
            </w:pPr>
          </w:p>
        </w:tc>
        <w:tc>
          <w:tcPr>
            <w:tcW w:w="927" w:type="dxa"/>
            <w:vMerge/>
            <w:vAlign w:val="center"/>
            <w:hideMark/>
          </w:tcPr>
          <w:p w14:paraId="03963FF3" w14:textId="77777777" w:rsidR="006E668D" w:rsidRPr="006E668D" w:rsidRDefault="006E668D" w:rsidP="006E668D">
            <w:pPr>
              <w:pStyle w:val="Tabletext"/>
            </w:pPr>
          </w:p>
        </w:tc>
        <w:tc>
          <w:tcPr>
            <w:tcW w:w="1889" w:type="dxa"/>
            <w:tcBorders>
              <w:top w:val="nil"/>
              <w:bottom w:val="nil"/>
            </w:tcBorders>
            <w:vAlign w:val="center"/>
            <w:hideMark/>
          </w:tcPr>
          <w:p w14:paraId="362004A6" w14:textId="77777777" w:rsidR="006E668D" w:rsidRPr="006E668D" w:rsidRDefault="006E668D" w:rsidP="006E668D">
            <w:pPr>
              <w:pStyle w:val="Tabletext"/>
            </w:pPr>
            <w:r w:rsidRPr="006E668D">
              <w:t>2024.CSR2.1</w:t>
            </w:r>
          </w:p>
        </w:tc>
        <w:tc>
          <w:tcPr>
            <w:tcW w:w="1760" w:type="dxa"/>
            <w:vMerge/>
            <w:vAlign w:val="center"/>
            <w:hideMark/>
          </w:tcPr>
          <w:p w14:paraId="055F3710" w14:textId="77777777" w:rsidR="006E668D" w:rsidRPr="006E668D" w:rsidRDefault="006E668D" w:rsidP="006E668D">
            <w:pPr>
              <w:pStyle w:val="Tabletext"/>
            </w:pPr>
          </w:p>
        </w:tc>
        <w:tc>
          <w:tcPr>
            <w:tcW w:w="1155" w:type="dxa"/>
            <w:vMerge/>
            <w:vAlign w:val="center"/>
            <w:hideMark/>
          </w:tcPr>
          <w:p w14:paraId="30D023BA" w14:textId="77777777" w:rsidR="006E668D" w:rsidRPr="006E668D" w:rsidRDefault="006E668D" w:rsidP="006E668D">
            <w:pPr>
              <w:pStyle w:val="Tabletext"/>
            </w:pPr>
          </w:p>
        </w:tc>
      </w:tr>
      <w:tr w:rsidR="006E668D" w:rsidRPr="006E668D" w14:paraId="76E1D3A2" w14:textId="77777777" w:rsidTr="00285644">
        <w:trPr>
          <w:trHeight w:val="170"/>
          <w:jc w:val="center"/>
        </w:trPr>
        <w:tc>
          <w:tcPr>
            <w:tcW w:w="3253" w:type="dxa"/>
            <w:vMerge/>
            <w:vAlign w:val="center"/>
            <w:hideMark/>
          </w:tcPr>
          <w:p w14:paraId="1A0E5274" w14:textId="77777777" w:rsidR="006E668D" w:rsidRPr="006E668D" w:rsidRDefault="006E668D" w:rsidP="006E668D">
            <w:pPr>
              <w:pStyle w:val="Tabletext"/>
            </w:pPr>
          </w:p>
        </w:tc>
        <w:tc>
          <w:tcPr>
            <w:tcW w:w="927" w:type="dxa"/>
            <w:vMerge/>
            <w:vAlign w:val="center"/>
            <w:hideMark/>
          </w:tcPr>
          <w:p w14:paraId="327DFAD1" w14:textId="77777777" w:rsidR="006E668D" w:rsidRPr="006E668D" w:rsidRDefault="006E668D" w:rsidP="006E668D">
            <w:pPr>
              <w:pStyle w:val="Tabletext"/>
            </w:pPr>
          </w:p>
        </w:tc>
        <w:tc>
          <w:tcPr>
            <w:tcW w:w="1889" w:type="dxa"/>
            <w:tcBorders>
              <w:top w:val="nil"/>
              <w:bottom w:val="nil"/>
            </w:tcBorders>
            <w:vAlign w:val="center"/>
            <w:hideMark/>
          </w:tcPr>
          <w:p w14:paraId="260BF320" w14:textId="77777777" w:rsidR="006E668D" w:rsidRPr="006E668D" w:rsidRDefault="006E668D" w:rsidP="006E668D">
            <w:pPr>
              <w:pStyle w:val="Tabletext"/>
            </w:pPr>
            <w:r w:rsidRPr="006E668D">
              <w:t>2024.CSR3.1</w:t>
            </w:r>
          </w:p>
        </w:tc>
        <w:tc>
          <w:tcPr>
            <w:tcW w:w="1760" w:type="dxa"/>
            <w:vMerge/>
            <w:vAlign w:val="center"/>
            <w:hideMark/>
          </w:tcPr>
          <w:p w14:paraId="337AEC3E" w14:textId="77777777" w:rsidR="006E668D" w:rsidRPr="006E668D" w:rsidRDefault="006E668D" w:rsidP="006E668D">
            <w:pPr>
              <w:pStyle w:val="Tabletext"/>
            </w:pPr>
          </w:p>
        </w:tc>
        <w:tc>
          <w:tcPr>
            <w:tcW w:w="1155" w:type="dxa"/>
            <w:vMerge/>
            <w:vAlign w:val="center"/>
            <w:hideMark/>
          </w:tcPr>
          <w:p w14:paraId="0DC5C34B" w14:textId="77777777" w:rsidR="006E668D" w:rsidRPr="006E668D" w:rsidRDefault="006E668D" w:rsidP="006E668D">
            <w:pPr>
              <w:pStyle w:val="Tabletext"/>
            </w:pPr>
          </w:p>
        </w:tc>
      </w:tr>
      <w:tr w:rsidR="006E668D" w:rsidRPr="006E668D" w14:paraId="61C7093D" w14:textId="77777777" w:rsidTr="00285644">
        <w:trPr>
          <w:trHeight w:val="170"/>
          <w:jc w:val="center"/>
        </w:trPr>
        <w:tc>
          <w:tcPr>
            <w:tcW w:w="3253" w:type="dxa"/>
            <w:vMerge/>
            <w:vAlign w:val="center"/>
            <w:hideMark/>
          </w:tcPr>
          <w:p w14:paraId="5080E151" w14:textId="77777777" w:rsidR="006E668D" w:rsidRPr="006E668D" w:rsidRDefault="006E668D" w:rsidP="006E668D">
            <w:pPr>
              <w:pStyle w:val="Tabletext"/>
            </w:pPr>
          </w:p>
        </w:tc>
        <w:tc>
          <w:tcPr>
            <w:tcW w:w="927" w:type="dxa"/>
            <w:vMerge/>
            <w:vAlign w:val="center"/>
            <w:hideMark/>
          </w:tcPr>
          <w:p w14:paraId="7B50B6D1" w14:textId="77777777" w:rsidR="006E668D" w:rsidRPr="006E668D" w:rsidRDefault="006E668D" w:rsidP="006E668D">
            <w:pPr>
              <w:pStyle w:val="Tabletext"/>
            </w:pPr>
          </w:p>
        </w:tc>
        <w:tc>
          <w:tcPr>
            <w:tcW w:w="1889" w:type="dxa"/>
            <w:tcBorders>
              <w:top w:val="nil"/>
              <w:bottom w:val="nil"/>
            </w:tcBorders>
            <w:vAlign w:val="center"/>
            <w:hideMark/>
          </w:tcPr>
          <w:p w14:paraId="62825A52" w14:textId="77777777" w:rsidR="006E668D" w:rsidRPr="006E668D" w:rsidRDefault="006E668D" w:rsidP="006E668D">
            <w:pPr>
              <w:pStyle w:val="Tabletext"/>
            </w:pPr>
            <w:r w:rsidRPr="006E668D">
              <w:t>2020.CSR3.9</w:t>
            </w:r>
          </w:p>
        </w:tc>
        <w:tc>
          <w:tcPr>
            <w:tcW w:w="1760" w:type="dxa"/>
            <w:vMerge/>
            <w:vAlign w:val="center"/>
            <w:hideMark/>
          </w:tcPr>
          <w:p w14:paraId="3DCFF94B" w14:textId="77777777" w:rsidR="006E668D" w:rsidRPr="006E668D" w:rsidRDefault="006E668D" w:rsidP="006E668D">
            <w:pPr>
              <w:pStyle w:val="Tabletext"/>
            </w:pPr>
          </w:p>
        </w:tc>
        <w:tc>
          <w:tcPr>
            <w:tcW w:w="1155" w:type="dxa"/>
            <w:vMerge/>
            <w:vAlign w:val="center"/>
            <w:hideMark/>
          </w:tcPr>
          <w:p w14:paraId="6E9B9599" w14:textId="77777777" w:rsidR="006E668D" w:rsidRPr="006E668D" w:rsidRDefault="006E668D" w:rsidP="006E668D">
            <w:pPr>
              <w:pStyle w:val="Tabletext"/>
            </w:pPr>
          </w:p>
        </w:tc>
      </w:tr>
      <w:tr w:rsidR="006E668D" w:rsidRPr="006E668D" w14:paraId="031A815B" w14:textId="77777777" w:rsidTr="00285644">
        <w:trPr>
          <w:trHeight w:val="170"/>
          <w:jc w:val="center"/>
        </w:trPr>
        <w:tc>
          <w:tcPr>
            <w:tcW w:w="3253" w:type="dxa"/>
            <w:vMerge/>
            <w:vAlign w:val="center"/>
            <w:hideMark/>
          </w:tcPr>
          <w:p w14:paraId="2BBA5057" w14:textId="77777777" w:rsidR="006E668D" w:rsidRPr="006E668D" w:rsidRDefault="006E668D" w:rsidP="006E668D">
            <w:pPr>
              <w:pStyle w:val="Tabletext"/>
            </w:pPr>
          </w:p>
        </w:tc>
        <w:tc>
          <w:tcPr>
            <w:tcW w:w="927" w:type="dxa"/>
            <w:vMerge/>
            <w:vAlign w:val="center"/>
            <w:hideMark/>
          </w:tcPr>
          <w:p w14:paraId="25A8D1A7" w14:textId="77777777" w:rsidR="006E668D" w:rsidRPr="006E668D" w:rsidRDefault="006E668D" w:rsidP="006E668D">
            <w:pPr>
              <w:pStyle w:val="Tabletext"/>
            </w:pPr>
          </w:p>
        </w:tc>
        <w:tc>
          <w:tcPr>
            <w:tcW w:w="1889" w:type="dxa"/>
            <w:tcBorders>
              <w:top w:val="nil"/>
              <w:bottom w:val="nil"/>
            </w:tcBorders>
            <w:vAlign w:val="center"/>
            <w:hideMark/>
          </w:tcPr>
          <w:p w14:paraId="587FC869" w14:textId="77777777" w:rsidR="006E668D" w:rsidRPr="006E668D" w:rsidRDefault="006E668D" w:rsidP="006E668D">
            <w:pPr>
              <w:pStyle w:val="Tabletext"/>
            </w:pPr>
            <w:r w:rsidRPr="006E668D">
              <w:t>2019.CSR2.5</w:t>
            </w:r>
          </w:p>
        </w:tc>
        <w:tc>
          <w:tcPr>
            <w:tcW w:w="1760" w:type="dxa"/>
            <w:vMerge/>
            <w:vAlign w:val="center"/>
            <w:hideMark/>
          </w:tcPr>
          <w:p w14:paraId="39384EB1" w14:textId="77777777" w:rsidR="006E668D" w:rsidRPr="006E668D" w:rsidRDefault="006E668D" w:rsidP="006E668D">
            <w:pPr>
              <w:pStyle w:val="Tabletext"/>
            </w:pPr>
          </w:p>
        </w:tc>
        <w:tc>
          <w:tcPr>
            <w:tcW w:w="1155" w:type="dxa"/>
            <w:vMerge/>
            <w:vAlign w:val="center"/>
            <w:hideMark/>
          </w:tcPr>
          <w:p w14:paraId="402FC161" w14:textId="77777777" w:rsidR="006E668D" w:rsidRPr="006E668D" w:rsidRDefault="006E668D" w:rsidP="006E668D">
            <w:pPr>
              <w:pStyle w:val="Tabletext"/>
            </w:pPr>
          </w:p>
        </w:tc>
      </w:tr>
      <w:tr w:rsidR="006E668D" w:rsidRPr="006E668D" w14:paraId="1CC2BB14" w14:textId="77777777" w:rsidTr="00285644">
        <w:trPr>
          <w:trHeight w:val="170"/>
          <w:jc w:val="center"/>
        </w:trPr>
        <w:tc>
          <w:tcPr>
            <w:tcW w:w="3253" w:type="dxa"/>
            <w:vMerge/>
            <w:vAlign w:val="center"/>
            <w:hideMark/>
          </w:tcPr>
          <w:p w14:paraId="2AE12EBE" w14:textId="77777777" w:rsidR="006E668D" w:rsidRPr="006E668D" w:rsidRDefault="006E668D" w:rsidP="006E668D">
            <w:pPr>
              <w:pStyle w:val="Tabletext"/>
            </w:pPr>
          </w:p>
        </w:tc>
        <w:tc>
          <w:tcPr>
            <w:tcW w:w="927" w:type="dxa"/>
            <w:vMerge/>
            <w:vAlign w:val="center"/>
            <w:hideMark/>
          </w:tcPr>
          <w:p w14:paraId="1BCAE8B9" w14:textId="77777777" w:rsidR="006E668D" w:rsidRPr="006E668D" w:rsidRDefault="006E668D" w:rsidP="006E668D">
            <w:pPr>
              <w:pStyle w:val="Tabletext"/>
            </w:pPr>
          </w:p>
        </w:tc>
        <w:tc>
          <w:tcPr>
            <w:tcW w:w="1889" w:type="dxa"/>
            <w:tcBorders>
              <w:top w:val="nil"/>
              <w:bottom w:val="nil"/>
            </w:tcBorders>
            <w:vAlign w:val="center"/>
            <w:hideMark/>
          </w:tcPr>
          <w:p w14:paraId="524EC671" w14:textId="77777777" w:rsidR="006E668D" w:rsidRPr="006E668D" w:rsidRDefault="006E668D" w:rsidP="006E668D">
            <w:pPr>
              <w:pStyle w:val="Tabletext"/>
            </w:pPr>
            <w:r w:rsidRPr="006E668D">
              <w:t>2019.CSR2.6</w:t>
            </w:r>
          </w:p>
        </w:tc>
        <w:tc>
          <w:tcPr>
            <w:tcW w:w="1760" w:type="dxa"/>
            <w:vMerge/>
            <w:vAlign w:val="center"/>
            <w:hideMark/>
          </w:tcPr>
          <w:p w14:paraId="331FB099" w14:textId="77777777" w:rsidR="006E668D" w:rsidRPr="006E668D" w:rsidRDefault="006E668D" w:rsidP="006E668D">
            <w:pPr>
              <w:pStyle w:val="Tabletext"/>
            </w:pPr>
          </w:p>
        </w:tc>
        <w:tc>
          <w:tcPr>
            <w:tcW w:w="1155" w:type="dxa"/>
            <w:vMerge/>
            <w:vAlign w:val="center"/>
            <w:hideMark/>
          </w:tcPr>
          <w:p w14:paraId="61C6A55D" w14:textId="77777777" w:rsidR="006E668D" w:rsidRPr="006E668D" w:rsidRDefault="006E668D" w:rsidP="006E668D">
            <w:pPr>
              <w:pStyle w:val="Tabletext"/>
            </w:pPr>
          </w:p>
        </w:tc>
      </w:tr>
      <w:tr w:rsidR="006E668D" w:rsidRPr="006E668D" w14:paraId="0D67D2BF" w14:textId="77777777" w:rsidTr="00285644">
        <w:trPr>
          <w:trHeight w:val="170"/>
          <w:jc w:val="center"/>
        </w:trPr>
        <w:tc>
          <w:tcPr>
            <w:tcW w:w="3253" w:type="dxa"/>
            <w:vMerge/>
            <w:vAlign w:val="center"/>
            <w:hideMark/>
          </w:tcPr>
          <w:p w14:paraId="758F9D05" w14:textId="77777777" w:rsidR="006E668D" w:rsidRPr="006E668D" w:rsidRDefault="006E668D" w:rsidP="006E668D">
            <w:pPr>
              <w:pStyle w:val="Tabletext"/>
            </w:pPr>
          </w:p>
        </w:tc>
        <w:tc>
          <w:tcPr>
            <w:tcW w:w="927" w:type="dxa"/>
            <w:vMerge/>
            <w:vAlign w:val="center"/>
            <w:hideMark/>
          </w:tcPr>
          <w:p w14:paraId="2187AFD8" w14:textId="77777777" w:rsidR="006E668D" w:rsidRPr="006E668D" w:rsidRDefault="006E668D" w:rsidP="006E668D">
            <w:pPr>
              <w:pStyle w:val="Tabletext"/>
            </w:pPr>
          </w:p>
        </w:tc>
        <w:tc>
          <w:tcPr>
            <w:tcW w:w="1889" w:type="dxa"/>
            <w:tcBorders>
              <w:top w:val="nil"/>
              <w:bottom w:val="single" w:sz="2" w:space="0" w:color="4F81BD" w:themeColor="accent1"/>
            </w:tcBorders>
            <w:vAlign w:val="center"/>
            <w:hideMark/>
          </w:tcPr>
          <w:p w14:paraId="6D71C204" w14:textId="77777777" w:rsidR="006E668D" w:rsidRPr="006E668D" w:rsidRDefault="006E668D" w:rsidP="006E668D">
            <w:pPr>
              <w:pStyle w:val="Tabletext"/>
            </w:pPr>
            <w:r w:rsidRPr="006E668D">
              <w:t>2019.CSR2.7</w:t>
            </w:r>
          </w:p>
        </w:tc>
        <w:tc>
          <w:tcPr>
            <w:tcW w:w="1760" w:type="dxa"/>
            <w:vMerge/>
            <w:vAlign w:val="center"/>
            <w:hideMark/>
          </w:tcPr>
          <w:p w14:paraId="402CF768" w14:textId="77777777" w:rsidR="006E668D" w:rsidRPr="006E668D" w:rsidRDefault="006E668D" w:rsidP="006E668D">
            <w:pPr>
              <w:pStyle w:val="Tabletext"/>
            </w:pPr>
          </w:p>
        </w:tc>
        <w:tc>
          <w:tcPr>
            <w:tcW w:w="1155" w:type="dxa"/>
            <w:vMerge/>
            <w:vAlign w:val="center"/>
            <w:hideMark/>
          </w:tcPr>
          <w:p w14:paraId="181C369D" w14:textId="77777777" w:rsidR="006E668D" w:rsidRPr="006E668D" w:rsidRDefault="006E668D" w:rsidP="006E668D">
            <w:pPr>
              <w:pStyle w:val="Tabletext"/>
            </w:pPr>
          </w:p>
        </w:tc>
      </w:tr>
      <w:tr w:rsidR="006E668D" w:rsidRPr="006E668D" w14:paraId="23F93B30" w14:textId="77777777" w:rsidTr="00285644">
        <w:trPr>
          <w:trHeight w:val="170"/>
          <w:jc w:val="center"/>
        </w:trPr>
        <w:tc>
          <w:tcPr>
            <w:tcW w:w="3253" w:type="dxa"/>
            <w:vMerge w:val="restart"/>
            <w:vAlign w:val="center"/>
            <w:hideMark/>
          </w:tcPr>
          <w:p w14:paraId="630C9538" w14:textId="77777777" w:rsidR="006E668D" w:rsidRPr="006E668D" w:rsidRDefault="00540671" w:rsidP="006E668D">
            <w:pPr>
              <w:pStyle w:val="Tabletext"/>
            </w:pPr>
            <w:r w:rsidRPr="00540671">
              <w:rPr>
                <w:b/>
              </w:rPr>
              <w:t>INVESTMENT 1:</w:t>
            </w:r>
            <w:r w:rsidR="006E668D" w:rsidRPr="006E668D">
              <w:t xml:space="preserve"> Upgrading Vocational Education and Training (VET): Supply of laboratory equipment for Laboratory Centers </w:t>
            </w:r>
            <w:r w:rsidR="006E668D" w:rsidRPr="006E668D">
              <w:lastRenderedPageBreak/>
              <w:t>for SAEK, EPAL, Post-Secondary Year-Apprenticeship Class and Vocational Training Schools</w:t>
            </w:r>
          </w:p>
        </w:tc>
        <w:tc>
          <w:tcPr>
            <w:tcW w:w="927" w:type="dxa"/>
            <w:vMerge w:val="restart"/>
            <w:vAlign w:val="center"/>
            <w:hideMark/>
          </w:tcPr>
          <w:p w14:paraId="74C56925" w14:textId="77777777" w:rsidR="006E668D" w:rsidRPr="006E668D" w:rsidRDefault="006E668D" w:rsidP="006E668D">
            <w:pPr>
              <w:pStyle w:val="Tabletext"/>
            </w:pPr>
            <w:r w:rsidRPr="006E668D">
              <w:lastRenderedPageBreak/>
              <w:t>RRF 16933</w:t>
            </w:r>
          </w:p>
        </w:tc>
        <w:tc>
          <w:tcPr>
            <w:tcW w:w="1889" w:type="dxa"/>
            <w:tcBorders>
              <w:bottom w:val="nil"/>
            </w:tcBorders>
            <w:vAlign w:val="center"/>
            <w:hideMark/>
          </w:tcPr>
          <w:p w14:paraId="545FAE8B" w14:textId="77777777" w:rsidR="006E668D" w:rsidRPr="006E668D" w:rsidRDefault="006E668D" w:rsidP="006E668D">
            <w:pPr>
              <w:pStyle w:val="Tabletext"/>
            </w:pPr>
            <w:r w:rsidRPr="006E668D">
              <w:t>2025.CSR5.5</w:t>
            </w:r>
          </w:p>
        </w:tc>
        <w:tc>
          <w:tcPr>
            <w:tcW w:w="1760" w:type="dxa"/>
            <w:vMerge w:val="restart"/>
            <w:vAlign w:val="center"/>
            <w:hideMark/>
          </w:tcPr>
          <w:p w14:paraId="75B7FF4E" w14:textId="77777777" w:rsidR="006E668D" w:rsidRPr="006E668D" w:rsidRDefault="006E668D" w:rsidP="006E668D">
            <w:pPr>
              <w:pStyle w:val="Tabletext"/>
            </w:pPr>
            <w:r w:rsidRPr="006E668D">
              <w:t>Social and Economic resilience</w:t>
            </w:r>
          </w:p>
        </w:tc>
        <w:tc>
          <w:tcPr>
            <w:tcW w:w="1155" w:type="dxa"/>
            <w:vMerge w:val="restart"/>
            <w:vAlign w:val="center"/>
            <w:hideMark/>
          </w:tcPr>
          <w:p w14:paraId="2ECA5A5C" w14:textId="77777777" w:rsidR="006E668D" w:rsidRPr="006E668D" w:rsidRDefault="006E668D" w:rsidP="006E668D">
            <w:pPr>
              <w:pStyle w:val="Tabletext"/>
            </w:pPr>
            <w:r w:rsidRPr="006E668D">
              <w:t>Completed</w:t>
            </w:r>
          </w:p>
        </w:tc>
      </w:tr>
      <w:tr w:rsidR="006E668D" w:rsidRPr="006E668D" w14:paraId="240C960A" w14:textId="77777777" w:rsidTr="00AC6977">
        <w:trPr>
          <w:trHeight w:val="170"/>
          <w:jc w:val="center"/>
        </w:trPr>
        <w:tc>
          <w:tcPr>
            <w:tcW w:w="3253" w:type="dxa"/>
            <w:vMerge/>
            <w:vAlign w:val="center"/>
            <w:hideMark/>
          </w:tcPr>
          <w:p w14:paraId="2B606A05" w14:textId="77777777" w:rsidR="006E668D" w:rsidRPr="006E668D" w:rsidRDefault="006E668D" w:rsidP="006E668D">
            <w:pPr>
              <w:pStyle w:val="Tabletext"/>
            </w:pPr>
          </w:p>
        </w:tc>
        <w:tc>
          <w:tcPr>
            <w:tcW w:w="927" w:type="dxa"/>
            <w:vMerge/>
            <w:vAlign w:val="center"/>
            <w:hideMark/>
          </w:tcPr>
          <w:p w14:paraId="2CD00388" w14:textId="77777777" w:rsidR="006E668D" w:rsidRPr="006E668D" w:rsidRDefault="006E668D" w:rsidP="006E668D">
            <w:pPr>
              <w:pStyle w:val="Tabletext"/>
            </w:pPr>
          </w:p>
        </w:tc>
        <w:tc>
          <w:tcPr>
            <w:tcW w:w="1889" w:type="dxa"/>
            <w:tcBorders>
              <w:top w:val="nil"/>
              <w:bottom w:val="nil"/>
            </w:tcBorders>
            <w:vAlign w:val="center"/>
            <w:hideMark/>
          </w:tcPr>
          <w:p w14:paraId="43243759" w14:textId="77777777" w:rsidR="006E668D" w:rsidRPr="006E668D" w:rsidRDefault="006E668D" w:rsidP="006E668D">
            <w:pPr>
              <w:pStyle w:val="Tabletext"/>
            </w:pPr>
            <w:r w:rsidRPr="006E668D">
              <w:t>2025.CSR5.6</w:t>
            </w:r>
          </w:p>
        </w:tc>
        <w:tc>
          <w:tcPr>
            <w:tcW w:w="1760" w:type="dxa"/>
            <w:vMerge/>
            <w:vAlign w:val="center"/>
            <w:hideMark/>
          </w:tcPr>
          <w:p w14:paraId="5F6C1AFC" w14:textId="77777777" w:rsidR="006E668D" w:rsidRPr="006E668D" w:rsidRDefault="006E668D" w:rsidP="006E668D">
            <w:pPr>
              <w:pStyle w:val="Tabletext"/>
            </w:pPr>
          </w:p>
        </w:tc>
        <w:tc>
          <w:tcPr>
            <w:tcW w:w="1155" w:type="dxa"/>
            <w:vMerge/>
            <w:vAlign w:val="center"/>
            <w:hideMark/>
          </w:tcPr>
          <w:p w14:paraId="51542497" w14:textId="77777777" w:rsidR="006E668D" w:rsidRPr="006E668D" w:rsidRDefault="006E668D" w:rsidP="006E668D">
            <w:pPr>
              <w:pStyle w:val="Tabletext"/>
            </w:pPr>
          </w:p>
        </w:tc>
      </w:tr>
      <w:tr w:rsidR="006E668D" w:rsidRPr="006E668D" w14:paraId="7D6926C3" w14:textId="77777777" w:rsidTr="00AC6977">
        <w:trPr>
          <w:trHeight w:val="170"/>
          <w:jc w:val="center"/>
        </w:trPr>
        <w:tc>
          <w:tcPr>
            <w:tcW w:w="3253" w:type="dxa"/>
            <w:vMerge/>
            <w:vAlign w:val="center"/>
            <w:hideMark/>
          </w:tcPr>
          <w:p w14:paraId="11E4C7AA" w14:textId="77777777" w:rsidR="006E668D" w:rsidRPr="006E668D" w:rsidRDefault="006E668D" w:rsidP="006E668D">
            <w:pPr>
              <w:pStyle w:val="Tabletext"/>
            </w:pPr>
          </w:p>
        </w:tc>
        <w:tc>
          <w:tcPr>
            <w:tcW w:w="927" w:type="dxa"/>
            <w:vMerge/>
            <w:vAlign w:val="center"/>
            <w:hideMark/>
          </w:tcPr>
          <w:p w14:paraId="10CC89EB" w14:textId="77777777" w:rsidR="006E668D" w:rsidRPr="006E668D" w:rsidRDefault="006E668D" w:rsidP="006E668D">
            <w:pPr>
              <w:pStyle w:val="Tabletext"/>
            </w:pPr>
          </w:p>
        </w:tc>
        <w:tc>
          <w:tcPr>
            <w:tcW w:w="1889" w:type="dxa"/>
            <w:tcBorders>
              <w:top w:val="nil"/>
              <w:bottom w:val="nil"/>
            </w:tcBorders>
            <w:vAlign w:val="center"/>
            <w:hideMark/>
          </w:tcPr>
          <w:p w14:paraId="11D3C8F3" w14:textId="77777777" w:rsidR="006E668D" w:rsidRPr="006E668D" w:rsidRDefault="006E668D" w:rsidP="006E668D">
            <w:pPr>
              <w:pStyle w:val="Tabletext"/>
            </w:pPr>
            <w:r w:rsidRPr="006E668D">
              <w:t>2024.CSR2.1</w:t>
            </w:r>
          </w:p>
        </w:tc>
        <w:tc>
          <w:tcPr>
            <w:tcW w:w="1760" w:type="dxa"/>
            <w:vMerge/>
            <w:vAlign w:val="center"/>
            <w:hideMark/>
          </w:tcPr>
          <w:p w14:paraId="04D0DE2F" w14:textId="77777777" w:rsidR="006E668D" w:rsidRPr="006E668D" w:rsidRDefault="006E668D" w:rsidP="006E668D">
            <w:pPr>
              <w:pStyle w:val="Tabletext"/>
            </w:pPr>
          </w:p>
        </w:tc>
        <w:tc>
          <w:tcPr>
            <w:tcW w:w="1155" w:type="dxa"/>
            <w:vMerge/>
            <w:vAlign w:val="center"/>
            <w:hideMark/>
          </w:tcPr>
          <w:p w14:paraId="5BE864A0" w14:textId="77777777" w:rsidR="006E668D" w:rsidRPr="006E668D" w:rsidRDefault="006E668D" w:rsidP="006E668D">
            <w:pPr>
              <w:pStyle w:val="Tabletext"/>
            </w:pPr>
          </w:p>
        </w:tc>
      </w:tr>
      <w:tr w:rsidR="006E668D" w:rsidRPr="006E668D" w14:paraId="4ED94BA2" w14:textId="77777777" w:rsidTr="00AC6977">
        <w:trPr>
          <w:trHeight w:val="170"/>
          <w:jc w:val="center"/>
        </w:trPr>
        <w:tc>
          <w:tcPr>
            <w:tcW w:w="3253" w:type="dxa"/>
            <w:vMerge/>
            <w:vAlign w:val="center"/>
            <w:hideMark/>
          </w:tcPr>
          <w:p w14:paraId="46010279" w14:textId="77777777" w:rsidR="006E668D" w:rsidRPr="006E668D" w:rsidRDefault="006E668D" w:rsidP="006E668D">
            <w:pPr>
              <w:pStyle w:val="Tabletext"/>
            </w:pPr>
          </w:p>
        </w:tc>
        <w:tc>
          <w:tcPr>
            <w:tcW w:w="927" w:type="dxa"/>
            <w:vMerge/>
            <w:vAlign w:val="center"/>
            <w:hideMark/>
          </w:tcPr>
          <w:p w14:paraId="2FC8AAB5" w14:textId="77777777" w:rsidR="006E668D" w:rsidRPr="006E668D" w:rsidRDefault="006E668D" w:rsidP="006E668D">
            <w:pPr>
              <w:pStyle w:val="Tabletext"/>
            </w:pPr>
          </w:p>
        </w:tc>
        <w:tc>
          <w:tcPr>
            <w:tcW w:w="1889" w:type="dxa"/>
            <w:tcBorders>
              <w:top w:val="nil"/>
              <w:bottom w:val="single" w:sz="2" w:space="0" w:color="4F81BD" w:themeColor="accent1"/>
            </w:tcBorders>
            <w:vAlign w:val="center"/>
            <w:hideMark/>
          </w:tcPr>
          <w:p w14:paraId="4049B7EC" w14:textId="77777777" w:rsidR="006E668D" w:rsidRPr="006E668D" w:rsidRDefault="006E668D" w:rsidP="006E668D">
            <w:pPr>
              <w:pStyle w:val="Tabletext"/>
            </w:pPr>
            <w:r w:rsidRPr="006E668D">
              <w:t>2024.CSR3.1</w:t>
            </w:r>
          </w:p>
        </w:tc>
        <w:tc>
          <w:tcPr>
            <w:tcW w:w="1760" w:type="dxa"/>
            <w:vMerge/>
            <w:vAlign w:val="center"/>
            <w:hideMark/>
          </w:tcPr>
          <w:p w14:paraId="6721AE3A" w14:textId="77777777" w:rsidR="006E668D" w:rsidRPr="006E668D" w:rsidRDefault="006E668D" w:rsidP="006E668D">
            <w:pPr>
              <w:pStyle w:val="Tabletext"/>
            </w:pPr>
          </w:p>
        </w:tc>
        <w:tc>
          <w:tcPr>
            <w:tcW w:w="1155" w:type="dxa"/>
            <w:vMerge/>
            <w:vAlign w:val="center"/>
            <w:hideMark/>
          </w:tcPr>
          <w:p w14:paraId="1225CA94" w14:textId="77777777" w:rsidR="006E668D" w:rsidRPr="006E668D" w:rsidRDefault="006E668D" w:rsidP="006E668D">
            <w:pPr>
              <w:pStyle w:val="Tabletext"/>
            </w:pPr>
          </w:p>
        </w:tc>
      </w:tr>
      <w:tr w:rsidR="006E668D" w:rsidRPr="006E668D" w14:paraId="7E0C53DE" w14:textId="77777777" w:rsidTr="00AC6977">
        <w:trPr>
          <w:trHeight w:val="170"/>
          <w:jc w:val="center"/>
        </w:trPr>
        <w:tc>
          <w:tcPr>
            <w:tcW w:w="3253" w:type="dxa"/>
            <w:vMerge/>
            <w:vAlign w:val="center"/>
            <w:hideMark/>
          </w:tcPr>
          <w:p w14:paraId="013764B7" w14:textId="77777777" w:rsidR="006E668D" w:rsidRPr="006E668D" w:rsidRDefault="006E668D" w:rsidP="006E668D">
            <w:pPr>
              <w:pStyle w:val="Tabletext"/>
            </w:pPr>
          </w:p>
        </w:tc>
        <w:tc>
          <w:tcPr>
            <w:tcW w:w="927" w:type="dxa"/>
            <w:vMerge/>
            <w:vAlign w:val="center"/>
            <w:hideMark/>
          </w:tcPr>
          <w:p w14:paraId="451F724F" w14:textId="77777777" w:rsidR="006E668D" w:rsidRPr="006E668D" w:rsidRDefault="006E668D" w:rsidP="006E668D">
            <w:pPr>
              <w:pStyle w:val="Tabletext"/>
            </w:pPr>
          </w:p>
        </w:tc>
        <w:tc>
          <w:tcPr>
            <w:tcW w:w="1889" w:type="dxa"/>
            <w:tcBorders>
              <w:top w:val="single" w:sz="2" w:space="0" w:color="4F81BD" w:themeColor="accent1"/>
              <w:bottom w:val="nil"/>
            </w:tcBorders>
            <w:vAlign w:val="center"/>
            <w:hideMark/>
          </w:tcPr>
          <w:p w14:paraId="62711285" w14:textId="77777777" w:rsidR="006E668D" w:rsidRPr="006E668D" w:rsidRDefault="006E668D" w:rsidP="006E668D">
            <w:pPr>
              <w:pStyle w:val="Tabletext"/>
            </w:pPr>
            <w:r w:rsidRPr="006E668D">
              <w:t>2020.CSR3.8</w:t>
            </w:r>
          </w:p>
        </w:tc>
        <w:tc>
          <w:tcPr>
            <w:tcW w:w="1760" w:type="dxa"/>
            <w:vMerge/>
            <w:vAlign w:val="center"/>
            <w:hideMark/>
          </w:tcPr>
          <w:p w14:paraId="26E06B1C" w14:textId="77777777" w:rsidR="006E668D" w:rsidRPr="006E668D" w:rsidRDefault="006E668D" w:rsidP="006E668D">
            <w:pPr>
              <w:pStyle w:val="Tabletext"/>
            </w:pPr>
          </w:p>
        </w:tc>
        <w:tc>
          <w:tcPr>
            <w:tcW w:w="1155" w:type="dxa"/>
            <w:vMerge/>
            <w:vAlign w:val="center"/>
            <w:hideMark/>
          </w:tcPr>
          <w:p w14:paraId="0A79CF24" w14:textId="77777777" w:rsidR="006E668D" w:rsidRPr="006E668D" w:rsidRDefault="006E668D" w:rsidP="006E668D">
            <w:pPr>
              <w:pStyle w:val="Tabletext"/>
            </w:pPr>
          </w:p>
        </w:tc>
      </w:tr>
      <w:tr w:rsidR="006E668D" w:rsidRPr="006E668D" w14:paraId="45CFF1A0" w14:textId="77777777" w:rsidTr="00285644">
        <w:trPr>
          <w:trHeight w:val="170"/>
          <w:jc w:val="center"/>
        </w:trPr>
        <w:tc>
          <w:tcPr>
            <w:tcW w:w="3253" w:type="dxa"/>
            <w:vMerge/>
            <w:vAlign w:val="center"/>
            <w:hideMark/>
          </w:tcPr>
          <w:p w14:paraId="39FA69E7" w14:textId="77777777" w:rsidR="006E668D" w:rsidRPr="006E668D" w:rsidRDefault="006E668D" w:rsidP="006E668D">
            <w:pPr>
              <w:pStyle w:val="Tabletext"/>
            </w:pPr>
          </w:p>
        </w:tc>
        <w:tc>
          <w:tcPr>
            <w:tcW w:w="927" w:type="dxa"/>
            <w:vMerge/>
            <w:vAlign w:val="center"/>
            <w:hideMark/>
          </w:tcPr>
          <w:p w14:paraId="56BD9F4E" w14:textId="77777777" w:rsidR="006E668D" w:rsidRPr="006E668D" w:rsidRDefault="006E668D" w:rsidP="006E668D">
            <w:pPr>
              <w:pStyle w:val="Tabletext"/>
            </w:pPr>
          </w:p>
        </w:tc>
        <w:tc>
          <w:tcPr>
            <w:tcW w:w="1889" w:type="dxa"/>
            <w:tcBorders>
              <w:top w:val="nil"/>
              <w:bottom w:val="nil"/>
            </w:tcBorders>
            <w:vAlign w:val="center"/>
            <w:hideMark/>
          </w:tcPr>
          <w:p w14:paraId="43954BC0" w14:textId="77777777" w:rsidR="006E668D" w:rsidRPr="006E668D" w:rsidRDefault="006E668D" w:rsidP="006E668D">
            <w:pPr>
              <w:pStyle w:val="Tabletext"/>
            </w:pPr>
            <w:r w:rsidRPr="006E668D">
              <w:t>2019.CSR2.3</w:t>
            </w:r>
          </w:p>
        </w:tc>
        <w:tc>
          <w:tcPr>
            <w:tcW w:w="1760" w:type="dxa"/>
            <w:vMerge/>
            <w:vAlign w:val="center"/>
            <w:hideMark/>
          </w:tcPr>
          <w:p w14:paraId="5187EB7A" w14:textId="77777777" w:rsidR="006E668D" w:rsidRPr="006E668D" w:rsidRDefault="006E668D" w:rsidP="006E668D">
            <w:pPr>
              <w:pStyle w:val="Tabletext"/>
            </w:pPr>
          </w:p>
        </w:tc>
        <w:tc>
          <w:tcPr>
            <w:tcW w:w="1155" w:type="dxa"/>
            <w:vMerge/>
            <w:vAlign w:val="center"/>
            <w:hideMark/>
          </w:tcPr>
          <w:p w14:paraId="66618248" w14:textId="77777777" w:rsidR="006E668D" w:rsidRPr="006E668D" w:rsidRDefault="006E668D" w:rsidP="006E668D">
            <w:pPr>
              <w:pStyle w:val="Tabletext"/>
            </w:pPr>
          </w:p>
        </w:tc>
      </w:tr>
      <w:tr w:rsidR="006E668D" w:rsidRPr="006E668D" w14:paraId="62368E9D" w14:textId="77777777" w:rsidTr="00285644">
        <w:trPr>
          <w:trHeight w:val="170"/>
          <w:jc w:val="center"/>
        </w:trPr>
        <w:tc>
          <w:tcPr>
            <w:tcW w:w="3253" w:type="dxa"/>
            <w:vMerge/>
            <w:vAlign w:val="center"/>
            <w:hideMark/>
          </w:tcPr>
          <w:p w14:paraId="55756F6D" w14:textId="77777777" w:rsidR="006E668D" w:rsidRPr="006E668D" w:rsidRDefault="006E668D" w:rsidP="006E668D">
            <w:pPr>
              <w:pStyle w:val="Tabletext"/>
            </w:pPr>
          </w:p>
        </w:tc>
        <w:tc>
          <w:tcPr>
            <w:tcW w:w="927" w:type="dxa"/>
            <w:vMerge/>
            <w:vAlign w:val="center"/>
            <w:hideMark/>
          </w:tcPr>
          <w:p w14:paraId="15407C72" w14:textId="77777777" w:rsidR="006E668D" w:rsidRPr="006E668D" w:rsidRDefault="006E668D" w:rsidP="006E668D">
            <w:pPr>
              <w:pStyle w:val="Tabletext"/>
            </w:pPr>
          </w:p>
        </w:tc>
        <w:tc>
          <w:tcPr>
            <w:tcW w:w="1889" w:type="dxa"/>
            <w:tcBorders>
              <w:top w:val="nil"/>
              <w:bottom w:val="nil"/>
            </w:tcBorders>
            <w:vAlign w:val="center"/>
            <w:hideMark/>
          </w:tcPr>
          <w:p w14:paraId="65F2DEB4" w14:textId="77777777" w:rsidR="006E668D" w:rsidRPr="006E668D" w:rsidRDefault="006E668D" w:rsidP="006E668D">
            <w:pPr>
              <w:pStyle w:val="Tabletext"/>
            </w:pPr>
            <w:r w:rsidRPr="006E668D">
              <w:t>2019.CSR2.5</w:t>
            </w:r>
          </w:p>
        </w:tc>
        <w:tc>
          <w:tcPr>
            <w:tcW w:w="1760" w:type="dxa"/>
            <w:vMerge/>
            <w:vAlign w:val="center"/>
            <w:hideMark/>
          </w:tcPr>
          <w:p w14:paraId="31568F8F" w14:textId="77777777" w:rsidR="006E668D" w:rsidRPr="006E668D" w:rsidRDefault="006E668D" w:rsidP="006E668D">
            <w:pPr>
              <w:pStyle w:val="Tabletext"/>
            </w:pPr>
          </w:p>
        </w:tc>
        <w:tc>
          <w:tcPr>
            <w:tcW w:w="1155" w:type="dxa"/>
            <w:vMerge/>
            <w:vAlign w:val="center"/>
            <w:hideMark/>
          </w:tcPr>
          <w:p w14:paraId="60CE3791" w14:textId="77777777" w:rsidR="006E668D" w:rsidRPr="006E668D" w:rsidRDefault="006E668D" w:rsidP="006E668D">
            <w:pPr>
              <w:pStyle w:val="Tabletext"/>
            </w:pPr>
          </w:p>
        </w:tc>
      </w:tr>
      <w:tr w:rsidR="006E668D" w:rsidRPr="006E668D" w14:paraId="125D4A49" w14:textId="77777777" w:rsidTr="00285644">
        <w:trPr>
          <w:trHeight w:val="170"/>
          <w:jc w:val="center"/>
        </w:trPr>
        <w:tc>
          <w:tcPr>
            <w:tcW w:w="3253" w:type="dxa"/>
            <w:vMerge/>
            <w:vAlign w:val="center"/>
            <w:hideMark/>
          </w:tcPr>
          <w:p w14:paraId="620A0E2D" w14:textId="77777777" w:rsidR="006E668D" w:rsidRPr="006E668D" w:rsidRDefault="006E668D" w:rsidP="006E668D">
            <w:pPr>
              <w:pStyle w:val="Tabletext"/>
            </w:pPr>
          </w:p>
        </w:tc>
        <w:tc>
          <w:tcPr>
            <w:tcW w:w="927" w:type="dxa"/>
            <w:vMerge/>
            <w:vAlign w:val="center"/>
            <w:hideMark/>
          </w:tcPr>
          <w:p w14:paraId="36CEB8D4" w14:textId="77777777" w:rsidR="006E668D" w:rsidRPr="006E668D" w:rsidRDefault="006E668D" w:rsidP="006E668D">
            <w:pPr>
              <w:pStyle w:val="Tabletext"/>
            </w:pPr>
          </w:p>
        </w:tc>
        <w:tc>
          <w:tcPr>
            <w:tcW w:w="1889" w:type="dxa"/>
            <w:tcBorders>
              <w:top w:val="nil"/>
              <w:bottom w:val="single" w:sz="2" w:space="0" w:color="4F81BD" w:themeColor="accent1"/>
            </w:tcBorders>
            <w:vAlign w:val="center"/>
            <w:hideMark/>
          </w:tcPr>
          <w:p w14:paraId="339566BF" w14:textId="77777777" w:rsidR="006E668D" w:rsidRPr="006E668D" w:rsidRDefault="006E668D" w:rsidP="006E668D">
            <w:pPr>
              <w:pStyle w:val="Tabletext"/>
            </w:pPr>
            <w:r w:rsidRPr="006E668D">
              <w:t>2019.CSR2.7</w:t>
            </w:r>
          </w:p>
        </w:tc>
        <w:tc>
          <w:tcPr>
            <w:tcW w:w="1760" w:type="dxa"/>
            <w:vMerge/>
            <w:vAlign w:val="center"/>
            <w:hideMark/>
          </w:tcPr>
          <w:p w14:paraId="05937D0A" w14:textId="77777777" w:rsidR="006E668D" w:rsidRPr="006E668D" w:rsidRDefault="006E668D" w:rsidP="006E668D">
            <w:pPr>
              <w:pStyle w:val="Tabletext"/>
            </w:pPr>
          </w:p>
        </w:tc>
        <w:tc>
          <w:tcPr>
            <w:tcW w:w="1155" w:type="dxa"/>
            <w:vMerge/>
            <w:vAlign w:val="center"/>
            <w:hideMark/>
          </w:tcPr>
          <w:p w14:paraId="06309F56" w14:textId="77777777" w:rsidR="006E668D" w:rsidRPr="006E668D" w:rsidRDefault="006E668D" w:rsidP="006E668D">
            <w:pPr>
              <w:pStyle w:val="Tabletext"/>
            </w:pPr>
          </w:p>
        </w:tc>
      </w:tr>
      <w:tr w:rsidR="006E668D" w:rsidRPr="006E668D" w14:paraId="5E487F2D" w14:textId="77777777" w:rsidTr="00285644">
        <w:trPr>
          <w:trHeight w:val="170"/>
          <w:jc w:val="center"/>
        </w:trPr>
        <w:tc>
          <w:tcPr>
            <w:tcW w:w="3253" w:type="dxa"/>
            <w:vMerge w:val="restart"/>
            <w:vAlign w:val="center"/>
            <w:hideMark/>
          </w:tcPr>
          <w:p w14:paraId="1FF79429" w14:textId="77777777" w:rsidR="006E668D" w:rsidRPr="006E668D" w:rsidRDefault="00540671" w:rsidP="006E668D">
            <w:pPr>
              <w:pStyle w:val="Tabletext"/>
            </w:pPr>
            <w:r w:rsidRPr="00540671">
              <w:rPr>
                <w:b/>
              </w:rPr>
              <w:t>INVESTMENT 2:</w:t>
            </w:r>
            <w:r w:rsidR="006E668D" w:rsidRPr="006E668D">
              <w:t xml:space="preserve"> Digital transformation of Education</w:t>
            </w:r>
          </w:p>
        </w:tc>
        <w:tc>
          <w:tcPr>
            <w:tcW w:w="927" w:type="dxa"/>
            <w:vMerge w:val="restart"/>
            <w:vAlign w:val="center"/>
            <w:hideMark/>
          </w:tcPr>
          <w:p w14:paraId="77FBA0DD" w14:textId="77777777" w:rsidR="006E668D" w:rsidRPr="006E668D" w:rsidRDefault="006E668D" w:rsidP="006E668D">
            <w:pPr>
              <w:pStyle w:val="Tabletext"/>
            </w:pPr>
            <w:r w:rsidRPr="006E668D">
              <w:t>RRF 16676</w:t>
            </w:r>
          </w:p>
        </w:tc>
        <w:tc>
          <w:tcPr>
            <w:tcW w:w="1889" w:type="dxa"/>
            <w:tcBorders>
              <w:bottom w:val="nil"/>
            </w:tcBorders>
            <w:vAlign w:val="center"/>
            <w:hideMark/>
          </w:tcPr>
          <w:p w14:paraId="0B57326D" w14:textId="77777777" w:rsidR="006E668D" w:rsidRPr="006E668D" w:rsidRDefault="006E668D" w:rsidP="006E668D">
            <w:pPr>
              <w:pStyle w:val="Tabletext"/>
            </w:pPr>
            <w:r w:rsidRPr="006E668D">
              <w:t>2025.CSR5.5</w:t>
            </w:r>
          </w:p>
        </w:tc>
        <w:tc>
          <w:tcPr>
            <w:tcW w:w="1760" w:type="dxa"/>
            <w:vMerge w:val="restart"/>
            <w:vAlign w:val="center"/>
            <w:hideMark/>
          </w:tcPr>
          <w:p w14:paraId="2B36480E" w14:textId="77777777" w:rsidR="006E668D" w:rsidRPr="006E668D" w:rsidRDefault="006E668D" w:rsidP="006E668D">
            <w:pPr>
              <w:pStyle w:val="Tabletext"/>
            </w:pPr>
            <w:r w:rsidRPr="006E668D">
              <w:t>Fair green &amp; digital transition</w:t>
            </w:r>
          </w:p>
        </w:tc>
        <w:tc>
          <w:tcPr>
            <w:tcW w:w="1155" w:type="dxa"/>
            <w:vMerge w:val="restart"/>
            <w:vAlign w:val="center"/>
            <w:hideMark/>
          </w:tcPr>
          <w:p w14:paraId="5C770D5D" w14:textId="77777777" w:rsidR="006E668D" w:rsidRPr="006E668D" w:rsidRDefault="006E668D" w:rsidP="006E668D">
            <w:pPr>
              <w:pStyle w:val="Tabletext"/>
            </w:pPr>
            <w:r w:rsidRPr="006E668D">
              <w:t>On track</w:t>
            </w:r>
          </w:p>
        </w:tc>
      </w:tr>
      <w:tr w:rsidR="006E668D" w:rsidRPr="006E668D" w14:paraId="0A6F42C5" w14:textId="77777777" w:rsidTr="00285644">
        <w:trPr>
          <w:trHeight w:val="170"/>
          <w:jc w:val="center"/>
        </w:trPr>
        <w:tc>
          <w:tcPr>
            <w:tcW w:w="3253" w:type="dxa"/>
            <w:vMerge/>
            <w:vAlign w:val="center"/>
            <w:hideMark/>
          </w:tcPr>
          <w:p w14:paraId="1E43CBC0" w14:textId="77777777" w:rsidR="006E668D" w:rsidRPr="006E668D" w:rsidRDefault="006E668D" w:rsidP="006E668D">
            <w:pPr>
              <w:pStyle w:val="Tabletext"/>
            </w:pPr>
          </w:p>
        </w:tc>
        <w:tc>
          <w:tcPr>
            <w:tcW w:w="927" w:type="dxa"/>
            <w:vMerge/>
            <w:vAlign w:val="center"/>
            <w:hideMark/>
          </w:tcPr>
          <w:p w14:paraId="29EC3588" w14:textId="77777777" w:rsidR="006E668D" w:rsidRPr="006E668D" w:rsidRDefault="006E668D" w:rsidP="006E668D">
            <w:pPr>
              <w:pStyle w:val="Tabletext"/>
            </w:pPr>
          </w:p>
        </w:tc>
        <w:tc>
          <w:tcPr>
            <w:tcW w:w="1889" w:type="dxa"/>
            <w:tcBorders>
              <w:top w:val="nil"/>
              <w:bottom w:val="nil"/>
            </w:tcBorders>
            <w:vAlign w:val="center"/>
            <w:hideMark/>
          </w:tcPr>
          <w:p w14:paraId="65CE5F65" w14:textId="77777777" w:rsidR="006E668D" w:rsidRPr="006E668D" w:rsidRDefault="006E668D" w:rsidP="006E668D">
            <w:pPr>
              <w:pStyle w:val="Tabletext"/>
            </w:pPr>
            <w:r w:rsidRPr="006E668D">
              <w:t>2025.CSR5.6</w:t>
            </w:r>
          </w:p>
        </w:tc>
        <w:tc>
          <w:tcPr>
            <w:tcW w:w="1760" w:type="dxa"/>
            <w:vMerge/>
            <w:vAlign w:val="center"/>
            <w:hideMark/>
          </w:tcPr>
          <w:p w14:paraId="392EA05A" w14:textId="77777777" w:rsidR="006E668D" w:rsidRPr="006E668D" w:rsidRDefault="006E668D" w:rsidP="006E668D">
            <w:pPr>
              <w:pStyle w:val="Tabletext"/>
            </w:pPr>
          </w:p>
        </w:tc>
        <w:tc>
          <w:tcPr>
            <w:tcW w:w="1155" w:type="dxa"/>
            <w:vMerge/>
            <w:vAlign w:val="center"/>
            <w:hideMark/>
          </w:tcPr>
          <w:p w14:paraId="4CCA5D6F" w14:textId="77777777" w:rsidR="006E668D" w:rsidRPr="006E668D" w:rsidRDefault="006E668D" w:rsidP="006E668D">
            <w:pPr>
              <w:pStyle w:val="Tabletext"/>
            </w:pPr>
          </w:p>
        </w:tc>
      </w:tr>
      <w:tr w:rsidR="006E668D" w:rsidRPr="006E668D" w14:paraId="1D1CE468" w14:textId="77777777" w:rsidTr="00285644">
        <w:trPr>
          <w:trHeight w:val="170"/>
          <w:jc w:val="center"/>
        </w:trPr>
        <w:tc>
          <w:tcPr>
            <w:tcW w:w="3253" w:type="dxa"/>
            <w:vMerge/>
            <w:vAlign w:val="center"/>
            <w:hideMark/>
          </w:tcPr>
          <w:p w14:paraId="69613211" w14:textId="77777777" w:rsidR="006E668D" w:rsidRPr="006E668D" w:rsidRDefault="006E668D" w:rsidP="006E668D">
            <w:pPr>
              <w:pStyle w:val="Tabletext"/>
            </w:pPr>
          </w:p>
        </w:tc>
        <w:tc>
          <w:tcPr>
            <w:tcW w:w="927" w:type="dxa"/>
            <w:vMerge/>
            <w:vAlign w:val="center"/>
            <w:hideMark/>
          </w:tcPr>
          <w:p w14:paraId="50CAA059" w14:textId="77777777" w:rsidR="006E668D" w:rsidRPr="006E668D" w:rsidRDefault="006E668D" w:rsidP="006E668D">
            <w:pPr>
              <w:pStyle w:val="Tabletext"/>
            </w:pPr>
          </w:p>
        </w:tc>
        <w:tc>
          <w:tcPr>
            <w:tcW w:w="1889" w:type="dxa"/>
            <w:tcBorders>
              <w:top w:val="nil"/>
              <w:bottom w:val="nil"/>
            </w:tcBorders>
            <w:vAlign w:val="center"/>
            <w:hideMark/>
          </w:tcPr>
          <w:p w14:paraId="08765EF0" w14:textId="77777777" w:rsidR="006E668D" w:rsidRPr="006E668D" w:rsidRDefault="006E668D" w:rsidP="006E668D">
            <w:pPr>
              <w:pStyle w:val="Tabletext"/>
            </w:pPr>
            <w:r w:rsidRPr="006E668D">
              <w:t>2024.CSR2.1</w:t>
            </w:r>
          </w:p>
        </w:tc>
        <w:tc>
          <w:tcPr>
            <w:tcW w:w="1760" w:type="dxa"/>
            <w:vMerge/>
            <w:vAlign w:val="center"/>
            <w:hideMark/>
          </w:tcPr>
          <w:p w14:paraId="4024C02E" w14:textId="77777777" w:rsidR="006E668D" w:rsidRPr="006E668D" w:rsidRDefault="006E668D" w:rsidP="006E668D">
            <w:pPr>
              <w:pStyle w:val="Tabletext"/>
            </w:pPr>
          </w:p>
        </w:tc>
        <w:tc>
          <w:tcPr>
            <w:tcW w:w="1155" w:type="dxa"/>
            <w:vMerge/>
            <w:vAlign w:val="center"/>
            <w:hideMark/>
          </w:tcPr>
          <w:p w14:paraId="5CED77E1" w14:textId="77777777" w:rsidR="006E668D" w:rsidRPr="006E668D" w:rsidRDefault="006E668D" w:rsidP="006E668D">
            <w:pPr>
              <w:pStyle w:val="Tabletext"/>
            </w:pPr>
          </w:p>
        </w:tc>
      </w:tr>
      <w:tr w:rsidR="006E668D" w:rsidRPr="006E668D" w14:paraId="7818AE0E" w14:textId="77777777" w:rsidTr="00285644">
        <w:trPr>
          <w:trHeight w:val="170"/>
          <w:jc w:val="center"/>
        </w:trPr>
        <w:tc>
          <w:tcPr>
            <w:tcW w:w="3253" w:type="dxa"/>
            <w:vMerge/>
            <w:vAlign w:val="center"/>
            <w:hideMark/>
          </w:tcPr>
          <w:p w14:paraId="7873324F" w14:textId="77777777" w:rsidR="006E668D" w:rsidRPr="006E668D" w:rsidRDefault="006E668D" w:rsidP="006E668D">
            <w:pPr>
              <w:pStyle w:val="Tabletext"/>
            </w:pPr>
          </w:p>
        </w:tc>
        <w:tc>
          <w:tcPr>
            <w:tcW w:w="927" w:type="dxa"/>
            <w:vMerge/>
            <w:vAlign w:val="center"/>
            <w:hideMark/>
          </w:tcPr>
          <w:p w14:paraId="765DFA4E" w14:textId="77777777" w:rsidR="006E668D" w:rsidRPr="006E668D" w:rsidRDefault="006E668D" w:rsidP="006E668D">
            <w:pPr>
              <w:pStyle w:val="Tabletext"/>
            </w:pPr>
          </w:p>
        </w:tc>
        <w:tc>
          <w:tcPr>
            <w:tcW w:w="1889" w:type="dxa"/>
            <w:tcBorders>
              <w:top w:val="nil"/>
              <w:bottom w:val="nil"/>
            </w:tcBorders>
            <w:vAlign w:val="center"/>
            <w:hideMark/>
          </w:tcPr>
          <w:p w14:paraId="0E587B0C" w14:textId="77777777" w:rsidR="006E668D" w:rsidRPr="006E668D" w:rsidRDefault="006E668D" w:rsidP="006E668D">
            <w:pPr>
              <w:pStyle w:val="Tabletext"/>
            </w:pPr>
            <w:r w:rsidRPr="006E668D">
              <w:t>2024.CSR3.1</w:t>
            </w:r>
          </w:p>
        </w:tc>
        <w:tc>
          <w:tcPr>
            <w:tcW w:w="1760" w:type="dxa"/>
            <w:vMerge/>
            <w:vAlign w:val="center"/>
            <w:hideMark/>
          </w:tcPr>
          <w:p w14:paraId="737546CF" w14:textId="77777777" w:rsidR="006E668D" w:rsidRPr="006E668D" w:rsidRDefault="006E668D" w:rsidP="006E668D">
            <w:pPr>
              <w:pStyle w:val="Tabletext"/>
            </w:pPr>
          </w:p>
        </w:tc>
        <w:tc>
          <w:tcPr>
            <w:tcW w:w="1155" w:type="dxa"/>
            <w:vMerge/>
            <w:vAlign w:val="center"/>
            <w:hideMark/>
          </w:tcPr>
          <w:p w14:paraId="752A7007" w14:textId="77777777" w:rsidR="006E668D" w:rsidRPr="006E668D" w:rsidRDefault="006E668D" w:rsidP="006E668D">
            <w:pPr>
              <w:pStyle w:val="Tabletext"/>
            </w:pPr>
          </w:p>
        </w:tc>
      </w:tr>
      <w:tr w:rsidR="006E668D" w:rsidRPr="006E668D" w14:paraId="55FA82C5" w14:textId="77777777" w:rsidTr="00285644">
        <w:trPr>
          <w:trHeight w:val="170"/>
          <w:jc w:val="center"/>
        </w:trPr>
        <w:tc>
          <w:tcPr>
            <w:tcW w:w="3253" w:type="dxa"/>
            <w:vMerge/>
            <w:vAlign w:val="center"/>
            <w:hideMark/>
          </w:tcPr>
          <w:p w14:paraId="65DA567B" w14:textId="77777777" w:rsidR="006E668D" w:rsidRPr="006E668D" w:rsidRDefault="006E668D" w:rsidP="006E668D">
            <w:pPr>
              <w:pStyle w:val="Tabletext"/>
            </w:pPr>
          </w:p>
        </w:tc>
        <w:tc>
          <w:tcPr>
            <w:tcW w:w="927" w:type="dxa"/>
            <w:vMerge/>
            <w:vAlign w:val="center"/>
            <w:hideMark/>
          </w:tcPr>
          <w:p w14:paraId="04348F38" w14:textId="77777777" w:rsidR="006E668D" w:rsidRPr="006E668D" w:rsidRDefault="006E668D" w:rsidP="006E668D">
            <w:pPr>
              <w:pStyle w:val="Tabletext"/>
            </w:pPr>
          </w:p>
        </w:tc>
        <w:tc>
          <w:tcPr>
            <w:tcW w:w="1889" w:type="dxa"/>
            <w:tcBorders>
              <w:top w:val="nil"/>
              <w:bottom w:val="nil"/>
            </w:tcBorders>
            <w:vAlign w:val="center"/>
            <w:hideMark/>
          </w:tcPr>
          <w:p w14:paraId="6F670559" w14:textId="77777777" w:rsidR="006E668D" w:rsidRPr="006E668D" w:rsidRDefault="006E668D" w:rsidP="006E668D">
            <w:pPr>
              <w:pStyle w:val="Tabletext"/>
            </w:pPr>
            <w:r w:rsidRPr="006E668D">
              <w:t>2020.CSR3.8</w:t>
            </w:r>
          </w:p>
        </w:tc>
        <w:tc>
          <w:tcPr>
            <w:tcW w:w="1760" w:type="dxa"/>
            <w:vMerge/>
            <w:vAlign w:val="center"/>
            <w:hideMark/>
          </w:tcPr>
          <w:p w14:paraId="5E451566" w14:textId="77777777" w:rsidR="006E668D" w:rsidRPr="006E668D" w:rsidRDefault="006E668D" w:rsidP="006E668D">
            <w:pPr>
              <w:pStyle w:val="Tabletext"/>
            </w:pPr>
          </w:p>
        </w:tc>
        <w:tc>
          <w:tcPr>
            <w:tcW w:w="1155" w:type="dxa"/>
            <w:vMerge/>
            <w:vAlign w:val="center"/>
            <w:hideMark/>
          </w:tcPr>
          <w:p w14:paraId="1B52E3D1" w14:textId="77777777" w:rsidR="006E668D" w:rsidRPr="006E668D" w:rsidRDefault="006E668D" w:rsidP="006E668D">
            <w:pPr>
              <w:pStyle w:val="Tabletext"/>
            </w:pPr>
          </w:p>
        </w:tc>
      </w:tr>
      <w:tr w:rsidR="006E668D" w:rsidRPr="006E668D" w14:paraId="29C3AB6F" w14:textId="77777777" w:rsidTr="00285644">
        <w:trPr>
          <w:trHeight w:val="170"/>
          <w:jc w:val="center"/>
        </w:trPr>
        <w:tc>
          <w:tcPr>
            <w:tcW w:w="3253" w:type="dxa"/>
            <w:vMerge/>
            <w:vAlign w:val="center"/>
            <w:hideMark/>
          </w:tcPr>
          <w:p w14:paraId="0677A21A" w14:textId="77777777" w:rsidR="006E668D" w:rsidRPr="006E668D" w:rsidRDefault="006E668D" w:rsidP="006E668D">
            <w:pPr>
              <w:pStyle w:val="Tabletext"/>
            </w:pPr>
          </w:p>
        </w:tc>
        <w:tc>
          <w:tcPr>
            <w:tcW w:w="927" w:type="dxa"/>
            <w:vMerge/>
            <w:vAlign w:val="center"/>
            <w:hideMark/>
          </w:tcPr>
          <w:p w14:paraId="36926D74" w14:textId="77777777" w:rsidR="006E668D" w:rsidRPr="006E668D" w:rsidRDefault="006E668D" w:rsidP="006E668D">
            <w:pPr>
              <w:pStyle w:val="Tabletext"/>
            </w:pPr>
          </w:p>
        </w:tc>
        <w:tc>
          <w:tcPr>
            <w:tcW w:w="1889" w:type="dxa"/>
            <w:tcBorders>
              <w:top w:val="nil"/>
              <w:bottom w:val="nil"/>
            </w:tcBorders>
            <w:vAlign w:val="center"/>
            <w:hideMark/>
          </w:tcPr>
          <w:p w14:paraId="2A7DC2D9" w14:textId="77777777" w:rsidR="006E668D" w:rsidRPr="006E668D" w:rsidRDefault="006E668D" w:rsidP="006E668D">
            <w:pPr>
              <w:pStyle w:val="Tabletext"/>
            </w:pPr>
            <w:r w:rsidRPr="006E668D">
              <w:t>2020.CSR3.9</w:t>
            </w:r>
          </w:p>
        </w:tc>
        <w:tc>
          <w:tcPr>
            <w:tcW w:w="1760" w:type="dxa"/>
            <w:vMerge/>
            <w:vAlign w:val="center"/>
            <w:hideMark/>
          </w:tcPr>
          <w:p w14:paraId="35A8D227" w14:textId="77777777" w:rsidR="006E668D" w:rsidRPr="006E668D" w:rsidRDefault="006E668D" w:rsidP="006E668D">
            <w:pPr>
              <w:pStyle w:val="Tabletext"/>
            </w:pPr>
          </w:p>
        </w:tc>
        <w:tc>
          <w:tcPr>
            <w:tcW w:w="1155" w:type="dxa"/>
            <w:vMerge/>
            <w:vAlign w:val="center"/>
            <w:hideMark/>
          </w:tcPr>
          <w:p w14:paraId="2892FB69" w14:textId="77777777" w:rsidR="006E668D" w:rsidRPr="006E668D" w:rsidRDefault="006E668D" w:rsidP="006E668D">
            <w:pPr>
              <w:pStyle w:val="Tabletext"/>
            </w:pPr>
          </w:p>
        </w:tc>
      </w:tr>
      <w:tr w:rsidR="006E668D" w:rsidRPr="006E668D" w14:paraId="04461030" w14:textId="77777777" w:rsidTr="00285644">
        <w:trPr>
          <w:trHeight w:val="170"/>
          <w:jc w:val="center"/>
        </w:trPr>
        <w:tc>
          <w:tcPr>
            <w:tcW w:w="3253" w:type="dxa"/>
            <w:vMerge/>
            <w:vAlign w:val="center"/>
            <w:hideMark/>
          </w:tcPr>
          <w:p w14:paraId="52949551" w14:textId="77777777" w:rsidR="006E668D" w:rsidRPr="006E668D" w:rsidRDefault="006E668D" w:rsidP="006E668D">
            <w:pPr>
              <w:pStyle w:val="Tabletext"/>
            </w:pPr>
          </w:p>
        </w:tc>
        <w:tc>
          <w:tcPr>
            <w:tcW w:w="927" w:type="dxa"/>
            <w:vMerge/>
            <w:vAlign w:val="center"/>
            <w:hideMark/>
          </w:tcPr>
          <w:p w14:paraId="29313605" w14:textId="77777777" w:rsidR="006E668D" w:rsidRPr="006E668D" w:rsidRDefault="006E668D" w:rsidP="006E668D">
            <w:pPr>
              <w:pStyle w:val="Tabletext"/>
            </w:pPr>
          </w:p>
        </w:tc>
        <w:tc>
          <w:tcPr>
            <w:tcW w:w="1889" w:type="dxa"/>
            <w:tcBorders>
              <w:top w:val="nil"/>
              <w:bottom w:val="nil"/>
            </w:tcBorders>
            <w:vAlign w:val="center"/>
            <w:hideMark/>
          </w:tcPr>
          <w:p w14:paraId="5FF21F61" w14:textId="77777777" w:rsidR="006E668D" w:rsidRPr="006E668D" w:rsidRDefault="006E668D" w:rsidP="006E668D">
            <w:pPr>
              <w:pStyle w:val="Tabletext"/>
            </w:pPr>
            <w:r w:rsidRPr="006E668D">
              <w:t>2019.CSR2.3</w:t>
            </w:r>
          </w:p>
        </w:tc>
        <w:tc>
          <w:tcPr>
            <w:tcW w:w="1760" w:type="dxa"/>
            <w:vMerge/>
            <w:vAlign w:val="center"/>
            <w:hideMark/>
          </w:tcPr>
          <w:p w14:paraId="66AAA39A" w14:textId="77777777" w:rsidR="006E668D" w:rsidRPr="006E668D" w:rsidRDefault="006E668D" w:rsidP="006E668D">
            <w:pPr>
              <w:pStyle w:val="Tabletext"/>
            </w:pPr>
          </w:p>
        </w:tc>
        <w:tc>
          <w:tcPr>
            <w:tcW w:w="1155" w:type="dxa"/>
            <w:vMerge/>
            <w:vAlign w:val="center"/>
            <w:hideMark/>
          </w:tcPr>
          <w:p w14:paraId="3B534335" w14:textId="77777777" w:rsidR="006E668D" w:rsidRPr="006E668D" w:rsidRDefault="006E668D" w:rsidP="006E668D">
            <w:pPr>
              <w:pStyle w:val="Tabletext"/>
            </w:pPr>
          </w:p>
        </w:tc>
      </w:tr>
      <w:tr w:rsidR="006E668D" w:rsidRPr="006E668D" w14:paraId="6EBEE190" w14:textId="77777777" w:rsidTr="00285644">
        <w:trPr>
          <w:trHeight w:val="170"/>
          <w:jc w:val="center"/>
        </w:trPr>
        <w:tc>
          <w:tcPr>
            <w:tcW w:w="3253" w:type="dxa"/>
            <w:vMerge/>
            <w:vAlign w:val="center"/>
            <w:hideMark/>
          </w:tcPr>
          <w:p w14:paraId="0EE7C34E" w14:textId="77777777" w:rsidR="006E668D" w:rsidRPr="006E668D" w:rsidRDefault="006E668D" w:rsidP="006E668D">
            <w:pPr>
              <w:pStyle w:val="Tabletext"/>
            </w:pPr>
          </w:p>
        </w:tc>
        <w:tc>
          <w:tcPr>
            <w:tcW w:w="927" w:type="dxa"/>
            <w:vMerge/>
            <w:vAlign w:val="center"/>
            <w:hideMark/>
          </w:tcPr>
          <w:p w14:paraId="6C3C2DD9" w14:textId="77777777" w:rsidR="006E668D" w:rsidRPr="006E668D" w:rsidRDefault="006E668D" w:rsidP="006E668D">
            <w:pPr>
              <w:pStyle w:val="Tabletext"/>
            </w:pPr>
          </w:p>
        </w:tc>
        <w:tc>
          <w:tcPr>
            <w:tcW w:w="1889" w:type="dxa"/>
            <w:tcBorders>
              <w:top w:val="nil"/>
              <w:bottom w:val="nil"/>
            </w:tcBorders>
            <w:vAlign w:val="center"/>
            <w:hideMark/>
          </w:tcPr>
          <w:p w14:paraId="5BB7C59B" w14:textId="77777777" w:rsidR="006E668D" w:rsidRPr="006E668D" w:rsidRDefault="006E668D" w:rsidP="006E668D">
            <w:pPr>
              <w:pStyle w:val="Tabletext"/>
            </w:pPr>
            <w:r w:rsidRPr="006E668D">
              <w:t>2019.CSR2.5</w:t>
            </w:r>
          </w:p>
        </w:tc>
        <w:tc>
          <w:tcPr>
            <w:tcW w:w="1760" w:type="dxa"/>
            <w:vMerge/>
            <w:vAlign w:val="center"/>
            <w:hideMark/>
          </w:tcPr>
          <w:p w14:paraId="3424BB2D" w14:textId="77777777" w:rsidR="006E668D" w:rsidRPr="006E668D" w:rsidRDefault="006E668D" w:rsidP="006E668D">
            <w:pPr>
              <w:pStyle w:val="Tabletext"/>
            </w:pPr>
          </w:p>
        </w:tc>
        <w:tc>
          <w:tcPr>
            <w:tcW w:w="1155" w:type="dxa"/>
            <w:vMerge/>
            <w:vAlign w:val="center"/>
            <w:hideMark/>
          </w:tcPr>
          <w:p w14:paraId="002D8E75" w14:textId="77777777" w:rsidR="006E668D" w:rsidRPr="006E668D" w:rsidRDefault="006E668D" w:rsidP="006E668D">
            <w:pPr>
              <w:pStyle w:val="Tabletext"/>
            </w:pPr>
          </w:p>
        </w:tc>
      </w:tr>
      <w:tr w:rsidR="006E668D" w:rsidRPr="006E668D" w14:paraId="1BF620BC" w14:textId="77777777" w:rsidTr="00285644">
        <w:trPr>
          <w:trHeight w:val="170"/>
          <w:jc w:val="center"/>
        </w:trPr>
        <w:tc>
          <w:tcPr>
            <w:tcW w:w="3253" w:type="dxa"/>
            <w:vMerge/>
            <w:vAlign w:val="center"/>
            <w:hideMark/>
          </w:tcPr>
          <w:p w14:paraId="2BE040F5" w14:textId="77777777" w:rsidR="006E668D" w:rsidRPr="006E668D" w:rsidRDefault="006E668D" w:rsidP="006E668D">
            <w:pPr>
              <w:pStyle w:val="Tabletext"/>
            </w:pPr>
          </w:p>
        </w:tc>
        <w:tc>
          <w:tcPr>
            <w:tcW w:w="927" w:type="dxa"/>
            <w:vMerge/>
            <w:vAlign w:val="center"/>
            <w:hideMark/>
          </w:tcPr>
          <w:p w14:paraId="5528D197" w14:textId="77777777" w:rsidR="006E668D" w:rsidRPr="006E668D" w:rsidRDefault="006E668D" w:rsidP="006E668D">
            <w:pPr>
              <w:pStyle w:val="Tabletext"/>
            </w:pPr>
          </w:p>
        </w:tc>
        <w:tc>
          <w:tcPr>
            <w:tcW w:w="1889" w:type="dxa"/>
            <w:tcBorders>
              <w:top w:val="nil"/>
            </w:tcBorders>
            <w:vAlign w:val="center"/>
            <w:hideMark/>
          </w:tcPr>
          <w:p w14:paraId="19FD7EDA" w14:textId="77777777" w:rsidR="006E668D" w:rsidRPr="006E668D" w:rsidRDefault="006E668D" w:rsidP="006E668D">
            <w:pPr>
              <w:pStyle w:val="Tabletext"/>
            </w:pPr>
            <w:r w:rsidRPr="006E668D">
              <w:t>2019.CSR2.6</w:t>
            </w:r>
          </w:p>
        </w:tc>
        <w:tc>
          <w:tcPr>
            <w:tcW w:w="1760" w:type="dxa"/>
            <w:vMerge/>
            <w:vAlign w:val="center"/>
            <w:hideMark/>
          </w:tcPr>
          <w:p w14:paraId="2CF82160" w14:textId="77777777" w:rsidR="006E668D" w:rsidRPr="006E668D" w:rsidRDefault="006E668D" w:rsidP="006E668D">
            <w:pPr>
              <w:pStyle w:val="Tabletext"/>
            </w:pPr>
          </w:p>
        </w:tc>
        <w:tc>
          <w:tcPr>
            <w:tcW w:w="1155" w:type="dxa"/>
            <w:vMerge/>
            <w:vAlign w:val="center"/>
            <w:hideMark/>
          </w:tcPr>
          <w:p w14:paraId="462531D9" w14:textId="77777777" w:rsidR="006E668D" w:rsidRPr="006E668D" w:rsidRDefault="006E668D" w:rsidP="006E668D">
            <w:pPr>
              <w:pStyle w:val="Tabletext"/>
            </w:pPr>
          </w:p>
        </w:tc>
      </w:tr>
      <w:tr w:rsidR="006E668D" w:rsidRPr="006E668D" w14:paraId="78DF757D" w14:textId="77777777" w:rsidTr="00285644">
        <w:trPr>
          <w:trHeight w:val="170"/>
          <w:jc w:val="center"/>
        </w:trPr>
        <w:tc>
          <w:tcPr>
            <w:tcW w:w="3253" w:type="dxa"/>
            <w:vAlign w:val="center"/>
            <w:hideMark/>
          </w:tcPr>
          <w:p w14:paraId="4C528A0A" w14:textId="77777777" w:rsidR="006E668D" w:rsidRPr="006E668D" w:rsidRDefault="00540671" w:rsidP="006E668D">
            <w:pPr>
              <w:pStyle w:val="Tabletext"/>
            </w:pPr>
            <w:r w:rsidRPr="00540671">
              <w:rPr>
                <w:b/>
              </w:rPr>
              <w:t>INVESTMENT 3:</w:t>
            </w:r>
            <w:r w:rsidR="006E668D" w:rsidRPr="006E668D">
              <w:t xml:space="preserve"> Marietta </w:t>
            </w:r>
            <w:proofErr w:type="spellStart"/>
            <w:r w:rsidR="006E668D" w:rsidRPr="006E668D">
              <w:t>Giannakou</w:t>
            </w:r>
            <w:proofErr w:type="spellEnd"/>
            <w:r w:rsidR="006E668D" w:rsidRPr="006E668D">
              <w:t xml:space="preserve"> programme for the upgrading of school infrastructure</w:t>
            </w:r>
          </w:p>
        </w:tc>
        <w:tc>
          <w:tcPr>
            <w:tcW w:w="927" w:type="dxa"/>
            <w:vAlign w:val="center"/>
            <w:hideMark/>
          </w:tcPr>
          <w:p w14:paraId="15866EE3" w14:textId="77777777" w:rsidR="006E668D" w:rsidRPr="006E668D" w:rsidRDefault="006E668D" w:rsidP="006E668D">
            <w:pPr>
              <w:pStyle w:val="Tabletext"/>
            </w:pPr>
            <w:r w:rsidRPr="006E668D">
              <w:t xml:space="preserve"> </w:t>
            </w:r>
          </w:p>
        </w:tc>
        <w:tc>
          <w:tcPr>
            <w:tcW w:w="1889" w:type="dxa"/>
            <w:vAlign w:val="center"/>
            <w:hideMark/>
          </w:tcPr>
          <w:p w14:paraId="6158B85B" w14:textId="77777777" w:rsidR="006E668D" w:rsidRPr="006E668D" w:rsidRDefault="006E668D" w:rsidP="006E668D">
            <w:pPr>
              <w:pStyle w:val="Tabletext"/>
            </w:pPr>
            <w:r w:rsidRPr="006E668D">
              <w:t>2019.CSR2.5</w:t>
            </w:r>
          </w:p>
        </w:tc>
        <w:tc>
          <w:tcPr>
            <w:tcW w:w="1760" w:type="dxa"/>
            <w:vAlign w:val="center"/>
            <w:hideMark/>
          </w:tcPr>
          <w:p w14:paraId="23A55640" w14:textId="77777777" w:rsidR="006E668D" w:rsidRPr="006E668D" w:rsidRDefault="006E668D" w:rsidP="006E668D">
            <w:pPr>
              <w:pStyle w:val="Tabletext"/>
            </w:pPr>
            <w:r w:rsidRPr="006E668D">
              <w:t>Social and Economic resilience</w:t>
            </w:r>
          </w:p>
        </w:tc>
        <w:tc>
          <w:tcPr>
            <w:tcW w:w="1155" w:type="dxa"/>
            <w:vAlign w:val="center"/>
            <w:hideMark/>
          </w:tcPr>
          <w:p w14:paraId="18EA8AE7" w14:textId="77777777" w:rsidR="006E668D" w:rsidRPr="006E668D" w:rsidRDefault="006E668D" w:rsidP="006E668D">
            <w:pPr>
              <w:pStyle w:val="Tabletext"/>
            </w:pPr>
            <w:r w:rsidRPr="006E668D">
              <w:t>On track</w:t>
            </w:r>
          </w:p>
        </w:tc>
      </w:tr>
      <w:tr w:rsidR="006E668D" w:rsidRPr="006E668D" w14:paraId="7A69F00A" w14:textId="77777777" w:rsidTr="00285644">
        <w:trPr>
          <w:trHeight w:val="170"/>
          <w:jc w:val="center"/>
        </w:trPr>
        <w:tc>
          <w:tcPr>
            <w:tcW w:w="3253" w:type="dxa"/>
            <w:vAlign w:val="center"/>
            <w:hideMark/>
          </w:tcPr>
          <w:p w14:paraId="2FAB37BE" w14:textId="77777777" w:rsidR="006E668D" w:rsidRPr="006E668D" w:rsidRDefault="00540671" w:rsidP="006E668D">
            <w:pPr>
              <w:pStyle w:val="Tabletext"/>
            </w:pPr>
            <w:r w:rsidRPr="00540671">
              <w:rPr>
                <w:b/>
              </w:rPr>
              <w:t>INVESTMENT 4:</w:t>
            </w:r>
            <w:r w:rsidR="006E668D" w:rsidRPr="006E668D">
              <w:t xml:space="preserve"> Student residence development projects</w:t>
            </w:r>
          </w:p>
        </w:tc>
        <w:tc>
          <w:tcPr>
            <w:tcW w:w="927" w:type="dxa"/>
            <w:vAlign w:val="center"/>
            <w:hideMark/>
          </w:tcPr>
          <w:p w14:paraId="56864D43" w14:textId="77777777" w:rsidR="006E668D" w:rsidRPr="006E668D" w:rsidRDefault="006E668D" w:rsidP="006E668D">
            <w:pPr>
              <w:pStyle w:val="Tabletext"/>
            </w:pPr>
            <w:r w:rsidRPr="006E668D">
              <w:t>-</w:t>
            </w:r>
          </w:p>
        </w:tc>
        <w:tc>
          <w:tcPr>
            <w:tcW w:w="1889" w:type="dxa"/>
            <w:vAlign w:val="center"/>
            <w:hideMark/>
          </w:tcPr>
          <w:p w14:paraId="794EE9FD" w14:textId="77777777" w:rsidR="006E668D" w:rsidRPr="006E668D" w:rsidRDefault="006E668D" w:rsidP="006E668D">
            <w:pPr>
              <w:pStyle w:val="Tabletext"/>
            </w:pPr>
            <w:r w:rsidRPr="006E668D">
              <w:t>2019.CSR2.5</w:t>
            </w:r>
          </w:p>
        </w:tc>
        <w:tc>
          <w:tcPr>
            <w:tcW w:w="1760" w:type="dxa"/>
            <w:vAlign w:val="center"/>
            <w:hideMark/>
          </w:tcPr>
          <w:p w14:paraId="63738944" w14:textId="77777777" w:rsidR="006E668D" w:rsidRPr="006E668D" w:rsidRDefault="006E668D" w:rsidP="006E668D">
            <w:pPr>
              <w:pStyle w:val="Tabletext"/>
            </w:pPr>
            <w:r w:rsidRPr="006E668D">
              <w:t>Social and Economic resilience</w:t>
            </w:r>
          </w:p>
        </w:tc>
        <w:tc>
          <w:tcPr>
            <w:tcW w:w="1155" w:type="dxa"/>
            <w:vAlign w:val="center"/>
            <w:hideMark/>
          </w:tcPr>
          <w:p w14:paraId="6265E75E" w14:textId="77777777" w:rsidR="006E668D" w:rsidRPr="006E668D" w:rsidRDefault="006E668D" w:rsidP="006E668D">
            <w:pPr>
              <w:pStyle w:val="Tabletext"/>
            </w:pPr>
            <w:r w:rsidRPr="006E668D">
              <w:t>On track</w:t>
            </w:r>
          </w:p>
        </w:tc>
      </w:tr>
    </w:tbl>
    <w:p w14:paraId="4D2AA93E" w14:textId="77777777" w:rsidR="00451CC2" w:rsidRPr="00CD2586" w:rsidRDefault="006E668D" w:rsidP="00D31D31">
      <w:pPr>
        <w:spacing w:before="120"/>
        <w:rPr>
          <w:rFonts w:ascii="Times New Roman" w:eastAsia="Times New Roman" w:hAnsi="Times New Roman" w:cs="Times New Roman"/>
          <w:lang w:val="en-US"/>
        </w:rPr>
      </w:pPr>
      <w:r>
        <w:rPr>
          <w:rFonts w:eastAsia="Times New Roman"/>
          <w:lang w:val="en-US"/>
        </w:rPr>
        <w:t>T</w:t>
      </w:r>
      <w:r w:rsidR="00451CC2" w:rsidRPr="00CD2586">
        <w:rPr>
          <w:rFonts w:eastAsia="Times New Roman"/>
          <w:lang w:val="en-US"/>
        </w:rPr>
        <w:t xml:space="preserve">he </w:t>
      </w:r>
      <w:r w:rsidR="00451CC2" w:rsidRPr="00CD2586">
        <w:rPr>
          <w:rFonts w:eastAsia="Times New Roman"/>
          <w:b/>
          <w:bCs/>
          <w:lang w:val="en-US"/>
        </w:rPr>
        <w:t>RRF reform “Strategy for Excellence in Universities &amp; Innovation”</w:t>
      </w:r>
      <w:r w:rsidR="00451CC2" w:rsidRPr="00CD2586">
        <w:rPr>
          <w:rFonts w:eastAsia="Times New Roman"/>
          <w:lang w:val="en-US"/>
        </w:rPr>
        <w:t xml:space="preserve"> aims to enhance the research performance of Greek universities and improve the quality of education, by fostering a dynamic innovation ecosystem that promotes skills development and alignment with labour market needs. Under Sub1.1, titled “Clusters of Research Excellence – CREs”, 97 collaborative research projects between universities and the private sector have been approved since November 2024 and are under implementation with an expected timeline for completion by May 2026. Regarding Sub2, Universities of Excellence, project implementation has commenced in accordance with 23 distinct approval decisions. The projects related to the infrastructure of Greek Universities are under implementation with an expected completion date at the end of April. Concerning Sub2.3, “</w:t>
      </w:r>
      <w:proofErr w:type="spellStart"/>
      <w:r w:rsidR="00451CC2" w:rsidRPr="00CD2586">
        <w:rPr>
          <w:rFonts w:eastAsia="Times New Roman"/>
          <w:lang w:val="en-US"/>
        </w:rPr>
        <w:t>Internationalisation</w:t>
      </w:r>
      <w:proofErr w:type="spellEnd"/>
      <w:r w:rsidR="00451CC2" w:rsidRPr="00CD2586">
        <w:rPr>
          <w:rFonts w:eastAsia="Times New Roman"/>
          <w:lang w:val="en-US"/>
        </w:rPr>
        <w:t xml:space="preserve"> of University Education Services” eligible applicants submitted funding applications for dual/joint master’s, which were evaluated by the Hellenic Authority for Higher Education (HAHE). Based on HAHE’s evaluation of the submitted proposals, the projects were approved, and they are under implementation (74 dual/joint Master’s). Lastly, Sub6, “Digital Transformation of the National Hellenic Libraries Network”, the contract concerning the development of a digital platform, digitization of content, interconnection of libraries, and the enhancement of lending services is under completion. </w:t>
      </w:r>
    </w:p>
    <w:p w14:paraId="78AB81DE" w14:textId="64F21EB7" w:rsidR="00451CC2" w:rsidRDefault="00451CC2" w:rsidP="00D31D31">
      <w:pPr>
        <w:rPr>
          <w:rFonts w:ascii="Times New Roman" w:eastAsia="Times New Roman" w:hAnsi="Times New Roman" w:cs="Times New Roman"/>
          <w:lang w:val="en-US"/>
        </w:rPr>
      </w:pPr>
      <w:r w:rsidRPr="00CD2586">
        <w:rPr>
          <w:rFonts w:eastAsia="Times New Roman"/>
          <w:lang w:val="en-US"/>
        </w:rPr>
        <w:t xml:space="preserve">Following the enactment of Law 5094/2024 and the issuance of Decision 284/2026 (06.03.2026) by the Supreme Court of Greece, which collectively </w:t>
      </w:r>
      <w:r w:rsidRPr="00CD2586">
        <w:rPr>
          <w:rFonts w:eastAsia="Times New Roman"/>
          <w:b/>
          <w:bCs/>
          <w:lang w:val="en-US"/>
        </w:rPr>
        <w:t>establish the regulatory framework governing the operation of foreign university branch campuses in Greece</w:t>
      </w:r>
      <w:r w:rsidRPr="00CD2586">
        <w:rPr>
          <w:rFonts w:eastAsia="Times New Roman"/>
          <w:lang w:val="en-US"/>
        </w:rPr>
        <w:t>, significant developments have been made in the sector. In particular, four (4) institutions</w:t>
      </w:r>
      <w:r w:rsidR="00CA62F8">
        <w:rPr>
          <w:rFonts w:eastAsia="Times New Roman"/>
          <w:lang w:val="en-US"/>
        </w:rPr>
        <w:t xml:space="preserve"> </w:t>
      </w:r>
      <w:r w:rsidRPr="00CD2586">
        <w:rPr>
          <w:rFonts w:eastAsia="Times New Roman"/>
          <w:lang w:val="en-US"/>
        </w:rPr>
        <w:t xml:space="preserve">—The Open University, University of York, </w:t>
      </w:r>
      <w:proofErr w:type="spellStart"/>
      <w:r w:rsidRPr="00CD2586">
        <w:rPr>
          <w:rFonts w:eastAsia="Times New Roman"/>
          <w:lang w:val="en-US"/>
        </w:rPr>
        <w:t>Keele</w:t>
      </w:r>
      <w:proofErr w:type="spellEnd"/>
      <w:r w:rsidRPr="00CD2586">
        <w:rPr>
          <w:rFonts w:eastAsia="Times New Roman"/>
          <w:lang w:val="en-US"/>
        </w:rPr>
        <w:t xml:space="preserve"> University, and UNIC Athens—</w:t>
      </w:r>
      <w:r w:rsidR="00CA62F8">
        <w:rPr>
          <w:rFonts w:eastAsia="Times New Roman"/>
          <w:lang w:val="en-US"/>
        </w:rPr>
        <w:t xml:space="preserve"> </w:t>
      </w:r>
      <w:r w:rsidRPr="00CD2586">
        <w:rPr>
          <w:rFonts w:eastAsia="Times New Roman"/>
          <w:lang w:val="en-US"/>
        </w:rPr>
        <w:t>have been granted operating licenses, while 26 study programmes were approved by the Hellenic Authority for Higher Education in 2025. Four (4) additional institutions —Georgetown University, Iowa State University of Science and Technology, European University Cyprus, and Roger Williams University— have submitted applications for licensing for the academic year 2026</w:t>
      </w:r>
      <w:r w:rsidR="00513645">
        <w:rPr>
          <w:rFonts w:eastAsia="Times New Roman"/>
          <w:lang w:val="en-US"/>
        </w:rPr>
        <w:t>-</w:t>
      </w:r>
      <w:r w:rsidRPr="00CD2586">
        <w:rPr>
          <w:rFonts w:eastAsia="Times New Roman"/>
          <w:lang w:val="en-US"/>
        </w:rPr>
        <w:t>2027. University of Sunderland has also applied for the 2027</w:t>
      </w:r>
      <w:r w:rsidR="00513645">
        <w:rPr>
          <w:rFonts w:eastAsia="Times New Roman"/>
          <w:lang w:val="en-US"/>
        </w:rPr>
        <w:t>-</w:t>
      </w:r>
      <w:r w:rsidRPr="00CD2586">
        <w:rPr>
          <w:rFonts w:eastAsia="Times New Roman"/>
          <w:lang w:val="en-US"/>
        </w:rPr>
        <w:t xml:space="preserve">2028 academic year, while five (5) branch campuses whose applications were rejected in 2025 have reapplied and are currently undergoing re-evaluation. At present, the supporting documentation for these applications is under review by the General Directorate of Higher Education of the Ministry of Education </w:t>
      </w:r>
      <w:r w:rsidRPr="00CD2586">
        <w:rPr>
          <w:rFonts w:eastAsia="Times New Roman"/>
          <w:lang w:val="en-US"/>
        </w:rPr>
        <w:lastRenderedPageBreak/>
        <w:t>Religious Affairs and Sports. Upon confirmation of the completeness of each application dossier, the files will be transmitted to the relevant regulatory bodies, including the National Organization for the Certification of Qualifications and Vocational Guidance for infrastructure-related approval and the Hellenic Authority for Higher Education for the evaluation and accreditation of study programmes.</w:t>
      </w:r>
    </w:p>
    <w:p w14:paraId="66A21363" w14:textId="7A3DA938" w:rsidR="00451CC2" w:rsidRDefault="00451CC2" w:rsidP="00D31D31">
      <w:pPr>
        <w:rPr>
          <w:rFonts w:ascii="Times New Roman" w:eastAsia="Times New Roman" w:hAnsi="Times New Roman" w:cs="Times New Roman"/>
          <w:lang w:val="en-US"/>
        </w:rPr>
      </w:pPr>
      <w:r w:rsidRPr="00CD2586">
        <w:rPr>
          <w:rFonts w:eastAsia="Times New Roman"/>
          <w:lang w:val="en-US"/>
        </w:rPr>
        <w:t xml:space="preserve">The report </w:t>
      </w:r>
      <w:r w:rsidRPr="00CD2586">
        <w:rPr>
          <w:rFonts w:eastAsia="Times New Roman"/>
          <w:b/>
          <w:bCs/>
          <w:lang w:val="en-US"/>
        </w:rPr>
        <w:t>“Education Policy Review: Improving Learning Outcomes in Greece”</w:t>
      </w:r>
      <w:r w:rsidRPr="00CD2586">
        <w:rPr>
          <w:rFonts w:eastAsia="Times New Roman"/>
          <w:lang w:val="en-US"/>
        </w:rPr>
        <w:t xml:space="preserve"> has been issued, and its findings were officially published and presented in January 2026. The review highlights that successful reform requires coherent alignment of actions and governance systems with clarity, consistency, and implementation capacity. It stresses empowering teachers and school leaders as pedagogical leaders driving continuous improvement, noting that </w:t>
      </w:r>
      <w:r w:rsidRPr="00CD2586">
        <w:rPr>
          <w:rFonts w:eastAsia="Times New Roman"/>
          <w:i/>
          <w:iCs/>
          <w:lang w:val="en-US"/>
        </w:rPr>
        <w:t>“successful implementation… presupposes coherent alignment of all actions”</w:t>
      </w:r>
      <w:r w:rsidRPr="00CD2586">
        <w:rPr>
          <w:rFonts w:eastAsia="Times New Roman"/>
          <w:lang w:val="en-US"/>
        </w:rPr>
        <w:t xml:space="preserve"> and the need to </w:t>
      </w:r>
      <w:r w:rsidRPr="00CD2586">
        <w:rPr>
          <w:rFonts w:eastAsia="Times New Roman"/>
          <w:i/>
          <w:iCs/>
          <w:lang w:val="en-US"/>
        </w:rPr>
        <w:t xml:space="preserve">“strengthen teachers and school principals” </w:t>
      </w:r>
      <w:r w:rsidRPr="00CD2586">
        <w:rPr>
          <w:rFonts w:eastAsia="Times New Roman"/>
          <w:lang w:val="en-US"/>
        </w:rPr>
        <w:t>(document excerpts). Finally, OECD recommends gradually increasing school autonomy while safeguarding equity, clarifying governance roles, and reinforcing local implementation capacity. It also calls for coherent frameworks linking teacher evaluation with professional learning, improving early childhood education</w:t>
      </w:r>
      <w:r w:rsidR="00CA62F8">
        <w:rPr>
          <w:rFonts w:eastAsia="Times New Roman"/>
          <w:lang w:val="en-US"/>
        </w:rPr>
        <w:t xml:space="preserve"> </w:t>
      </w:r>
      <w:r w:rsidRPr="00CD2586">
        <w:rPr>
          <w:rFonts w:eastAsia="Times New Roman"/>
          <w:lang w:val="en-US"/>
        </w:rPr>
        <w:t>—especially for children under four—</w:t>
      </w:r>
      <w:r w:rsidR="00CA62F8">
        <w:rPr>
          <w:rFonts w:eastAsia="Times New Roman"/>
          <w:lang w:val="en-US"/>
        </w:rPr>
        <w:t xml:space="preserve"> </w:t>
      </w:r>
      <w:r w:rsidRPr="00CD2586">
        <w:rPr>
          <w:rFonts w:eastAsia="Times New Roman"/>
          <w:lang w:val="en-US"/>
        </w:rPr>
        <w:t>and ensuring robust integration and monitoring of digital initiatives.</w:t>
      </w:r>
    </w:p>
    <w:p w14:paraId="72CEB2F9" w14:textId="5C1E00C1" w:rsidR="00451CC2" w:rsidRDefault="00451CC2" w:rsidP="00D31D31">
      <w:pPr>
        <w:rPr>
          <w:rFonts w:ascii="Times New Roman" w:eastAsia="Times New Roman" w:hAnsi="Times New Roman" w:cs="Times New Roman"/>
          <w:lang w:val="en-US"/>
        </w:rPr>
      </w:pPr>
      <w:r w:rsidRPr="00CD2586">
        <w:rPr>
          <w:rFonts w:eastAsia="Times New Roman"/>
          <w:lang w:val="en-US"/>
        </w:rPr>
        <w:t>Moreover, educational design can be further ameliorated through</w:t>
      </w:r>
      <w:r w:rsidRPr="00CD2586">
        <w:rPr>
          <w:rFonts w:eastAsia="Times New Roman"/>
          <w:b/>
          <w:bCs/>
          <w:lang w:val="en-US"/>
        </w:rPr>
        <w:t xml:space="preserve"> an extended network of Model and Experimental school</w:t>
      </w:r>
      <w:r w:rsidRPr="00CD2586">
        <w:rPr>
          <w:rFonts w:eastAsia="Times New Roman"/>
          <w:lang w:val="en-US"/>
        </w:rPr>
        <w:t xml:space="preserve"> </w:t>
      </w:r>
      <w:r w:rsidRPr="00CD2586">
        <w:rPr>
          <w:rFonts w:eastAsia="Times New Roman"/>
          <w:b/>
          <w:bCs/>
          <w:lang w:val="en-US"/>
        </w:rPr>
        <w:t xml:space="preserve">units </w:t>
      </w:r>
      <w:r w:rsidRPr="00CD2586">
        <w:rPr>
          <w:rFonts w:eastAsia="Times New Roman"/>
          <w:lang w:val="en-US"/>
        </w:rPr>
        <w:t>across the country, which operate as local centers of excellence for all students, regardless of socioeconomic background. During school year 2025-2026, the network has been expanded: by now, 13 Experimental Schools have already been established, as per a recent Ministerial Decision (OJ B/158255/10-12-2025). The planned expansion of the network of Model and Experimental Schools, through the establishment of thirteen (13) additional Experimental Schools</w:t>
      </w:r>
      <w:r w:rsidR="00CA62F8">
        <w:rPr>
          <w:rFonts w:eastAsia="Times New Roman"/>
          <w:lang w:val="en-US"/>
        </w:rPr>
        <w:t xml:space="preserve"> </w:t>
      </w:r>
      <w:r w:rsidRPr="00CD2586">
        <w:rPr>
          <w:rFonts w:eastAsia="Times New Roman"/>
          <w:lang w:val="en-US"/>
        </w:rPr>
        <w:t>—nine (9) of which will commence operation in the 2026–2027 school year and four (4) in the 2027–2028 school year—</w:t>
      </w:r>
      <w:r w:rsidR="00CA62F8">
        <w:rPr>
          <w:rFonts w:eastAsia="Times New Roman"/>
          <w:lang w:val="en-US"/>
        </w:rPr>
        <w:t xml:space="preserve"> </w:t>
      </w:r>
      <w:r w:rsidRPr="00CD2586">
        <w:rPr>
          <w:rFonts w:eastAsia="Times New Roman"/>
          <w:lang w:val="en-US"/>
        </w:rPr>
        <w:t xml:space="preserve">seeks to further consolidate and strengthen the presence of existing Experimental Schools across diverse regions of the country, at both primary and secondary levels of education. At the same time, it aims to extend the geographical coverage of the network to regions where no Experimental School has previously operated. During the 2025–2026 school year, the network of Public Onassis Schools comprises twelve (12) schools in operation (OJ </w:t>
      </w:r>
      <w:r w:rsidRPr="00CD2586">
        <w:rPr>
          <w:rFonts w:eastAsia="Times New Roman"/>
        </w:rPr>
        <w:t>Β</w:t>
      </w:r>
      <w:r w:rsidRPr="00CD2586">
        <w:rPr>
          <w:rFonts w:eastAsia="Times New Roman"/>
          <w:lang w:val="en-US"/>
        </w:rPr>
        <w:t>/167401/</w:t>
      </w:r>
      <w:r w:rsidRPr="00CD2586">
        <w:rPr>
          <w:rFonts w:eastAsia="Times New Roman"/>
        </w:rPr>
        <w:t>Δ</w:t>
      </w:r>
      <w:r w:rsidRPr="00CD2586">
        <w:rPr>
          <w:rFonts w:eastAsia="Times New Roman"/>
          <w:lang w:val="en-US"/>
        </w:rPr>
        <w:t>6/23-12-2025). The network is scheduled to expand further, reaching a total of twenty (20) schools in the 2026</w:t>
      </w:r>
      <w:r w:rsidR="00513645">
        <w:rPr>
          <w:rFonts w:eastAsia="Times New Roman"/>
          <w:lang w:val="en-US"/>
        </w:rPr>
        <w:t>-</w:t>
      </w:r>
      <w:r w:rsidRPr="00CD2586">
        <w:rPr>
          <w:rFonts w:eastAsia="Times New Roman"/>
          <w:lang w:val="en-US"/>
        </w:rPr>
        <w:t>2027 school year. The expansion of the network of Public Onassis Schools is intended to ensure the full implementation and completion of the network in line with the terms and strategic objectives of the donation, as stipulated in the relevant institutional framework, while also incorporating evidence and data derived from the network’s first year of operation.</w:t>
      </w:r>
    </w:p>
    <w:p w14:paraId="7EB4FDE1" w14:textId="77777777" w:rsidR="00451CC2" w:rsidRDefault="00451CC2" w:rsidP="00D31D31">
      <w:pPr>
        <w:rPr>
          <w:rFonts w:ascii="Times New Roman" w:eastAsia="Times New Roman" w:hAnsi="Times New Roman" w:cs="Times New Roman"/>
          <w:lang w:val="en-US"/>
        </w:rPr>
      </w:pPr>
      <w:r w:rsidRPr="00CD2586">
        <w:rPr>
          <w:rFonts w:eastAsia="Times New Roman"/>
          <w:lang w:val="en-US"/>
        </w:rPr>
        <w:t xml:space="preserve">The reform of the </w:t>
      </w:r>
      <w:r w:rsidRPr="00CD2586">
        <w:rPr>
          <w:rFonts w:eastAsia="Times New Roman"/>
          <w:b/>
          <w:bCs/>
          <w:lang w:val="en-US"/>
        </w:rPr>
        <w:t>all-day program</w:t>
      </w:r>
      <w:r w:rsidRPr="00CD2586">
        <w:rPr>
          <w:rFonts w:eastAsia="Times New Roman"/>
          <w:lang w:val="en-US"/>
        </w:rPr>
        <w:t xml:space="preserve"> aims at strengthening basic skills of students and at the same time facilitates the participation of parents in the labor market. The all-day program is operating in Primary Schools and Kindergartens throughout Greece.</w:t>
      </w:r>
    </w:p>
    <w:p w14:paraId="007C91A9" w14:textId="3639D750" w:rsidR="00451CC2" w:rsidRDefault="00451CC2" w:rsidP="00D31D31">
      <w:pPr>
        <w:rPr>
          <w:rFonts w:ascii="Times New Roman" w:eastAsia="Times New Roman" w:hAnsi="Times New Roman" w:cs="Times New Roman"/>
          <w:lang w:val="en-US"/>
        </w:rPr>
      </w:pPr>
      <w:r w:rsidRPr="00CD2586">
        <w:rPr>
          <w:rFonts w:eastAsia="Times New Roman"/>
          <w:b/>
          <w:bCs/>
          <w:lang w:val="en-US"/>
        </w:rPr>
        <w:t>Inclusive education</w:t>
      </w:r>
      <w:r w:rsidRPr="00CD2586">
        <w:rPr>
          <w:rFonts w:eastAsia="Times New Roman"/>
          <w:lang w:val="en-US"/>
        </w:rPr>
        <w:t xml:space="preserve">, spanning all levels and forms of learning, is a core pillar of the Greek National Strategy for the Rights of Persons with Disabilities. The establishment of 3,448 Inclusion Classes (OJ B’ 3955/23-7-2025) forms part of the Policy Framework for the Expansion and Strengthening of Inclusive Education Structures in Greece. The reform aims to enhance inclusive education, ensure early intervention, and address longstanding structural gaps across </w:t>
      </w:r>
      <w:r w:rsidRPr="00CD2586">
        <w:rPr>
          <w:rFonts w:eastAsia="Times New Roman"/>
          <w:lang w:val="en-US"/>
        </w:rPr>
        <w:lastRenderedPageBreak/>
        <w:t>all levels of schooling. As regards Human Resource Strengthening, under Article 127 of Law 5224/2025 and a respective Ministerial Decision on allocation (OJ B’ 4503/20-08-2025), a total of 1,200 new permanent positions are established, comprising 600 Psychologists and 600 Social Workers. These positions are intended to staff the Interdisciplinary Support Committees (EDY) operating within general and vocational education school units, thereby reinforcing multidisciplinary support at the school level. Additiona</w:t>
      </w:r>
      <w:r w:rsidR="00B913EE">
        <w:rPr>
          <w:rFonts w:eastAsia="Times New Roman"/>
          <w:lang w:val="en-US"/>
        </w:rPr>
        <w:t>l</w:t>
      </w:r>
      <w:r w:rsidRPr="00CD2586">
        <w:rPr>
          <w:rFonts w:eastAsia="Times New Roman"/>
          <w:lang w:val="en-US"/>
        </w:rPr>
        <w:t>ly, the establishment and formation of two (2) advisory</w:t>
      </w:r>
      <w:r w:rsidR="00820433">
        <w:rPr>
          <w:rFonts w:eastAsia="Times New Roman"/>
          <w:lang w:val="en-US"/>
        </w:rPr>
        <w:t>-</w:t>
      </w:r>
      <w:r w:rsidRPr="00CD2586">
        <w:rPr>
          <w:rFonts w:eastAsia="Times New Roman"/>
          <w:lang w:val="en-US"/>
        </w:rPr>
        <w:t>consultative committees has been put forth as follows: first, MD No. 63348/</w:t>
      </w:r>
      <w:r w:rsidRPr="00CD2586">
        <w:rPr>
          <w:rFonts w:eastAsia="Times New Roman"/>
        </w:rPr>
        <w:t>Δ</w:t>
      </w:r>
      <w:r w:rsidRPr="00CD2586">
        <w:rPr>
          <w:rFonts w:eastAsia="Times New Roman"/>
          <w:lang w:val="en-US"/>
        </w:rPr>
        <w:t>3/02-06-2025 entitled “Establishment and formation of an advisory</w:t>
      </w:r>
      <w:r w:rsidR="00820433">
        <w:rPr>
          <w:rFonts w:eastAsia="Times New Roman"/>
          <w:lang w:val="en-US"/>
        </w:rPr>
        <w:t>-</w:t>
      </w:r>
      <w:r w:rsidRPr="00CD2586">
        <w:rPr>
          <w:rFonts w:eastAsia="Times New Roman"/>
          <w:lang w:val="en-US"/>
        </w:rPr>
        <w:t>consultative committee for monitoring the physical accessibility for persons with disabilities of the educational and administrative structures of the Ministry of Education, Religious Affairs and Sports” led to the development and dissemination of a Physical Accessibility Guide to all school units across the country. Second, MD No. 63378/</w:t>
      </w:r>
      <w:r w:rsidRPr="00CD2586">
        <w:rPr>
          <w:rFonts w:eastAsia="Times New Roman"/>
        </w:rPr>
        <w:t>Δ</w:t>
      </w:r>
      <w:r w:rsidRPr="00CD2586">
        <w:rPr>
          <w:rFonts w:eastAsia="Times New Roman"/>
          <w:lang w:val="en-US"/>
        </w:rPr>
        <w:t>3/02-06-2025 entitled “Establishment and formation of an advisory</w:t>
      </w:r>
      <w:r w:rsidR="00820433">
        <w:rPr>
          <w:rFonts w:eastAsia="Times New Roman"/>
          <w:lang w:val="en-US"/>
        </w:rPr>
        <w:t>-</w:t>
      </w:r>
      <w:r w:rsidRPr="00CD2586">
        <w:rPr>
          <w:rFonts w:eastAsia="Times New Roman"/>
          <w:lang w:val="en-US"/>
        </w:rPr>
        <w:t xml:space="preserve">consultative committee for monitoring the electronic accessibility of educational material and websites, and determination of its operating rules” resulted to the relevant framework for digital accessibility. Additionally, following the completion of Phase II of the technical support programme entitled “Implementation of the European Child Guarantee – Promoting Inclusive Education in Greece”, which was funded by the European Union’s Technical Support Instrument (TSI) and implemented by the European Agency for Special Needs and Inclusive Education in cooperation with the European Commission, an “Inclusive Education Guide” has been developed and disseminated to all school units across the country. Last, the Institute of Educational Policy (IEP) has proceeded with the establishment of Working Groups, tasked with the updating and improvement of the operational framework governing educational structures and institutions of Special and Inclusive Education, specifically: Special Education School Units, Integration Classes, Parallel Support, Centers for Assessment, Counseling and Support, School Networks for Educational Support. The objective of this redesign is to advance inclusive education, in alignment with the international institutional framework and the National Strategy for the Rights of Persons with Disabilities 2024–2030. </w:t>
      </w:r>
    </w:p>
    <w:p w14:paraId="45ECA9AE" w14:textId="77777777" w:rsidR="00451CC2" w:rsidRDefault="00451CC2" w:rsidP="00D31D31">
      <w:pPr>
        <w:rPr>
          <w:rFonts w:ascii="Times New Roman" w:eastAsia="Times New Roman" w:hAnsi="Times New Roman" w:cs="Times New Roman"/>
          <w:lang w:val="en-US"/>
        </w:rPr>
      </w:pPr>
      <w:r w:rsidRPr="00451CC2">
        <w:rPr>
          <w:rFonts w:eastAsia="Calibri"/>
          <w:lang w:val="en-US"/>
        </w:rPr>
        <w:t xml:space="preserve">Regarding </w:t>
      </w:r>
      <w:r w:rsidRPr="00451CC2">
        <w:rPr>
          <w:rFonts w:eastAsia="Calibri"/>
          <w:b/>
          <w:lang w:val="en-US"/>
        </w:rPr>
        <w:t>RRP reform</w:t>
      </w:r>
      <w:r w:rsidRPr="00451CC2">
        <w:rPr>
          <w:rFonts w:eastAsia="Calibri"/>
          <w:lang w:val="en-US"/>
        </w:rPr>
        <w:t xml:space="preserve"> </w:t>
      </w:r>
      <w:r w:rsidRPr="001C0A4A">
        <w:rPr>
          <w:rFonts w:eastAsia="Calibri"/>
          <w:b/>
          <w:lang w:val="en-US"/>
        </w:rPr>
        <w:t>“</w:t>
      </w:r>
      <w:r w:rsidRPr="00451CC2">
        <w:rPr>
          <w:rFonts w:eastAsia="Calibri"/>
          <w:b/>
          <w:bCs/>
          <w:lang w:val="en-US"/>
        </w:rPr>
        <w:t xml:space="preserve">Upgrading Vocational Education and Training”, </w:t>
      </w:r>
      <w:r w:rsidRPr="00451CC2">
        <w:rPr>
          <w:rFonts w:eastAsia="Calibri"/>
          <w:bCs/>
          <w:lang w:val="en-US"/>
        </w:rPr>
        <w:t>t</w:t>
      </w:r>
      <w:r w:rsidRPr="00451CC2">
        <w:rPr>
          <w:lang w:val="en-US"/>
        </w:rPr>
        <w:t>he digital platform for</w:t>
      </w:r>
      <w:r w:rsidRPr="00CD2586">
        <w:rPr>
          <w:lang w:val="en-US"/>
        </w:rPr>
        <w:t xml:space="preserve"> the support of the governance system of </w:t>
      </w:r>
      <w:r w:rsidRPr="00451CC2">
        <w:rPr>
          <w:rFonts w:eastAsia="Calibri"/>
          <w:bCs/>
          <w:lang w:val="en-US"/>
        </w:rPr>
        <w:t>Vocational Education and Training and the upload of educational material</w:t>
      </w:r>
      <w:r w:rsidRPr="00CD2586">
        <w:rPr>
          <w:lang w:val="en-US"/>
        </w:rPr>
        <w:t xml:space="preserve"> </w:t>
      </w:r>
      <w:r w:rsidRPr="00451CC2">
        <w:rPr>
          <w:lang w:val="en-US"/>
        </w:rPr>
        <w:t>is expected</w:t>
      </w:r>
      <w:r w:rsidRPr="00CD2586">
        <w:rPr>
          <w:lang w:val="en-US"/>
        </w:rPr>
        <w:t xml:space="preserve"> </w:t>
      </w:r>
      <w:r w:rsidRPr="00451CC2">
        <w:rPr>
          <w:rFonts w:eastAsia="Calibri"/>
          <w:lang w:val="en-US"/>
        </w:rPr>
        <w:t>to be completed by Q2 2026. As regards the Digitization of EOPPEP, the implementation of the first action “Design and Development of EOPPEP</w:t>
      </w:r>
      <w:r w:rsidRPr="00451CC2">
        <w:rPr>
          <w:rFonts w:eastAsia="Calibri"/>
          <w:sz w:val="28"/>
          <w:lang w:val="en-US"/>
        </w:rPr>
        <w:t xml:space="preserve"> </w:t>
      </w:r>
      <w:r w:rsidRPr="00451CC2">
        <w:rPr>
          <w:rFonts w:eastAsia="Calibri"/>
          <w:lang w:val="en-US"/>
        </w:rPr>
        <w:t xml:space="preserve">Information Systems” is in progress. This action concerns the functional expansion of the existing data, document and process automation management infrastructure, the integration of existing IT infrastructures, the possibility of future integration of other project management software and the utilization of best practices and e-governance methodologies uniformly and horizontally across all EOPPEP services. Following an extension of the contract, it is expected to be completed by the end of Q2 2026. Moreover, the contract under Action 2 “EOPPEP technological equipment renewal” has been completed in Q1 2026. The Ministry is also promoting the development of curricula, training programmes, educational material, and the training of trainers for EPAL and SAEK through alternative funding sources. Lastly, the </w:t>
      </w:r>
      <w:r w:rsidRPr="00451CC2">
        <w:rPr>
          <w:rFonts w:eastAsia="Calibri"/>
          <w:b/>
          <w:lang w:val="en-US"/>
        </w:rPr>
        <w:t>s</w:t>
      </w:r>
      <w:r w:rsidRPr="00451CC2">
        <w:rPr>
          <w:rFonts w:eastAsia="Calibri"/>
          <w:b/>
          <w:bCs/>
          <w:lang w:val="en-US"/>
        </w:rPr>
        <w:t>upply of laboratory equipment</w:t>
      </w:r>
      <w:r w:rsidRPr="00451CC2">
        <w:rPr>
          <w:rFonts w:eastAsia="Calibri"/>
          <w:lang w:val="en-US"/>
        </w:rPr>
        <w:t xml:space="preserve"> for Laboratory Centers for SAEK, EPAL, Post-Secondary Year-Apprenticeship Class and Vocational Training Schools (VET) has been completed since July 2025. </w:t>
      </w:r>
    </w:p>
    <w:p w14:paraId="23365546" w14:textId="77777777" w:rsidR="00451CC2" w:rsidRDefault="00451CC2" w:rsidP="007C14DD">
      <w:pPr>
        <w:rPr>
          <w:rFonts w:ascii="Times New Roman" w:eastAsia="Times New Roman" w:hAnsi="Times New Roman" w:cs="Times New Roman"/>
          <w:lang w:val="en-US"/>
        </w:rPr>
      </w:pPr>
      <w:r w:rsidRPr="00451CC2">
        <w:rPr>
          <w:rFonts w:eastAsia="Calibri"/>
          <w:lang w:val="en-US"/>
        </w:rPr>
        <w:t xml:space="preserve">To develop a robust and outgoing Greek economy over the long run, the </w:t>
      </w:r>
      <w:r w:rsidRPr="00451CC2">
        <w:rPr>
          <w:rFonts w:eastAsia="Calibri"/>
          <w:b/>
          <w:bCs/>
          <w:lang w:val="en-US"/>
        </w:rPr>
        <w:t>“Digital Transformation of Education”</w:t>
      </w:r>
      <w:r w:rsidRPr="00451CC2">
        <w:rPr>
          <w:rFonts w:eastAsia="Calibri"/>
          <w:lang w:val="en-US"/>
        </w:rPr>
        <w:t xml:space="preserve"> </w:t>
      </w:r>
      <w:r w:rsidRPr="00451CC2">
        <w:rPr>
          <w:rFonts w:eastAsia="Calibri"/>
          <w:b/>
          <w:lang w:val="en-US"/>
        </w:rPr>
        <w:t>RRF investment</w:t>
      </w:r>
      <w:r w:rsidRPr="00451CC2">
        <w:rPr>
          <w:rFonts w:eastAsia="Calibri"/>
          <w:lang w:val="en-US"/>
        </w:rPr>
        <w:t xml:space="preserve"> seeks to establish an inclusive digital </w:t>
      </w:r>
      <w:r w:rsidRPr="00451CC2">
        <w:rPr>
          <w:rFonts w:eastAsia="Calibri"/>
          <w:lang w:val="en-US"/>
        </w:rPr>
        <w:lastRenderedPageBreak/>
        <w:t xml:space="preserve">educational paradigm in the country. The content of the investment is particularly rich (Digital content and digital equipment in schools, professional development of schoolteachers and digital services in schools and universities) and aims to support the cultivation of digital skills in all schools, from Grade 5 and up. </w:t>
      </w:r>
      <w:r w:rsidR="00F84539" w:rsidRPr="00F84539">
        <w:rPr>
          <w:rFonts w:eastAsia="Calibri"/>
          <w:lang w:val="en-US"/>
        </w:rPr>
        <w:t>The Digital Tutoring Platform is a nationwide initiative that provides free, high-quality online educational support to students, with a strong focus on preparing candidates for national exams and ensuring equal access to learning regardless of location. Since its launch, it has recorded 308,043 users, including 162,243 active users from September 2025 to today. The programme currently involves 81 educators, delivering 477 hours of teaching per month across 45 subjects. These figures reflect significant progress in expanding access to education and strengthening digital learning in Greece.</w:t>
      </w:r>
      <w:r w:rsidRPr="00451CC2">
        <w:rPr>
          <w:rFonts w:eastAsia="Calibri"/>
          <w:lang w:val="en-US"/>
        </w:rPr>
        <w:t xml:space="preserve"> The implementation of the transformation of educational content into open source digital environments (Sub 1 of Measure 16676) is under way. Under Sub 3, 36,200 interactive learning systems (an interactive touch screen and a computer with educational software for lesson design and presentation) have already been installed in 6,899 school units and 2,900 additional interactive systems will be delivered by the end of June 2026. Furthermore, Sub 4 “Digital Access / Voucher for digital equipment for the development of students’ digital skills and competences” has been completed. Under Sub 5, a total of 177,100 robotics and STEM sets have been finally received by 11,146 schools, marking 100% completion of the items foreseen in the project. In the frame of Sub 6, a total of 16,800 technological and other tools for students with disabilities or special educational needs have been delivered to 455 schools and the project has been completed. Last, Subs 7 “Development of Innovation Centres in 13 Regional Directorates”, 8 “Teacher Training Actions”, 9 “e-Schools” and 10 “e-University” are under implementation. </w:t>
      </w:r>
    </w:p>
    <w:p w14:paraId="7672344B" w14:textId="77777777" w:rsidR="00451CC2" w:rsidRPr="00451CC2" w:rsidRDefault="00451CC2" w:rsidP="007C14DD">
      <w:pPr>
        <w:rPr>
          <w:rFonts w:eastAsia="Calibri"/>
          <w:lang w:val="en-US"/>
        </w:rPr>
      </w:pPr>
      <w:r w:rsidRPr="00451CC2">
        <w:rPr>
          <w:rFonts w:eastAsia="Calibri"/>
          <w:lang w:val="en-US"/>
        </w:rPr>
        <w:t xml:space="preserve">The government is investing in school infrastructure to ensure safe and modern classrooms and facilities through the </w:t>
      </w:r>
      <w:r w:rsidRPr="00451CC2">
        <w:rPr>
          <w:rFonts w:eastAsia="Calibri"/>
          <w:b/>
          <w:bCs/>
          <w:lang w:val="en-US"/>
        </w:rPr>
        <w:t xml:space="preserve">"Marietta </w:t>
      </w:r>
      <w:proofErr w:type="spellStart"/>
      <w:r w:rsidRPr="00451CC2">
        <w:rPr>
          <w:rFonts w:eastAsia="Calibri"/>
          <w:b/>
          <w:bCs/>
          <w:lang w:val="en-US"/>
        </w:rPr>
        <w:t>Giannakou</w:t>
      </w:r>
      <w:proofErr w:type="spellEnd"/>
      <w:r w:rsidRPr="00451CC2">
        <w:rPr>
          <w:rFonts w:eastAsia="Calibri"/>
          <w:b/>
          <w:bCs/>
          <w:lang w:val="en-US"/>
        </w:rPr>
        <w:t>"</w:t>
      </w:r>
      <w:r w:rsidRPr="00451CC2">
        <w:rPr>
          <w:rFonts w:eastAsia="Calibri"/>
          <w:lang w:val="en-US"/>
        </w:rPr>
        <w:t xml:space="preserve"> programme for the upgrading and renovation of school buildings that meet modern functionality and accessibility requirements. Phase A of the School Buildings Renovation Program "Marietta </w:t>
      </w:r>
      <w:proofErr w:type="spellStart"/>
      <w:r w:rsidRPr="00451CC2">
        <w:rPr>
          <w:rFonts w:eastAsia="Calibri"/>
          <w:lang w:val="en-US"/>
        </w:rPr>
        <w:t>Giannakou</w:t>
      </w:r>
      <w:proofErr w:type="spellEnd"/>
      <w:r w:rsidRPr="00451CC2">
        <w:rPr>
          <w:rFonts w:eastAsia="Calibri"/>
          <w:lang w:val="en-US"/>
        </w:rPr>
        <w:t xml:space="preserve">," which concerned 431 school units in 245 Municipalities across all 13 Regions of the country, has been completed according to the established timeline for this initiative. The works in these schools include aesthetic and functional interventions, renovations of athletic spaces, as well as accessibility works. The programme has now entered Phase B, in the framework of which, the needs have been recorded and prioritized by the municipal authorities. The total budget for a four-year period for the renovation of approximately 2,000 school units will amount to €650 million. </w:t>
      </w:r>
    </w:p>
    <w:p w14:paraId="164D2798" w14:textId="77777777" w:rsidR="006E668D" w:rsidRPr="007A373B" w:rsidRDefault="00451CC2" w:rsidP="007C14DD">
      <w:pPr>
        <w:rPr>
          <w:rFonts w:eastAsia="Calibri"/>
          <w:lang w:val="en-US"/>
        </w:rPr>
      </w:pPr>
      <w:r w:rsidRPr="00451CC2">
        <w:rPr>
          <w:rFonts w:eastAsia="Calibri"/>
          <w:lang w:val="en-US"/>
        </w:rPr>
        <w:t xml:space="preserve">The construction of Student Residencies in major Greek universities for Greek and foreign students is a flagship project, which will be mainly carried out in the form of Public-Private Partnerships. This initiative refers to 6 student residence development projects with 8,609 beds for students in Thrace, Thessaly, Crete, West Macedonia and Attica and with a budget exceeding €730 million (including VAT). During the current year, the contracts for the design, financing, construction, maintenance and technical management of student residences with a total capacity of 1.463 beds in </w:t>
      </w:r>
      <w:proofErr w:type="spellStart"/>
      <w:r w:rsidRPr="00451CC2">
        <w:rPr>
          <w:rFonts w:eastAsia="Calibri"/>
          <w:lang w:val="en-US"/>
        </w:rPr>
        <w:t>Dimokritus</w:t>
      </w:r>
      <w:proofErr w:type="spellEnd"/>
      <w:r w:rsidRPr="00451CC2">
        <w:rPr>
          <w:rFonts w:eastAsia="Calibri"/>
          <w:lang w:val="en-US"/>
        </w:rPr>
        <w:t xml:space="preserve"> University of Thrace and in University of Thessaly will be signed. Moreover, the development projects for University of Western Macedonia and for University of West Attica are in progress. For the first one, a provisional contractor will be appointed the first semester of 2026 and for the second the </w:t>
      </w:r>
      <w:r w:rsidRPr="00CD2586">
        <w:rPr>
          <w:rFonts w:eastAsia="Calibri"/>
          <w:lang w:val="en-US"/>
        </w:rPr>
        <w:t>tender procedure</w:t>
      </w:r>
      <w:r w:rsidRPr="00451CC2">
        <w:rPr>
          <w:rFonts w:eastAsia="Calibri"/>
          <w:lang w:val="en-US"/>
        </w:rPr>
        <w:t xml:space="preserve"> started on 10th of February. Lastly, the construction for University of Crete will be completed till the end of 2028. </w:t>
      </w:r>
    </w:p>
    <w:p w14:paraId="28F4BFEC" w14:textId="77777777" w:rsidR="00451CC2" w:rsidRPr="006E668D" w:rsidRDefault="006E668D" w:rsidP="0025508C">
      <w:pPr>
        <w:pStyle w:val="Heading2"/>
        <w:pBdr>
          <w:bottom w:val="single" w:sz="4" w:space="1" w:color="4F81BD" w:themeColor="accent1"/>
        </w:pBdr>
        <w:spacing w:before="960"/>
        <w:rPr>
          <w:rFonts w:eastAsia="Calibri"/>
          <w:sz w:val="36"/>
          <w:lang w:val="en-US"/>
        </w:rPr>
      </w:pPr>
      <w:bookmarkStart w:id="47" w:name="_Toc227932497"/>
      <w:bookmarkStart w:id="48" w:name="_Toc228279090"/>
      <w:r>
        <w:rPr>
          <w:rFonts w:eastAsia="Calibri"/>
          <w:sz w:val="36"/>
          <w:lang w:val="en-US"/>
        </w:rPr>
        <w:lastRenderedPageBreak/>
        <w:t>M</w:t>
      </w:r>
      <w:r w:rsidRPr="006E668D">
        <w:rPr>
          <w:rFonts w:eastAsia="Calibri"/>
          <w:sz w:val="36"/>
          <w:lang w:val="en-US"/>
        </w:rPr>
        <w:t xml:space="preserve">inistry of </w:t>
      </w:r>
      <w:r>
        <w:rPr>
          <w:rFonts w:eastAsia="Calibri"/>
          <w:sz w:val="36"/>
          <w:lang w:val="en-US"/>
        </w:rPr>
        <w:t>H</w:t>
      </w:r>
      <w:r w:rsidRPr="006E668D">
        <w:rPr>
          <w:rFonts w:eastAsia="Calibri"/>
          <w:sz w:val="36"/>
          <w:lang w:val="en-US"/>
        </w:rPr>
        <w:t>ealth</w:t>
      </w:r>
      <w:bookmarkEnd w:id="47"/>
      <w:bookmarkEnd w:id="48"/>
    </w:p>
    <w:tbl>
      <w:tblPr>
        <w:tblW w:w="8902" w:type="dxa"/>
        <w:jc w:val="center"/>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Layout w:type="fixed"/>
        <w:tblLook w:val="0600" w:firstRow="0" w:lastRow="0" w:firstColumn="0" w:lastColumn="0" w:noHBand="1" w:noVBand="1"/>
      </w:tblPr>
      <w:tblGrid>
        <w:gridCol w:w="3012"/>
        <w:gridCol w:w="1348"/>
        <w:gridCol w:w="1633"/>
        <w:gridCol w:w="1689"/>
        <w:gridCol w:w="1220"/>
      </w:tblGrid>
      <w:tr w:rsidR="00451CC2" w:rsidRPr="008A7CB8" w14:paraId="02BD6079" w14:textId="77777777" w:rsidTr="0025508C">
        <w:trPr>
          <w:trHeight w:val="170"/>
          <w:jc w:val="center"/>
        </w:trPr>
        <w:tc>
          <w:tcPr>
            <w:tcW w:w="3165" w:type="dxa"/>
            <w:shd w:val="clear" w:color="auto" w:fill="CFE2F3"/>
            <w:tcMar>
              <w:top w:w="0" w:type="dxa"/>
              <w:left w:w="100" w:type="dxa"/>
              <w:bottom w:w="0" w:type="dxa"/>
              <w:right w:w="100" w:type="dxa"/>
            </w:tcMar>
            <w:vAlign w:val="center"/>
          </w:tcPr>
          <w:p w14:paraId="50738212" w14:textId="77777777" w:rsidR="00451CC2" w:rsidRPr="008A7CB8" w:rsidRDefault="00451CC2" w:rsidP="008A7CB8">
            <w:pPr>
              <w:pStyle w:val="Tabletext"/>
              <w:rPr>
                <w:rFonts w:eastAsia="Calibri"/>
                <w:b/>
              </w:rPr>
            </w:pPr>
            <w:r w:rsidRPr="008A7CB8">
              <w:rPr>
                <w:rFonts w:eastAsia="Calibri"/>
                <w:b/>
              </w:rPr>
              <w:t>REFORM / INVESTMENT</w:t>
            </w:r>
          </w:p>
        </w:tc>
        <w:tc>
          <w:tcPr>
            <w:tcW w:w="1410" w:type="dxa"/>
            <w:shd w:val="clear" w:color="auto" w:fill="CFE2F3"/>
            <w:tcMar>
              <w:top w:w="0" w:type="dxa"/>
              <w:left w:w="100" w:type="dxa"/>
              <w:bottom w:w="0" w:type="dxa"/>
              <w:right w:w="100" w:type="dxa"/>
            </w:tcMar>
            <w:vAlign w:val="center"/>
          </w:tcPr>
          <w:p w14:paraId="7A51D55C" w14:textId="77777777" w:rsidR="00451CC2" w:rsidRPr="008A7CB8" w:rsidRDefault="00451CC2" w:rsidP="008A7CB8">
            <w:pPr>
              <w:pStyle w:val="Tabletext"/>
              <w:rPr>
                <w:rFonts w:eastAsia="Calibri"/>
                <w:b/>
              </w:rPr>
            </w:pPr>
            <w:r w:rsidRPr="008A7CB8">
              <w:rPr>
                <w:rFonts w:eastAsia="Calibri"/>
                <w:b/>
              </w:rPr>
              <w:t>RRF / MFF</w:t>
            </w:r>
          </w:p>
        </w:tc>
        <w:tc>
          <w:tcPr>
            <w:tcW w:w="1710" w:type="dxa"/>
            <w:shd w:val="clear" w:color="auto" w:fill="CFE2F3"/>
            <w:tcMar>
              <w:top w:w="0" w:type="dxa"/>
              <w:left w:w="100" w:type="dxa"/>
              <w:bottom w:w="0" w:type="dxa"/>
              <w:right w:w="100" w:type="dxa"/>
            </w:tcMar>
            <w:vAlign w:val="center"/>
          </w:tcPr>
          <w:p w14:paraId="30732F0C" w14:textId="77777777" w:rsidR="00451CC2" w:rsidRPr="008A7CB8" w:rsidRDefault="00451CC2" w:rsidP="008A7CB8">
            <w:pPr>
              <w:pStyle w:val="Tabletext"/>
              <w:rPr>
                <w:rFonts w:eastAsia="Calibri"/>
                <w:b/>
              </w:rPr>
            </w:pPr>
            <w:r w:rsidRPr="008A7CB8">
              <w:rPr>
                <w:rFonts w:eastAsia="Calibri"/>
                <w:b/>
              </w:rPr>
              <w:t>CSR</w:t>
            </w:r>
          </w:p>
        </w:tc>
        <w:tc>
          <w:tcPr>
            <w:tcW w:w="1770" w:type="dxa"/>
            <w:shd w:val="clear" w:color="auto" w:fill="CFE2F3"/>
            <w:tcMar>
              <w:top w:w="0" w:type="dxa"/>
              <w:left w:w="100" w:type="dxa"/>
              <w:bottom w:w="0" w:type="dxa"/>
              <w:right w:w="100" w:type="dxa"/>
            </w:tcMar>
            <w:vAlign w:val="center"/>
          </w:tcPr>
          <w:p w14:paraId="4DE0A651" w14:textId="77777777" w:rsidR="00451CC2" w:rsidRPr="008A7CB8" w:rsidRDefault="00451CC2" w:rsidP="008A7CB8">
            <w:pPr>
              <w:pStyle w:val="Tabletext"/>
              <w:rPr>
                <w:rFonts w:eastAsia="Calibri"/>
                <w:b/>
              </w:rPr>
            </w:pPr>
            <w:r w:rsidRPr="008A7CB8">
              <w:rPr>
                <w:rFonts w:eastAsia="Calibri"/>
                <w:b/>
              </w:rPr>
              <w:t>COMMON PRIORITIES</w:t>
            </w:r>
          </w:p>
        </w:tc>
        <w:tc>
          <w:tcPr>
            <w:tcW w:w="1275" w:type="dxa"/>
            <w:shd w:val="clear" w:color="auto" w:fill="CFE2F3"/>
            <w:tcMar>
              <w:top w:w="0" w:type="dxa"/>
              <w:left w:w="100" w:type="dxa"/>
              <w:bottom w:w="0" w:type="dxa"/>
              <w:right w:w="100" w:type="dxa"/>
            </w:tcMar>
            <w:vAlign w:val="center"/>
          </w:tcPr>
          <w:p w14:paraId="3E594BCA" w14:textId="77777777" w:rsidR="00451CC2" w:rsidRPr="008A7CB8" w:rsidRDefault="00451CC2" w:rsidP="008A7CB8">
            <w:pPr>
              <w:pStyle w:val="Tabletext"/>
              <w:rPr>
                <w:rFonts w:eastAsia="Calibri"/>
                <w:b/>
              </w:rPr>
            </w:pPr>
            <w:r w:rsidRPr="008A7CB8">
              <w:rPr>
                <w:rFonts w:eastAsia="Calibri"/>
                <w:b/>
              </w:rPr>
              <w:t>On-track status</w:t>
            </w:r>
          </w:p>
        </w:tc>
      </w:tr>
      <w:tr w:rsidR="00451CC2" w:rsidRPr="008A7CB8" w14:paraId="0D6F3EB3" w14:textId="77777777" w:rsidTr="0025508C">
        <w:trPr>
          <w:trHeight w:val="170"/>
          <w:jc w:val="center"/>
        </w:trPr>
        <w:tc>
          <w:tcPr>
            <w:tcW w:w="3165" w:type="dxa"/>
            <w:tcMar>
              <w:top w:w="0" w:type="dxa"/>
              <w:left w:w="40" w:type="dxa"/>
              <w:bottom w:w="0" w:type="dxa"/>
              <w:right w:w="40" w:type="dxa"/>
            </w:tcMar>
            <w:vAlign w:val="center"/>
          </w:tcPr>
          <w:p w14:paraId="362ABE80" w14:textId="77777777" w:rsidR="00451CC2" w:rsidRPr="008A7CB8" w:rsidRDefault="00540671" w:rsidP="008A7CB8">
            <w:pPr>
              <w:pStyle w:val="Tabletext"/>
              <w:rPr>
                <w:rFonts w:eastAsia="Calibri"/>
              </w:rPr>
            </w:pPr>
            <w:r w:rsidRPr="00540671">
              <w:rPr>
                <w:rFonts w:eastAsia="Calibri"/>
                <w:b/>
              </w:rPr>
              <w:t>REFORM 1:</w:t>
            </w:r>
            <w:r w:rsidR="00451CC2" w:rsidRPr="008A7CB8">
              <w:rPr>
                <w:rFonts w:eastAsia="Calibri"/>
              </w:rPr>
              <w:t xml:space="preserve"> Implementation of the National Public Health Prevention Program "Spiros </w:t>
            </w:r>
            <w:proofErr w:type="spellStart"/>
            <w:r w:rsidR="00451CC2" w:rsidRPr="008A7CB8">
              <w:rPr>
                <w:rFonts w:eastAsia="Calibri"/>
              </w:rPr>
              <w:t>Doxiadis</w:t>
            </w:r>
            <w:proofErr w:type="spellEnd"/>
            <w:r w:rsidR="00451CC2" w:rsidRPr="008A7CB8">
              <w:rPr>
                <w:rFonts w:eastAsia="Calibri"/>
              </w:rPr>
              <w:t>" (NPP "SD")</w:t>
            </w:r>
          </w:p>
        </w:tc>
        <w:tc>
          <w:tcPr>
            <w:tcW w:w="1410" w:type="dxa"/>
            <w:tcMar>
              <w:top w:w="0" w:type="dxa"/>
              <w:left w:w="40" w:type="dxa"/>
              <w:bottom w:w="0" w:type="dxa"/>
              <w:right w:w="40" w:type="dxa"/>
            </w:tcMar>
            <w:vAlign w:val="center"/>
          </w:tcPr>
          <w:p w14:paraId="20DB055A" w14:textId="77777777" w:rsidR="00451CC2" w:rsidRPr="008A7CB8" w:rsidRDefault="00451CC2" w:rsidP="008A7CB8">
            <w:pPr>
              <w:pStyle w:val="Tabletext"/>
              <w:rPr>
                <w:rFonts w:eastAsia="Calibri"/>
              </w:rPr>
            </w:pPr>
            <w:r w:rsidRPr="008A7CB8">
              <w:rPr>
                <w:rFonts w:eastAsia="Calibri"/>
              </w:rPr>
              <w:t>RRF 16783</w:t>
            </w:r>
          </w:p>
        </w:tc>
        <w:tc>
          <w:tcPr>
            <w:tcW w:w="1710" w:type="dxa"/>
            <w:tcMar>
              <w:top w:w="0" w:type="dxa"/>
              <w:left w:w="40" w:type="dxa"/>
              <w:bottom w:w="0" w:type="dxa"/>
              <w:right w:w="40" w:type="dxa"/>
            </w:tcMar>
            <w:vAlign w:val="center"/>
          </w:tcPr>
          <w:p w14:paraId="0D6917CE" w14:textId="77777777" w:rsidR="00451CC2" w:rsidRPr="008A7CB8" w:rsidRDefault="00451CC2" w:rsidP="008A7CB8">
            <w:pPr>
              <w:pStyle w:val="Tabletext"/>
              <w:rPr>
                <w:rFonts w:eastAsia="Calibri"/>
              </w:rPr>
            </w:pPr>
            <w:r w:rsidRPr="008A7CB8">
              <w:rPr>
                <w:rFonts w:eastAsia="Calibri"/>
              </w:rPr>
              <w:t>2024.CSR2.1</w:t>
            </w:r>
            <w:r w:rsidRPr="008A7CB8">
              <w:rPr>
                <w:rFonts w:eastAsia="Calibri"/>
              </w:rPr>
              <w:br/>
              <w:t>2020.CSR1.2</w:t>
            </w:r>
            <w:r w:rsidRPr="008A7CB8">
              <w:rPr>
                <w:rFonts w:eastAsia="Calibri"/>
              </w:rPr>
              <w:br/>
              <w:t>2020.CSR1.3</w:t>
            </w:r>
            <w:r w:rsidRPr="008A7CB8">
              <w:rPr>
                <w:rFonts w:eastAsia="Calibri"/>
              </w:rPr>
              <w:br/>
              <w:t>2020.CSR3.9</w:t>
            </w:r>
            <w:r w:rsidRPr="008A7CB8">
              <w:rPr>
                <w:rFonts w:eastAsia="Calibri"/>
              </w:rPr>
              <w:br/>
              <w:t>2019.CSR2.8</w:t>
            </w:r>
          </w:p>
        </w:tc>
        <w:tc>
          <w:tcPr>
            <w:tcW w:w="1770" w:type="dxa"/>
            <w:tcMar>
              <w:top w:w="0" w:type="dxa"/>
              <w:left w:w="40" w:type="dxa"/>
              <w:bottom w:w="0" w:type="dxa"/>
              <w:right w:w="40" w:type="dxa"/>
            </w:tcMar>
            <w:vAlign w:val="center"/>
          </w:tcPr>
          <w:p w14:paraId="13C2DF9A" w14:textId="77777777" w:rsidR="00451CC2" w:rsidRPr="008A7CB8" w:rsidRDefault="00451CC2" w:rsidP="008A7CB8">
            <w:pPr>
              <w:pStyle w:val="Tabletext"/>
              <w:rPr>
                <w:rFonts w:eastAsia="Calibri"/>
              </w:rPr>
            </w:pPr>
            <w:r w:rsidRPr="008A7CB8">
              <w:rPr>
                <w:rFonts w:eastAsia="Calibri"/>
              </w:rPr>
              <w:t>Social and Economic resilience</w:t>
            </w:r>
          </w:p>
        </w:tc>
        <w:tc>
          <w:tcPr>
            <w:tcW w:w="1275" w:type="dxa"/>
            <w:tcMar>
              <w:top w:w="0" w:type="dxa"/>
              <w:left w:w="40" w:type="dxa"/>
              <w:bottom w:w="0" w:type="dxa"/>
              <w:right w:w="40" w:type="dxa"/>
            </w:tcMar>
            <w:vAlign w:val="center"/>
          </w:tcPr>
          <w:p w14:paraId="3608DF67" w14:textId="77777777" w:rsidR="00451CC2" w:rsidRPr="008A7CB8" w:rsidRDefault="00451CC2" w:rsidP="008A7CB8">
            <w:pPr>
              <w:pStyle w:val="Tabletext"/>
              <w:rPr>
                <w:rFonts w:eastAsia="Calibri"/>
                <w:highlight w:val="white"/>
              </w:rPr>
            </w:pPr>
            <w:r w:rsidRPr="008A7CB8">
              <w:rPr>
                <w:rFonts w:eastAsia="Calibri"/>
                <w:highlight w:val="white"/>
              </w:rPr>
              <w:t>On track</w:t>
            </w:r>
          </w:p>
        </w:tc>
      </w:tr>
      <w:tr w:rsidR="00451CC2" w:rsidRPr="008A7CB8" w14:paraId="1A453EBD" w14:textId="77777777" w:rsidTr="0025508C">
        <w:trPr>
          <w:trHeight w:val="170"/>
          <w:jc w:val="center"/>
        </w:trPr>
        <w:tc>
          <w:tcPr>
            <w:tcW w:w="3165" w:type="dxa"/>
            <w:tcMar>
              <w:top w:w="0" w:type="dxa"/>
              <w:left w:w="40" w:type="dxa"/>
              <w:bottom w:w="0" w:type="dxa"/>
              <w:right w:w="40" w:type="dxa"/>
            </w:tcMar>
            <w:vAlign w:val="center"/>
          </w:tcPr>
          <w:p w14:paraId="7FC5090E" w14:textId="77777777" w:rsidR="00451CC2" w:rsidRPr="008A7CB8" w:rsidRDefault="00540671" w:rsidP="008A7CB8">
            <w:pPr>
              <w:pStyle w:val="Tabletext"/>
              <w:rPr>
                <w:rFonts w:eastAsia="Calibri"/>
              </w:rPr>
            </w:pPr>
            <w:r w:rsidRPr="00540671">
              <w:rPr>
                <w:rFonts w:eastAsia="Calibri"/>
                <w:b/>
              </w:rPr>
              <w:t>REFORM 2:</w:t>
            </w:r>
            <w:r w:rsidR="00451CC2" w:rsidRPr="008A7CB8">
              <w:rPr>
                <w:rFonts w:eastAsia="Calibri"/>
              </w:rPr>
              <w:t xml:space="preserve"> Completion of Psychiatric Reform</w:t>
            </w:r>
          </w:p>
        </w:tc>
        <w:tc>
          <w:tcPr>
            <w:tcW w:w="1410" w:type="dxa"/>
            <w:tcMar>
              <w:top w:w="0" w:type="dxa"/>
              <w:left w:w="40" w:type="dxa"/>
              <w:bottom w:w="0" w:type="dxa"/>
              <w:right w:w="40" w:type="dxa"/>
            </w:tcMar>
            <w:vAlign w:val="center"/>
          </w:tcPr>
          <w:p w14:paraId="44F9487C" w14:textId="77777777" w:rsidR="00451CC2" w:rsidRPr="008A7CB8" w:rsidRDefault="00451CC2" w:rsidP="008A7CB8">
            <w:pPr>
              <w:pStyle w:val="Tabletext"/>
              <w:rPr>
                <w:rFonts w:eastAsia="Calibri"/>
              </w:rPr>
            </w:pPr>
            <w:r w:rsidRPr="008A7CB8">
              <w:rPr>
                <w:rFonts w:eastAsia="Calibri"/>
              </w:rPr>
              <w:t>MFF</w:t>
            </w:r>
          </w:p>
        </w:tc>
        <w:tc>
          <w:tcPr>
            <w:tcW w:w="1710" w:type="dxa"/>
            <w:tcMar>
              <w:top w:w="0" w:type="dxa"/>
              <w:left w:w="40" w:type="dxa"/>
              <w:bottom w:w="0" w:type="dxa"/>
              <w:right w:w="40" w:type="dxa"/>
            </w:tcMar>
            <w:vAlign w:val="center"/>
          </w:tcPr>
          <w:p w14:paraId="2A5E9431" w14:textId="77777777" w:rsidR="00451CC2" w:rsidRPr="008A7CB8" w:rsidRDefault="00451CC2" w:rsidP="008A7CB8">
            <w:pPr>
              <w:pStyle w:val="Tabletext"/>
              <w:rPr>
                <w:rFonts w:eastAsia="Calibri"/>
              </w:rPr>
            </w:pPr>
            <w:r w:rsidRPr="008A7CB8">
              <w:rPr>
                <w:rFonts w:eastAsia="Calibri"/>
              </w:rPr>
              <w:t>2020.CSR1.2</w:t>
            </w:r>
            <w:r w:rsidRPr="008A7CB8">
              <w:rPr>
                <w:rFonts w:eastAsia="Calibri"/>
              </w:rPr>
              <w:br/>
              <w:t>2020.CSR1.3</w:t>
            </w:r>
            <w:r w:rsidRPr="008A7CB8">
              <w:rPr>
                <w:rFonts w:eastAsia="Calibri"/>
              </w:rPr>
              <w:br/>
              <w:t>2019.CSR2.8</w:t>
            </w:r>
          </w:p>
        </w:tc>
        <w:tc>
          <w:tcPr>
            <w:tcW w:w="1770" w:type="dxa"/>
            <w:tcMar>
              <w:top w:w="0" w:type="dxa"/>
              <w:left w:w="40" w:type="dxa"/>
              <w:bottom w:w="0" w:type="dxa"/>
              <w:right w:w="40" w:type="dxa"/>
            </w:tcMar>
            <w:vAlign w:val="center"/>
          </w:tcPr>
          <w:p w14:paraId="0967D8CC" w14:textId="77777777" w:rsidR="00451CC2" w:rsidRPr="008A7CB8" w:rsidRDefault="00451CC2" w:rsidP="008A7CB8">
            <w:pPr>
              <w:pStyle w:val="Tabletext"/>
              <w:rPr>
                <w:rFonts w:eastAsia="Calibri"/>
              </w:rPr>
            </w:pPr>
            <w:r w:rsidRPr="008A7CB8">
              <w:rPr>
                <w:rFonts w:eastAsia="Calibri"/>
              </w:rPr>
              <w:t>Social and Economic resilience</w:t>
            </w:r>
          </w:p>
        </w:tc>
        <w:tc>
          <w:tcPr>
            <w:tcW w:w="1275" w:type="dxa"/>
            <w:tcMar>
              <w:top w:w="0" w:type="dxa"/>
              <w:left w:w="40" w:type="dxa"/>
              <w:bottom w:w="0" w:type="dxa"/>
              <w:right w:w="40" w:type="dxa"/>
            </w:tcMar>
            <w:vAlign w:val="center"/>
          </w:tcPr>
          <w:p w14:paraId="6FF4B80A" w14:textId="77777777" w:rsidR="00451CC2" w:rsidRPr="008A7CB8" w:rsidRDefault="00451CC2" w:rsidP="008A7CB8">
            <w:pPr>
              <w:pStyle w:val="Tabletext"/>
              <w:rPr>
                <w:rFonts w:eastAsia="Calibri"/>
                <w:highlight w:val="white"/>
              </w:rPr>
            </w:pPr>
            <w:r w:rsidRPr="008A7CB8">
              <w:rPr>
                <w:rFonts w:eastAsia="Calibri"/>
                <w:highlight w:val="white"/>
              </w:rPr>
              <w:t>On track</w:t>
            </w:r>
          </w:p>
        </w:tc>
      </w:tr>
      <w:tr w:rsidR="00451CC2" w:rsidRPr="008A7CB8" w14:paraId="1865618E" w14:textId="77777777" w:rsidTr="0025508C">
        <w:trPr>
          <w:trHeight w:val="170"/>
          <w:jc w:val="center"/>
        </w:trPr>
        <w:tc>
          <w:tcPr>
            <w:tcW w:w="3165" w:type="dxa"/>
            <w:tcMar>
              <w:top w:w="0" w:type="dxa"/>
              <w:left w:w="40" w:type="dxa"/>
              <w:bottom w:w="0" w:type="dxa"/>
              <w:right w:w="40" w:type="dxa"/>
            </w:tcMar>
            <w:vAlign w:val="center"/>
          </w:tcPr>
          <w:p w14:paraId="6D8489BC" w14:textId="77777777" w:rsidR="00451CC2" w:rsidRPr="008A7CB8" w:rsidRDefault="00540671" w:rsidP="008A7CB8">
            <w:pPr>
              <w:pStyle w:val="Tabletext"/>
              <w:rPr>
                <w:rFonts w:eastAsia="Calibri"/>
              </w:rPr>
            </w:pPr>
            <w:r w:rsidRPr="00540671">
              <w:rPr>
                <w:rFonts w:eastAsia="Calibri"/>
                <w:b/>
              </w:rPr>
              <w:t>REFORM 3:</w:t>
            </w:r>
            <w:r w:rsidR="00451CC2" w:rsidRPr="008A7CB8">
              <w:rPr>
                <w:rFonts w:eastAsia="Calibri"/>
              </w:rPr>
              <w:t xml:space="preserve"> Reform in the fields of mental health and addictions</w:t>
            </w:r>
          </w:p>
        </w:tc>
        <w:tc>
          <w:tcPr>
            <w:tcW w:w="1410" w:type="dxa"/>
            <w:tcMar>
              <w:top w:w="0" w:type="dxa"/>
              <w:left w:w="40" w:type="dxa"/>
              <w:bottom w:w="0" w:type="dxa"/>
              <w:right w:w="40" w:type="dxa"/>
            </w:tcMar>
            <w:vAlign w:val="center"/>
          </w:tcPr>
          <w:p w14:paraId="10A4F087" w14:textId="77777777" w:rsidR="00451CC2" w:rsidRPr="008A7CB8" w:rsidRDefault="00451CC2" w:rsidP="008A7CB8">
            <w:pPr>
              <w:pStyle w:val="Tabletext"/>
              <w:rPr>
                <w:rFonts w:eastAsia="Calibri"/>
              </w:rPr>
            </w:pPr>
            <w:r w:rsidRPr="008A7CB8">
              <w:rPr>
                <w:rFonts w:eastAsia="Calibri"/>
              </w:rPr>
              <w:t>RRF 16820</w:t>
            </w:r>
          </w:p>
          <w:p w14:paraId="22AC2F01" w14:textId="77777777" w:rsidR="00451CC2" w:rsidRPr="008A7CB8" w:rsidRDefault="00451CC2" w:rsidP="008A7CB8">
            <w:pPr>
              <w:pStyle w:val="Tabletext"/>
              <w:rPr>
                <w:rFonts w:eastAsia="Calibri"/>
              </w:rPr>
            </w:pPr>
            <w:r w:rsidRPr="008A7CB8">
              <w:rPr>
                <w:rFonts w:eastAsia="Calibri"/>
              </w:rPr>
              <w:t>MFF</w:t>
            </w:r>
          </w:p>
        </w:tc>
        <w:tc>
          <w:tcPr>
            <w:tcW w:w="1710" w:type="dxa"/>
            <w:tcMar>
              <w:top w:w="0" w:type="dxa"/>
              <w:left w:w="40" w:type="dxa"/>
              <w:bottom w:w="0" w:type="dxa"/>
              <w:right w:w="40" w:type="dxa"/>
            </w:tcMar>
            <w:vAlign w:val="center"/>
          </w:tcPr>
          <w:p w14:paraId="42940989" w14:textId="77777777" w:rsidR="00451CC2" w:rsidRPr="008A7CB8" w:rsidRDefault="00451CC2" w:rsidP="008A7CB8">
            <w:pPr>
              <w:pStyle w:val="Tabletext"/>
              <w:rPr>
                <w:rFonts w:eastAsia="Calibri"/>
              </w:rPr>
            </w:pPr>
            <w:r w:rsidRPr="008A7CB8">
              <w:rPr>
                <w:rFonts w:eastAsia="Calibri"/>
              </w:rPr>
              <w:t>2024.CSR2.1</w:t>
            </w:r>
          </w:p>
          <w:p w14:paraId="443EB43F" w14:textId="77777777" w:rsidR="00451CC2" w:rsidRPr="008A7CB8" w:rsidRDefault="00451CC2" w:rsidP="008A7CB8">
            <w:pPr>
              <w:pStyle w:val="Tabletext"/>
              <w:rPr>
                <w:rFonts w:eastAsia="Calibri"/>
              </w:rPr>
            </w:pPr>
            <w:r w:rsidRPr="008A7CB8">
              <w:rPr>
                <w:rFonts w:eastAsia="Calibri"/>
              </w:rPr>
              <w:t>2020.CSR1.2</w:t>
            </w:r>
            <w:r w:rsidRPr="008A7CB8">
              <w:rPr>
                <w:rFonts w:eastAsia="Calibri"/>
              </w:rPr>
              <w:br/>
              <w:t>2020.CSR1.3</w:t>
            </w:r>
            <w:r w:rsidRPr="008A7CB8">
              <w:rPr>
                <w:rFonts w:eastAsia="Calibri"/>
              </w:rPr>
              <w:br/>
              <w:t>2019.CSR2.8</w:t>
            </w:r>
          </w:p>
        </w:tc>
        <w:tc>
          <w:tcPr>
            <w:tcW w:w="1770" w:type="dxa"/>
            <w:tcMar>
              <w:top w:w="0" w:type="dxa"/>
              <w:left w:w="40" w:type="dxa"/>
              <w:bottom w:w="0" w:type="dxa"/>
              <w:right w:w="40" w:type="dxa"/>
            </w:tcMar>
            <w:vAlign w:val="center"/>
          </w:tcPr>
          <w:p w14:paraId="3495A8CF" w14:textId="77777777" w:rsidR="00451CC2" w:rsidRPr="008A7CB8" w:rsidRDefault="00451CC2" w:rsidP="008A7CB8">
            <w:pPr>
              <w:pStyle w:val="Tabletext"/>
              <w:rPr>
                <w:rFonts w:eastAsia="Calibri"/>
              </w:rPr>
            </w:pPr>
            <w:r w:rsidRPr="008A7CB8">
              <w:rPr>
                <w:rFonts w:eastAsia="Calibri"/>
              </w:rPr>
              <w:t>Social and Economic resilience</w:t>
            </w:r>
          </w:p>
        </w:tc>
        <w:tc>
          <w:tcPr>
            <w:tcW w:w="1275" w:type="dxa"/>
            <w:tcMar>
              <w:top w:w="0" w:type="dxa"/>
              <w:left w:w="40" w:type="dxa"/>
              <w:bottom w:w="0" w:type="dxa"/>
              <w:right w:w="40" w:type="dxa"/>
            </w:tcMar>
            <w:vAlign w:val="center"/>
          </w:tcPr>
          <w:p w14:paraId="6C79D175" w14:textId="77777777" w:rsidR="00451CC2" w:rsidRPr="008A7CB8" w:rsidRDefault="00451CC2" w:rsidP="008A7CB8">
            <w:pPr>
              <w:pStyle w:val="Tabletext"/>
              <w:rPr>
                <w:rFonts w:eastAsia="Calibri"/>
              </w:rPr>
            </w:pPr>
            <w:r w:rsidRPr="008A7CB8">
              <w:rPr>
                <w:rFonts w:eastAsia="Calibri"/>
              </w:rPr>
              <w:t>On track</w:t>
            </w:r>
          </w:p>
        </w:tc>
      </w:tr>
      <w:tr w:rsidR="00451CC2" w:rsidRPr="008A7CB8" w14:paraId="1C663343" w14:textId="77777777" w:rsidTr="0025508C">
        <w:trPr>
          <w:trHeight w:val="170"/>
          <w:jc w:val="center"/>
        </w:trPr>
        <w:tc>
          <w:tcPr>
            <w:tcW w:w="3165" w:type="dxa"/>
            <w:tcMar>
              <w:top w:w="0" w:type="dxa"/>
              <w:left w:w="40" w:type="dxa"/>
              <w:bottom w:w="0" w:type="dxa"/>
              <w:right w:w="40" w:type="dxa"/>
            </w:tcMar>
            <w:vAlign w:val="center"/>
          </w:tcPr>
          <w:p w14:paraId="045C355E" w14:textId="77777777" w:rsidR="00451CC2" w:rsidRPr="008A7CB8" w:rsidRDefault="00540671" w:rsidP="008A7CB8">
            <w:pPr>
              <w:pStyle w:val="Tabletext"/>
              <w:rPr>
                <w:rFonts w:eastAsia="Calibri"/>
              </w:rPr>
            </w:pPr>
            <w:r w:rsidRPr="00540671">
              <w:rPr>
                <w:rFonts w:eastAsia="Calibri"/>
                <w:b/>
              </w:rPr>
              <w:t>REFORM 4:</w:t>
            </w:r>
            <w:r w:rsidR="00451CC2" w:rsidRPr="008A7CB8">
              <w:rPr>
                <w:rFonts w:eastAsia="Calibri"/>
              </w:rPr>
              <w:t xml:space="preserve"> Personal doctor reform</w:t>
            </w:r>
          </w:p>
        </w:tc>
        <w:tc>
          <w:tcPr>
            <w:tcW w:w="1410" w:type="dxa"/>
            <w:tcMar>
              <w:top w:w="0" w:type="dxa"/>
              <w:left w:w="40" w:type="dxa"/>
              <w:bottom w:w="0" w:type="dxa"/>
              <w:right w:w="40" w:type="dxa"/>
            </w:tcMar>
            <w:vAlign w:val="center"/>
          </w:tcPr>
          <w:p w14:paraId="60781423" w14:textId="77777777" w:rsidR="00451CC2" w:rsidRPr="008A7CB8" w:rsidRDefault="00451CC2" w:rsidP="008A7CB8">
            <w:pPr>
              <w:pStyle w:val="Tabletext"/>
              <w:rPr>
                <w:rFonts w:eastAsia="Calibri"/>
              </w:rPr>
            </w:pPr>
            <w:r w:rsidRPr="008A7CB8">
              <w:rPr>
                <w:rFonts w:eastAsia="Calibri"/>
              </w:rPr>
              <w:t>RRF 16984</w:t>
            </w:r>
          </w:p>
        </w:tc>
        <w:tc>
          <w:tcPr>
            <w:tcW w:w="1710" w:type="dxa"/>
            <w:tcMar>
              <w:top w:w="0" w:type="dxa"/>
              <w:left w:w="40" w:type="dxa"/>
              <w:bottom w:w="0" w:type="dxa"/>
              <w:right w:w="40" w:type="dxa"/>
            </w:tcMar>
            <w:vAlign w:val="center"/>
          </w:tcPr>
          <w:p w14:paraId="79A97D5F" w14:textId="77777777" w:rsidR="00451CC2" w:rsidRPr="008A7CB8" w:rsidRDefault="00451CC2" w:rsidP="008A7CB8">
            <w:pPr>
              <w:pStyle w:val="Tabletext"/>
              <w:rPr>
                <w:rFonts w:eastAsia="Calibri"/>
              </w:rPr>
            </w:pPr>
            <w:r w:rsidRPr="008A7CB8">
              <w:rPr>
                <w:rFonts w:eastAsia="Calibri"/>
              </w:rPr>
              <w:t>2024.CSR2.1</w:t>
            </w:r>
            <w:r w:rsidRPr="008A7CB8">
              <w:rPr>
                <w:rFonts w:eastAsia="Calibri"/>
              </w:rPr>
              <w:br/>
              <w:t>2023.CSR3.1</w:t>
            </w:r>
            <w:r w:rsidRPr="008A7CB8">
              <w:rPr>
                <w:rFonts w:eastAsia="Calibri"/>
              </w:rPr>
              <w:br/>
              <w:t>2022.CSR3.1</w:t>
            </w:r>
            <w:r w:rsidRPr="008A7CB8">
              <w:rPr>
                <w:rFonts w:eastAsia="Calibri"/>
              </w:rPr>
              <w:br/>
              <w:t>2020.CSR1.2</w:t>
            </w:r>
            <w:r w:rsidRPr="008A7CB8">
              <w:rPr>
                <w:rFonts w:eastAsia="Calibri"/>
              </w:rPr>
              <w:br/>
              <w:t>2020.CSR1.3</w:t>
            </w:r>
            <w:r w:rsidRPr="008A7CB8">
              <w:rPr>
                <w:rFonts w:eastAsia="Calibri"/>
              </w:rPr>
              <w:br/>
              <w:t>2019.CSR2.8</w:t>
            </w:r>
          </w:p>
        </w:tc>
        <w:tc>
          <w:tcPr>
            <w:tcW w:w="1770" w:type="dxa"/>
            <w:tcMar>
              <w:top w:w="0" w:type="dxa"/>
              <w:left w:w="40" w:type="dxa"/>
              <w:bottom w:w="0" w:type="dxa"/>
              <w:right w:w="40" w:type="dxa"/>
            </w:tcMar>
            <w:vAlign w:val="center"/>
          </w:tcPr>
          <w:p w14:paraId="763B8C9C" w14:textId="77777777" w:rsidR="00451CC2" w:rsidRPr="008A7CB8" w:rsidRDefault="00451CC2" w:rsidP="008A7CB8">
            <w:pPr>
              <w:pStyle w:val="Tabletext"/>
              <w:rPr>
                <w:rFonts w:eastAsia="Calibri"/>
              </w:rPr>
            </w:pPr>
            <w:r w:rsidRPr="008A7CB8">
              <w:rPr>
                <w:rFonts w:eastAsia="Calibri"/>
              </w:rPr>
              <w:t>Social and Economic resilience</w:t>
            </w:r>
          </w:p>
        </w:tc>
        <w:tc>
          <w:tcPr>
            <w:tcW w:w="1275" w:type="dxa"/>
            <w:tcMar>
              <w:top w:w="0" w:type="dxa"/>
              <w:left w:w="40" w:type="dxa"/>
              <w:bottom w:w="0" w:type="dxa"/>
              <w:right w:w="40" w:type="dxa"/>
            </w:tcMar>
            <w:vAlign w:val="center"/>
          </w:tcPr>
          <w:p w14:paraId="658E3A79" w14:textId="77777777" w:rsidR="00451CC2" w:rsidRPr="008A7CB8" w:rsidRDefault="00451CC2" w:rsidP="008A7CB8">
            <w:pPr>
              <w:pStyle w:val="Tabletext"/>
              <w:rPr>
                <w:rFonts w:eastAsia="Calibri"/>
              </w:rPr>
            </w:pPr>
            <w:r w:rsidRPr="008A7CB8">
              <w:rPr>
                <w:rFonts w:eastAsia="Calibri"/>
              </w:rPr>
              <w:t>On track</w:t>
            </w:r>
          </w:p>
        </w:tc>
      </w:tr>
      <w:tr w:rsidR="00451CC2" w:rsidRPr="008A7CB8" w14:paraId="47756A95" w14:textId="77777777" w:rsidTr="0025508C">
        <w:trPr>
          <w:trHeight w:val="170"/>
          <w:jc w:val="center"/>
        </w:trPr>
        <w:tc>
          <w:tcPr>
            <w:tcW w:w="3165" w:type="dxa"/>
            <w:tcMar>
              <w:top w:w="0" w:type="dxa"/>
              <w:left w:w="40" w:type="dxa"/>
              <w:bottom w:w="0" w:type="dxa"/>
              <w:right w:w="40" w:type="dxa"/>
            </w:tcMar>
            <w:vAlign w:val="center"/>
          </w:tcPr>
          <w:p w14:paraId="17C95C1F" w14:textId="77777777" w:rsidR="00451CC2" w:rsidRPr="008A7CB8" w:rsidRDefault="00540671" w:rsidP="008A7CB8">
            <w:pPr>
              <w:pStyle w:val="Tabletext"/>
              <w:rPr>
                <w:rFonts w:eastAsia="Calibri"/>
              </w:rPr>
            </w:pPr>
            <w:r w:rsidRPr="00540671">
              <w:rPr>
                <w:rFonts w:eastAsia="Calibri"/>
                <w:b/>
              </w:rPr>
              <w:t>REFORM 5:</w:t>
            </w:r>
            <w:r w:rsidR="00451CC2" w:rsidRPr="008A7CB8">
              <w:rPr>
                <w:rFonts w:eastAsia="Calibri"/>
              </w:rPr>
              <w:t xml:space="preserve"> Reform of the Primary Health Care System</w:t>
            </w:r>
          </w:p>
        </w:tc>
        <w:tc>
          <w:tcPr>
            <w:tcW w:w="1410" w:type="dxa"/>
            <w:tcMar>
              <w:top w:w="0" w:type="dxa"/>
              <w:left w:w="40" w:type="dxa"/>
              <w:bottom w:w="0" w:type="dxa"/>
              <w:right w:w="40" w:type="dxa"/>
            </w:tcMar>
            <w:vAlign w:val="center"/>
          </w:tcPr>
          <w:p w14:paraId="22DFCF61" w14:textId="77777777" w:rsidR="00451CC2" w:rsidRPr="008A7CB8" w:rsidRDefault="00451CC2" w:rsidP="008A7CB8">
            <w:pPr>
              <w:pStyle w:val="Tabletext"/>
              <w:rPr>
                <w:rFonts w:eastAsia="Calibri"/>
              </w:rPr>
            </w:pPr>
            <w:r w:rsidRPr="008A7CB8">
              <w:rPr>
                <w:rFonts w:eastAsia="Calibri"/>
              </w:rPr>
              <w:t>RRF 16755</w:t>
            </w:r>
          </w:p>
        </w:tc>
        <w:tc>
          <w:tcPr>
            <w:tcW w:w="1710" w:type="dxa"/>
            <w:tcMar>
              <w:top w:w="0" w:type="dxa"/>
              <w:left w:w="40" w:type="dxa"/>
              <w:bottom w:w="0" w:type="dxa"/>
              <w:right w:w="40" w:type="dxa"/>
            </w:tcMar>
            <w:vAlign w:val="center"/>
          </w:tcPr>
          <w:p w14:paraId="7F2385F7" w14:textId="77777777" w:rsidR="00451CC2" w:rsidRPr="008A7CB8" w:rsidRDefault="00451CC2" w:rsidP="008A7CB8">
            <w:pPr>
              <w:pStyle w:val="Tabletext"/>
              <w:rPr>
                <w:rFonts w:eastAsia="Calibri"/>
              </w:rPr>
            </w:pPr>
            <w:r w:rsidRPr="008A7CB8">
              <w:rPr>
                <w:rFonts w:eastAsia="Calibri"/>
              </w:rPr>
              <w:t>2024.CSR2.1</w:t>
            </w:r>
            <w:r w:rsidRPr="008A7CB8">
              <w:rPr>
                <w:rFonts w:eastAsia="Calibri"/>
              </w:rPr>
              <w:br/>
              <w:t>2023.CSR3.1</w:t>
            </w:r>
            <w:r w:rsidRPr="008A7CB8">
              <w:rPr>
                <w:rFonts w:eastAsia="Calibri"/>
              </w:rPr>
              <w:br/>
              <w:t>2023.CSR4.4</w:t>
            </w:r>
            <w:r w:rsidRPr="008A7CB8">
              <w:rPr>
                <w:rFonts w:eastAsia="Calibri"/>
              </w:rPr>
              <w:br/>
              <w:t>2022.CSR4.5</w:t>
            </w:r>
            <w:r w:rsidRPr="008A7CB8">
              <w:rPr>
                <w:rFonts w:eastAsia="Calibri"/>
              </w:rPr>
              <w:br/>
              <w:t>2022.CSR3.1</w:t>
            </w:r>
          </w:p>
          <w:p w14:paraId="10D74ABF" w14:textId="77777777" w:rsidR="00451CC2" w:rsidRPr="008A7CB8" w:rsidRDefault="00451CC2" w:rsidP="008A7CB8">
            <w:pPr>
              <w:pStyle w:val="Tabletext"/>
              <w:rPr>
                <w:rFonts w:eastAsia="Calibri"/>
              </w:rPr>
            </w:pPr>
            <w:r w:rsidRPr="008A7CB8">
              <w:rPr>
                <w:rFonts w:eastAsia="Calibri"/>
              </w:rPr>
              <w:t>2022.CSR2.3</w:t>
            </w:r>
            <w:r w:rsidRPr="008A7CB8">
              <w:rPr>
                <w:rFonts w:eastAsia="Calibri"/>
              </w:rPr>
              <w:br/>
              <w:t>2020.CSR1.2</w:t>
            </w:r>
            <w:r w:rsidRPr="008A7CB8">
              <w:rPr>
                <w:rFonts w:eastAsia="Calibri"/>
              </w:rPr>
              <w:br/>
              <w:t>2020.CSR3.3</w:t>
            </w:r>
            <w:r w:rsidRPr="008A7CB8">
              <w:rPr>
                <w:rFonts w:eastAsia="Calibri"/>
              </w:rPr>
              <w:br/>
              <w:t>2020.CSR3.8</w:t>
            </w:r>
            <w:r w:rsidRPr="008A7CB8">
              <w:rPr>
                <w:rFonts w:eastAsia="Calibri"/>
              </w:rPr>
              <w:br/>
              <w:t>2019.CSR2.6</w:t>
            </w:r>
            <w:r w:rsidRPr="008A7CB8">
              <w:rPr>
                <w:rFonts w:eastAsia="Calibri"/>
              </w:rPr>
              <w:br/>
              <w:t>2019.CSR2.8</w:t>
            </w:r>
          </w:p>
        </w:tc>
        <w:tc>
          <w:tcPr>
            <w:tcW w:w="1770" w:type="dxa"/>
            <w:tcMar>
              <w:top w:w="0" w:type="dxa"/>
              <w:left w:w="40" w:type="dxa"/>
              <w:bottom w:w="0" w:type="dxa"/>
              <w:right w:w="40" w:type="dxa"/>
            </w:tcMar>
            <w:vAlign w:val="center"/>
          </w:tcPr>
          <w:p w14:paraId="2E5B3829" w14:textId="77777777" w:rsidR="00451CC2" w:rsidRPr="008A7CB8" w:rsidRDefault="00451CC2" w:rsidP="008A7CB8">
            <w:pPr>
              <w:pStyle w:val="Tabletext"/>
              <w:rPr>
                <w:rFonts w:eastAsia="Calibri"/>
              </w:rPr>
            </w:pPr>
            <w:r w:rsidRPr="008A7CB8">
              <w:rPr>
                <w:rFonts w:eastAsia="Calibri"/>
              </w:rPr>
              <w:t>Social and Economic resilience</w:t>
            </w:r>
          </w:p>
        </w:tc>
        <w:tc>
          <w:tcPr>
            <w:tcW w:w="1275" w:type="dxa"/>
            <w:tcMar>
              <w:top w:w="0" w:type="dxa"/>
              <w:left w:w="40" w:type="dxa"/>
              <w:bottom w:w="0" w:type="dxa"/>
              <w:right w:w="40" w:type="dxa"/>
            </w:tcMar>
            <w:vAlign w:val="center"/>
          </w:tcPr>
          <w:p w14:paraId="7C864E43" w14:textId="77777777" w:rsidR="00451CC2" w:rsidRPr="008A7CB8" w:rsidRDefault="00451CC2" w:rsidP="008A7CB8">
            <w:pPr>
              <w:pStyle w:val="Tabletext"/>
              <w:rPr>
                <w:rFonts w:eastAsia="Calibri"/>
              </w:rPr>
            </w:pPr>
            <w:r w:rsidRPr="008A7CB8">
              <w:rPr>
                <w:rFonts w:eastAsia="Calibri"/>
              </w:rPr>
              <w:t>On track</w:t>
            </w:r>
          </w:p>
        </w:tc>
      </w:tr>
      <w:tr w:rsidR="00451CC2" w:rsidRPr="008A7CB8" w14:paraId="26343D6D" w14:textId="77777777" w:rsidTr="0025508C">
        <w:trPr>
          <w:trHeight w:val="170"/>
          <w:jc w:val="center"/>
        </w:trPr>
        <w:tc>
          <w:tcPr>
            <w:tcW w:w="3165" w:type="dxa"/>
            <w:tcMar>
              <w:top w:w="0" w:type="dxa"/>
              <w:left w:w="40" w:type="dxa"/>
              <w:bottom w:w="0" w:type="dxa"/>
              <w:right w:w="40" w:type="dxa"/>
            </w:tcMar>
            <w:vAlign w:val="center"/>
          </w:tcPr>
          <w:p w14:paraId="7E86B4E9" w14:textId="77777777" w:rsidR="00451CC2" w:rsidRPr="008A7CB8" w:rsidRDefault="00540671" w:rsidP="008A7CB8">
            <w:pPr>
              <w:pStyle w:val="Tabletext"/>
              <w:rPr>
                <w:rFonts w:eastAsia="Calibri"/>
              </w:rPr>
            </w:pPr>
            <w:r w:rsidRPr="00540671">
              <w:rPr>
                <w:rFonts w:eastAsia="Calibri"/>
                <w:b/>
              </w:rPr>
              <w:t>INVESTMENT 1:</w:t>
            </w:r>
            <w:r w:rsidR="00451CC2" w:rsidRPr="008A7CB8">
              <w:rPr>
                <w:rFonts w:eastAsia="Calibri"/>
              </w:rPr>
              <w:t xml:space="preserve"> Operation of new local health units (TOMYs) and mobile health units (KOMYs)</w:t>
            </w:r>
          </w:p>
        </w:tc>
        <w:tc>
          <w:tcPr>
            <w:tcW w:w="1410" w:type="dxa"/>
            <w:tcMar>
              <w:top w:w="0" w:type="dxa"/>
              <w:left w:w="40" w:type="dxa"/>
              <w:bottom w:w="0" w:type="dxa"/>
              <w:right w:w="40" w:type="dxa"/>
            </w:tcMar>
            <w:vAlign w:val="center"/>
          </w:tcPr>
          <w:p w14:paraId="10D7463C" w14:textId="77777777" w:rsidR="00451CC2" w:rsidRPr="008A7CB8" w:rsidRDefault="00451CC2" w:rsidP="008A7CB8">
            <w:pPr>
              <w:pStyle w:val="Tabletext"/>
              <w:rPr>
                <w:rFonts w:eastAsia="Calibri"/>
              </w:rPr>
            </w:pPr>
            <w:r w:rsidRPr="008A7CB8">
              <w:rPr>
                <w:rFonts w:eastAsia="Calibri"/>
              </w:rPr>
              <w:t>MFF</w:t>
            </w:r>
          </w:p>
        </w:tc>
        <w:tc>
          <w:tcPr>
            <w:tcW w:w="1710" w:type="dxa"/>
            <w:tcMar>
              <w:top w:w="0" w:type="dxa"/>
              <w:left w:w="40" w:type="dxa"/>
              <w:bottom w:w="0" w:type="dxa"/>
              <w:right w:w="40" w:type="dxa"/>
            </w:tcMar>
            <w:vAlign w:val="center"/>
          </w:tcPr>
          <w:p w14:paraId="2DAE1B61" w14:textId="77777777" w:rsidR="00451CC2" w:rsidRPr="008A7CB8" w:rsidRDefault="00451CC2" w:rsidP="008A7CB8">
            <w:pPr>
              <w:pStyle w:val="Tabletext"/>
              <w:rPr>
                <w:rFonts w:eastAsia="Calibri"/>
              </w:rPr>
            </w:pPr>
            <w:r w:rsidRPr="008A7CB8">
              <w:rPr>
                <w:rFonts w:eastAsia="Calibri"/>
              </w:rPr>
              <w:t>2022.CSR3.1</w:t>
            </w:r>
            <w:r w:rsidRPr="008A7CB8">
              <w:rPr>
                <w:rFonts w:eastAsia="Calibri"/>
              </w:rPr>
              <w:br/>
              <w:t>2020.CSR1.2</w:t>
            </w:r>
            <w:r w:rsidRPr="008A7CB8">
              <w:rPr>
                <w:rFonts w:eastAsia="Calibri"/>
              </w:rPr>
              <w:br/>
              <w:t>2020.CSR1.3</w:t>
            </w:r>
            <w:r w:rsidRPr="008A7CB8">
              <w:rPr>
                <w:rFonts w:eastAsia="Calibri"/>
              </w:rPr>
              <w:br/>
              <w:t>2019.CSR2.8</w:t>
            </w:r>
          </w:p>
        </w:tc>
        <w:tc>
          <w:tcPr>
            <w:tcW w:w="1770" w:type="dxa"/>
            <w:tcMar>
              <w:top w:w="0" w:type="dxa"/>
              <w:left w:w="40" w:type="dxa"/>
              <w:bottom w:w="0" w:type="dxa"/>
              <w:right w:w="40" w:type="dxa"/>
            </w:tcMar>
            <w:vAlign w:val="center"/>
          </w:tcPr>
          <w:p w14:paraId="0B5D18D4" w14:textId="77777777" w:rsidR="00451CC2" w:rsidRPr="008A7CB8" w:rsidRDefault="00451CC2" w:rsidP="008A7CB8">
            <w:pPr>
              <w:pStyle w:val="Tabletext"/>
              <w:rPr>
                <w:rFonts w:eastAsia="Calibri"/>
              </w:rPr>
            </w:pPr>
            <w:r w:rsidRPr="008A7CB8">
              <w:rPr>
                <w:rFonts w:eastAsia="Calibri"/>
              </w:rPr>
              <w:t>Social and Economic resilience</w:t>
            </w:r>
          </w:p>
        </w:tc>
        <w:tc>
          <w:tcPr>
            <w:tcW w:w="1275" w:type="dxa"/>
            <w:tcMar>
              <w:top w:w="0" w:type="dxa"/>
              <w:left w:w="40" w:type="dxa"/>
              <w:bottom w:w="0" w:type="dxa"/>
              <w:right w:w="40" w:type="dxa"/>
            </w:tcMar>
            <w:vAlign w:val="center"/>
          </w:tcPr>
          <w:p w14:paraId="0D8E4686" w14:textId="77777777" w:rsidR="00451CC2" w:rsidRPr="008A7CB8" w:rsidRDefault="00451CC2" w:rsidP="008A7CB8">
            <w:pPr>
              <w:pStyle w:val="Tabletext"/>
              <w:rPr>
                <w:rFonts w:eastAsia="Calibri"/>
              </w:rPr>
            </w:pPr>
            <w:r w:rsidRPr="008A7CB8">
              <w:rPr>
                <w:rFonts w:eastAsia="Calibri"/>
              </w:rPr>
              <w:t>On track</w:t>
            </w:r>
          </w:p>
        </w:tc>
      </w:tr>
      <w:tr w:rsidR="00451CC2" w:rsidRPr="008A7CB8" w14:paraId="5016FEE4" w14:textId="77777777" w:rsidTr="0025508C">
        <w:trPr>
          <w:trHeight w:val="170"/>
          <w:jc w:val="center"/>
        </w:trPr>
        <w:tc>
          <w:tcPr>
            <w:tcW w:w="3165" w:type="dxa"/>
            <w:tcMar>
              <w:top w:w="0" w:type="dxa"/>
              <w:left w:w="40" w:type="dxa"/>
              <w:bottom w:w="0" w:type="dxa"/>
              <w:right w:w="40" w:type="dxa"/>
            </w:tcMar>
            <w:vAlign w:val="center"/>
          </w:tcPr>
          <w:p w14:paraId="3D2541A9" w14:textId="77777777" w:rsidR="00451CC2" w:rsidRPr="008A7CB8" w:rsidRDefault="00540671" w:rsidP="008A7CB8">
            <w:pPr>
              <w:pStyle w:val="Tabletext"/>
              <w:rPr>
                <w:rFonts w:eastAsia="Calibri"/>
              </w:rPr>
            </w:pPr>
            <w:r w:rsidRPr="00540671">
              <w:rPr>
                <w:rFonts w:eastAsia="Calibri"/>
                <w:b/>
              </w:rPr>
              <w:t>INVESTMENT 2:</w:t>
            </w:r>
            <w:r w:rsidR="00451CC2" w:rsidRPr="008A7CB8">
              <w:rPr>
                <w:rFonts w:eastAsia="Calibri"/>
              </w:rPr>
              <w:t xml:space="preserve"> Health Infrastructure</w:t>
            </w:r>
          </w:p>
        </w:tc>
        <w:tc>
          <w:tcPr>
            <w:tcW w:w="1410" w:type="dxa"/>
            <w:tcMar>
              <w:top w:w="0" w:type="dxa"/>
              <w:left w:w="40" w:type="dxa"/>
              <w:bottom w:w="0" w:type="dxa"/>
              <w:right w:w="40" w:type="dxa"/>
            </w:tcMar>
            <w:vAlign w:val="center"/>
          </w:tcPr>
          <w:p w14:paraId="5954B9AC" w14:textId="77777777" w:rsidR="00451CC2" w:rsidRPr="008A7CB8" w:rsidRDefault="00451CC2" w:rsidP="008A7CB8">
            <w:pPr>
              <w:pStyle w:val="Tabletext"/>
              <w:rPr>
                <w:rFonts w:eastAsia="Calibri"/>
              </w:rPr>
            </w:pPr>
            <w:r w:rsidRPr="008A7CB8">
              <w:rPr>
                <w:rFonts w:eastAsia="Calibri"/>
              </w:rPr>
              <w:t>RRF 16795</w:t>
            </w:r>
          </w:p>
        </w:tc>
        <w:tc>
          <w:tcPr>
            <w:tcW w:w="1710" w:type="dxa"/>
            <w:tcMar>
              <w:top w:w="0" w:type="dxa"/>
              <w:left w:w="40" w:type="dxa"/>
              <w:bottom w:w="0" w:type="dxa"/>
              <w:right w:w="40" w:type="dxa"/>
            </w:tcMar>
            <w:vAlign w:val="center"/>
          </w:tcPr>
          <w:p w14:paraId="2263EE0D" w14:textId="77777777" w:rsidR="00451CC2" w:rsidRPr="008A7CB8" w:rsidRDefault="00451CC2" w:rsidP="008A7CB8">
            <w:pPr>
              <w:pStyle w:val="Tabletext"/>
              <w:rPr>
                <w:rFonts w:eastAsia="Calibri"/>
              </w:rPr>
            </w:pPr>
            <w:r w:rsidRPr="008A7CB8">
              <w:rPr>
                <w:rFonts w:eastAsia="Calibri"/>
              </w:rPr>
              <w:t>2024.CSR2.1</w:t>
            </w:r>
          </w:p>
          <w:p w14:paraId="6EB03825" w14:textId="77777777" w:rsidR="00451CC2" w:rsidRPr="008A7CB8" w:rsidRDefault="00451CC2" w:rsidP="008A7CB8">
            <w:pPr>
              <w:pStyle w:val="Tabletext"/>
              <w:rPr>
                <w:rFonts w:eastAsia="Calibri"/>
              </w:rPr>
            </w:pPr>
            <w:r w:rsidRPr="008A7CB8">
              <w:rPr>
                <w:rFonts w:eastAsia="Calibri"/>
              </w:rPr>
              <w:t>2023.CSR4.4</w:t>
            </w:r>
          </w:p>
          <w:p w14:paraId="7966D1F5" w14:textId="77777777" w:rsidR="00451CC2" w:rsidRPr="008A7CB8" w:rsidRDefault="00451CC2" w:rsidP="008A7CB8">
            <w:pPr>
              <w:pStyle w:val="Tabletext"/>
              <w:rPr>
                <w:rFonts w:eastAsia="Calibri"/>
              </w:rPr>
            </w:pPr>
            <w:r w:rsidRPr="008A7CB8">
              <w:rPr>
                <w:rFonts w:eastAsia="Calibri"/>
              </w:rPr>
              <w:t>2023.CSR4.1</w:t>
            </w:r>
          </w:p>
          <w:p w14:paraId="7891A135" w14:textId="77777777" w:rsidR="00451CC2" w:rsidRPr="008A7CB8" w:rsidRDefault="00451CC2" w:rsidP="008A7CB8">
            <w:pPr>
              <w:pStyle w:val="Tabletext"/>
              <w:rPr>
                <w:rFonts w:eastAsia="Calibri"/>
              </w:rPr>
            </w:pPr>
            <w:r w:rsidRPr="008A7CB8">
              <w:rPr>
                <w:rFonts w:eastAsia="Calibri"/>
              </w:rPr>
              <w:t>2022.CSR4.5</w:t>
            </w:r>
          </w:p>
          <w:p w14:paraId="05E25C2D" w14:textId="77777777" w:rsidR="00451CC2" w:rsidRPr="008A7CB8" w:rsidRDefault="00451CC2" w:rsidP="008A7CB8">
            <w:pPr>
              <w:pStyle w:val="Tabletext"/>
              <w:rPr>
                <w:rFonts w:eastAsia="Calibri"/>
              </w:rPr>
            </w:pPr>
            <w:r w:rsidRPr="008A7CB8">
              <w:rPr>
                <w:rFonts w:eastAsia="Calibri"/>
              </w:rPr>
              <w:t>2020.CSR1.2</w:t>
            </w:r>
          </w:p>
          <w:p w14:paraId="57F6EFCE" w14:textId="77777777" w:rsidR="00451CC2" w:rsidRPr="008A7CB8" w:rsidRDefault="00451CC2" w:rsidP="008A7CB8">
            <w:pPr>
              <w:pStyle w:val="Tabletext"/>
              <w:rPr>
                <w:rFonts w:eastAsia="Calibri"/>
              </w:rPr>
            </w:pPr>
            <w:r w:rsidRPr="008A7CB8">
              <w:rPr>
                <w:rFonts w:eastAsia="Calibri"/>
              </w:rPr>
              <w:t>2020.CSR3.3</w:t>
            </w:r>
          </w:p>
          <w:p w14:paraId="375A9A49" w14:textId="77777777" w:rsidR="00451CC2" w:rsidRPr="008A7CB8" w:rsidRDefault="00451CC2" w:rsidP="008A7CB8">
            <w:pPr>
              <w:pStyle w:val="Tabletext"/>
              <w:rPr>
                <w:rFonts w:eastAsia="Calibri"/>
              </w:rPr>
            </w:pPr>
            <w:r w:rsidRPr="008A7CB8">
              <w:rPr>
                <w:rFonts w:eastAsia="Calibri"/>
              </w:rPr>
              <w:t>2019.CSR2.8</w:t>
            </w:r>
          </w:p>
          <w:p w14:paraId="29DDC44D" w14:textId="77777777" w:rsidR="00451CC2" w:rsidRPr="008A7CB8" w:rsidRDefault="00451CC2" w:rsidP="008A7CB8">
            <w:pPr>
              <w:pStyle w:val="Tabletext"/>
              <w:rPr>
                <w:rFonts w:eastAsia="Calibri"/>
              </w:rPr>
            </w:pPr>
            <w:r w:rsidRPr="008A7CB8">
              <w:rPr>
                <w:rFonts w:eastAsia="Calibri"/>
              </w:rPr>
              <w:t>2019.CSR2.2</w:t>
            </w:r>
          </w:p>
        </w:tc>
        <w:tc>
          <w:tcPr>
            <w:tcW w:w="1770" w:type="dxa"/>
            <w:tcMar>
              <w:top w:w="0" w:type="dxa"/>
              <w:left w:w="40" w:type="dxa"/>
              <w:bottom w:w="0" w:type="dxa"/>
              <w:right w:w="40" w:type="dxa"/>
            </w:tcMar>
            <w:vAlign w:val="center"/>
          </w:tcPr>
          <w:p w14:paraId="3BC09963" w14:textId="77777777" w:rsidR="00451CC2" w:rsidRPr="008A7CB8" w:rsidRDefault="00451CC2" w:rsidP="008A7CB8">
            <w:pPr>
              <w:pStyle w:val="Tabletext"/>
              <w:rPr>
                <w:rFonts w:eastAsia="Calibri"/>
              </w:rPr>
            </w:pPr>
            <w:r w:rsidRPr="008A7CB8">
              <w:rPr>
                <w:rFonts w:eastAsia="Calibri"/>
              </w:rPr>
              <w:t>Social and Economic resilience</w:t>
            </w:r>
          </w:p>
        </w:tc>
        <w:tc>
          <w:tcPr>
            <w:tcW w:w="1275" w:type="dxa"/>
            <w:tcMar>
              <w:top w:w="0" w:type="dxa"/>
              <w:left w:w="40" w:type="dxa"/>
              <w:bottom w:w="0" w:type="dxa"/>
              <w:right w:w="40" w:type="dxa"/>
            </w:tcMar>
            <w:vAlign w:val="center"/>
          </w:tcPr>
          <w:p w14:paraId="66C93584" w14:textId="77777777" w:rsidR="00451CC2" w:rsidRPr="008A7CB8" w:rsidRDefault="00451CC2" w:rsidP="008A7CB8">
            <w:pPr>
              <w:pStyle w:val="Tabletext"/>
              <w:rPr>
                <w:rFonts w:eastAsia="Calibri"/>
              </w:rPr>
            </w:pPr>
            <w:r w:rsidRPr="008A7CB8">
              <w:rPr>
                <w:rFonts w:eastAsia="Calibri"/>
              </w:rPr>
              <w:t>On track</w:t>
            </w:r>
          </w:p>
        </w:tc>
      </w:tr>
      <w:tr w:rsidR="00451CC2" w:rsidRPr="008A7CB8" w14:paraId="793097FD" w14:textId="77777777" w:rsidTr="0025508C">
        <w:trPr>
          <w:trHeight w:val="170"/>
          <w:jc w:val="center"/>
        </w:trPr>
        <w:tc>
          <w:tcPr>
            <w:tcW w:w="3165" w:type="dxa"/>
            <w:tcMar>
              <w:top w:w="0" w:type="dxa"/>
              <w:left w:w="40" w:type="dxa"/>
              <w:bottom w:w="0" w:type="dxa"/>
              <w:right w:w="40" w:type="dxa"/>
            </w:tcMar>
            <w:vAlign w:val="center"/>
          </w:tcPr>
          <w:p w14:paraId="1D3D46EC" w14:textId="77777777" w:rsidR="00451CC2" w:rsidRPr="008A7CB8" w:rsidRDefault="00540671" w:rsidP="008A7CB8">
            <w:pPr>
              <w:pStyle w:val="Tabletext"/>
              <w:rPr>
                <w:rFonts w:eastAsia="Calibri"/>
              </w:rPr>
            </w:pPr>
            <w:r w:rsidRPr="00540671">
              <w:rPr>
                <w:rFonts w:eastAsia="Calibri"/>
                <w:b/>
              </w:rPr>
              <w:t>INVESTMENT 3:</w:t>
            </w:r>
            <w:r w:rsidR="00451CC2" w:rsidRPr="008A7CB8">
              <w:rPr>
                <w:rFonts w:eastAsia="Calibri"/>
              </w:rPr>
              <w:t xml:space="preserve"> Establishment of a Radiotherapy Center at the “</w:t>
            </w:r>
            <w:proofErr w:type="spellStart"/>
            <w:r w:rsidR="00451CC2" w:rsidRPr="008A7CB8">
              <w:rPr>
                <w:rFonts w:eastAsia="Calibri"/>
              </w:rPr>
              <w:t>Sotiria</w:t>
            </w:r>
            <w:proofErr w:type="spellEnd"/>
            <w:r w:rsidR="00451CC2" w:rsidRPr="008A7CB8">
              <w:rPr>
                <w:rFonts w:eastAsia="Calibri"/>
              </w:rPr>
              <w:t>” Thoracic Diseases Hospital of Athens</w:t>
            </w:r>
          </w:p>
        </w:tc>
        <w:tc>
          <w:tcPr>
            <w:tcW w:w="1410" w:type="dxa"/>
            <w:tcMar>
              <w:top w:w="0" w:type="dxa"/>
              <w:left w:w="40" w:type="dxa"/>
              <w:bottom w:w="0" w:type="dxa"/>
              <w:right w:w="40" w:type="dxa"/>
            </w:tcMar>
            <w:vAlign w:val="center"/>
          </w:tcPr>
          <w:p w14:paraId="52D69A42" w14:textId="77777777" w:rsidR="00451CC2" w:rsidRPr="008A7CB8" w:rsidRDefault="00451CC2" w:rsidP="008A7CB8">
            <w:pPr>
              <w:pStyle w:val="Tabletext"/>
              <w:rPr>
                <w:rFonts w:eastAsia="Calibri"/>
              </w:rPr>
            </w:pPr>
            <w:r w:rsidRPr="008A7CB8">
              <w:rPr>
                <w:rFonts w:eastAsia="Calibri"/>
              </w:rPr>
              <w:t>RRF 16757</w:t>
            </w:r>
          </w:p>
        </w:tc>
        <w:tc>
          <w:tcPr>
            <w:tcW w:w="1710" w:type="dxa"/>
            <w:tcMar>
              <w:top w:w="0" w:type="dxa"/>
              <w:left w:w="40" w:type="dxa"/>
              <w:bottom w:w="0" w:type="dxa"/>
              <w:right w:w="40" w:type="dxa"/>
            </w:tcMar>
            <w:vAlign w:val="center"/>
          </w:tcPr>
          <w:p w14:paraId="0DE8BD9B" w14:textId="77777777" w:rsidR="00451CC2" w:rsidRPr="008A7CB8" w:rsidRDefault="00451CC2" w:rsidP="008A7CB8">
            <w:pPr>
              <w:pStyle w:val="Tabletext"/>
              <w:rPr>
                <w:rFonts w:eastAsia="Calibri"/>
              </w:rPr>
            </w:pPr>
            <w:r w:rsidRPr="008A7CB8">
              <w:rPr>
                <w:rFonts w:eastAsia="Calibri"/>
              </w:rPr>
              <w:t>2024.CSR2.1</w:t>
            </w:r>
            <w:r w:rsidRPr="008A7CB8">
              <w:rPr>
                <w:rFonts w:eastAsia="Calibri"/>
              </w:rPr>
              <w:br/>
              <w:t>2020.CSR1.3</w:t>
            </w:r>
            <w:r w:rsidRPr="008A7CB8">
              <w:rPr>
                <w:rFonts w:eastAsia="Calibri"/>
              </w:rPr>
              <w:br/>
              <w:t>2019.CSR2.8</w:t>
            </w:r>
          </w:p>
        </w:tc>
        <w:tc>
          <w:tcPr>
            <w:tcW w:w="1770" w:type="dxa"/>
            <w:tcMar>
              <w:top w:w="0" w:type="dxa"/>
              <w:left w:w="40" w:type="dxa"/>
              <w:bottom w:w="0" w:type="dxa"/>
              <w:right w:w="40" w:type="dxa"/>
            </w:tcMar>
            <w:vAlign w:val="center"/>
          </w:tcPr>
          <w:p w14:paraId="34BE9ECD" w14:textId="77777777" w:rsidR="00451CC2" w:rsidRPr="008A7CB8" w:rsidRDefault="00451CC2" w:rsidP="008A7CB8">
            <w:pPr>
              <w:pStyle w:val="Tabletext"/>
              <w:rPr>
                <w:rFonts w:eastAsia="Calibri"/>
              </w:rPr>
            </w:pPr>
            <w:r w:rsidRPr="008A7CB8">
              <w:rPr>
                <w:rFonts w:eastAsia="Calibri"/>
              </w:rPr>
              <w:t>Social and Economic resilience</w:t>
            </w:r>
          </w:p>
        </w:tc>
        <w:tc>
          <w:tcPr>
            <w:tcW w:w="1275" w:type="dxa"/>
            <w:tcMar>
              <w:top w:w="0" w:type="dxa"/>
              <w:left w:w="40" w:type="dxa"/>
              <w:bottom w:w="0" w:type="dxa"/>
              <w:right w:w="40" w:type="dxa"/>
            </w:tcMar>
            <w:vAlign w:val="center"/>
          </w:tcPr>
          <w:p w14:paraId="0FDF00DB" w14:textId="77777777" w:rsidR="00451CC2" w:rsidRPr="008A7CB8" w:rsidRDefault="00451CC2" w:rsidP="008A7CB8">
            <w:pPr>
              <w:pStyle w:val="Tabletext"/>
              <w:rPr>
                <w:rFonts w:eastAsia="Calibri"/>
              </w:rPr>
            </w:pPr>
            <w:r w:rsidRPr="008A7CB8">
              <w:rPr>
                <w:rFonts w:eastAsia="Calibri"/>
              </w:rPr>
              <w:t>On track</w:t>
            </w:r>
          </w:p>
        </w:tc>
      </w:tr>
      <w:tr w:rsidR="00451CC2" w:rsidRPr="008A7CB8" w14:paraId="7F1F324A" w14:textId="77777777" w:rsidTr="0025508C">
        <w:trPr>
          <w:trHeight w:val="170"/>
          <w:jc w:val="center"/>
        </w:trPr>
        <w:tc>
          <w:tcPr>
            <w:tcW w:w="3165" w:type="dxa"/>
            <w:tcMar>
              <w:top w:w="0" w:type="dxa"/>
              <w:left w:w="40" w:type="dxa"/>
              <w:bottom w:w="0" w:type="dxa"/>
              <w:right w:w="40" w:type="dxa"/>
            </w:tcMar>
            <w:vAlign w:val="center"/>
          </w:tcPr>
          <w:p w14:paraId="5843BB39" w14:textId="77777777" w:rsidR="00451CC2" w:rsidRPr="008A7CB8" w:rsidRDefault="00540671" w:rsidP="008A7CB8">
            <w:pPr>
              <w:pStyle w:val="Tabletext"/>
              <w:rPr>
                <w:rFonts w:eastAsia="Calibri"/>
              </w:rPr>
            </w:pPr>
            <w:r w:rsidRPr="00540671">
              <w:rPr>
                <w:rFonts w:eastAsia="Calibri"/>
                <w:b/>
              </w:rPr>
              <w:t>INVESTMENT 4:</w:t>
            </w:r>
            <w:r w:rsidR="00451CC2" w:rsidRPr="008A7CB8">
              <w:rPr>
                <w:rFonts w:eastAsia="Calibri"/>
              </w:rPr>
              <w:t xml:space="preserve"> Construction of a building dedicated to Cellular &amp; Gene Therapies and Hematology Clinic Laboratories within the General Hospital of Thessaloniki “</w:t>
            </w:r>
            <w:proofErr w:type="spellStart"/>
            <w:r w:rsidR="00451CC2" w:rsidRPr="008A7CB8">
              <w:rPr>
                <w:rFonts w:eastAsia="Calibri"/>
              </w:rPr>
              <w:t>Papanikolaou</w:t>
            </w:r>
            <w:proofErr w:type="spellEnd"/>
            <w:r w:rsidR="00451CC2" w:rsidRPr="008A7CB8">
              <w:rPr>
                <w:rFonts w:eastAsia="Calibri"/>
              </w:rPr>
              <w:t>”</w:t>
            </w:r>
          </w:p>
        </w:tc>
        <w:tc>
          <w:tcPr>
            <w:tcW w:w="1410" w:type="dxa"/>
            <w:tcMar>
              <w:top w:w="0" w:type="dxa"/>
              <w:left w:w="40" w:type="dxa"/>
              <w:bottom w:w="0" w:type="dxa"/>
              <w:right w:w="40" w:type="dxa"/>
            </w:tcMar>
            <w:vAlign w:val="center"/>
          </w:tcPr>
          <w:p w14:paraId="39724C5B" w14:textId="77777777" w:rsidR="00451CC2" w:rsidRPr="008A7CB8" w:rsidRDefault="00451CC2" w:rsidP="008A7CB8">
            <w:pPr>
              <w:pStyle w:val="Tabletext"/>
              <w:rPr>
                <w:rFonts w:eastAsia="Calibri"/>
              </w:rPr>
            </w:pPr>
            <w:r w:rsidRPr="008A7CB8">
              <w:rPr>
                <w:rFonts w:eastAsia="Calibri"/>
              </w:rPr>
              <w:t>RRF 16793</w:t>
            </w:r>
          </w:p>
        </w:tc>
        <w:tc>
          <w:tcPr>
            <w:tcW w:w="1710" w:type="dxa"/>
            <w:tcMar>
              <w:top w:w="0" w:type="dxa"/>
              <w:left w:w="40" w:type="dxa"/>
              <w:bottom w:w="0" w:type="dxa"/>
              <w:right w:w="40" w:type="dxa"/>
            </w:tcMar>
            <w:vAlign w:val="center"/>
          </w:tcPr>
          <w:p w14:paraId="70E7FFF2" w14:textId="77777777" w:rsidR="00451CC2" w:rsidRPr="008A7CB8" w:rsidRDefault="00451CC2" w:rsidP="008A7CB8">
            <w:pPr>
              <w:pStyle w:val="Tabletext"/>
              <w:rPr>
                <w:rFonts w:eastAsia="Calibri"/>
              </w:rPr>
            </w:pPr>
            <w:r w:rsidRPr="008A7CB8">
              <w:rPr>
                <w:rFonts w:eastAsia="Calibri"/>
              </w:rPr>
              <w:t>2024.CSR2.1</w:t>
            </w:r>
            <w:r w:rsidRPr="008A7CB8">
              <w:rPr>
                <w:rFonts w:eastAsia="Calibri"/>
              </w:rPr>
              <w:br/>
              <w:t>2023.CSR4.4</w:t>
            </w:r>
            <w:r w:rsidRPr="008A7CB8">
              <w:rPr>
                <w:rFonts w:eastAsia="Calibri"/>
              </w:rPr>
              <w:br/>
              <w:t>2023.CSR4.1</w:t>
            </w:r>
            <w:r w:rsidRPr="008A7CB8">
              <w:rPr>
                <w:rFonts w:eastAsia="Calibri"/>
              </w:rPr>
              <w:br/>
              <w:t>2022.CSR4.5</w:t>
            </w:r>
          </w:p>
          <w:p w14:paraId="0F52CC4C" w14:textId="77777777" w:rsidR="00451CC2" w:rsidRPr="008A7CB8" w:rsidRDefault="00451CC2" w:rsidP="008A7CB8">
            <w:pPr>
              <w:pStyle w:val="Tabletext"/>
              <w:rPr>
                <w:rFonts w:eastAsia="Calibri"/>
              </w:rPr>
            </w:pPr>
            <w:r w:rsidRPr="008A7CB8">
              <w:rPr>
                <w:rFonts w:eastAsia="Calibri"/>
              </w:rPr>
              <w:t>2020.CSR1.3</w:t>
            </w:r>
          </w:p>
          <w:p w14:paraId="767429F1" w14:textId="77777777" w:rsidR="00451CC2" w:rsidRPr="008A7CB8" w:rsidRDefault="00451CC2" w:rsidP="008A7CB8">
            <w:pPr>
              <w:pStyle w:val="Tabletext"/>
              <w:rPr>
                <w:rFonts w:eastAsia="Calibri"/>
              </w:rPr>
            </w:pPr>
            <w:r w:rsidRPr="008A7CB8">
              <w:rPr>
                <w:rFonts w:eastAsia="Calibri"/>
              </w:rPr>
              <w:t>2019.CSR2.8</w:t>
            </w:r>
          </w:p>
        </w:tc>
        <w:tc>
          <w:tcPr>
            <w:tcW w:w="1770" w:type="dxa"/>
            <w:tcMar>
              <w:top w:w="0" w:type="dxa"/>
              <w:left w:w="40" w:type="dxa"/>
              <w:bottom w:w="0" w:type="dxa"/>
              <w:right w:w="40" w:type="dxa"/>
            </w:tcMar>
            <w:vAlign w:val="center"/>
          </w:tcPr>
          <w:p w14:paraId="6179F471" w14:textId="77777777" w:rsidR="00451CC2" w:rsidRPr="008A7CB8" w:rsidRDefault="00451CC2" w:rsidP="008A7CB8">
            <w:pPr>
              <w:pStyle w:val="Tabletext"/>
              <w:rPr>
                <w:rFonts w:eastAsia="Calibri"/>
              </w:rPr>
            </w:pPr>
            <w:r w:rsidRPr="008A7CB8">
              <w:rPr>
                <w:rFonts w:eastAsia="Calibri"/>
              </w:rPr>
              <w:t>Social and Economic resilience</w:t>
            </w:r>
          </w:p>
        </w:tc>
        <w:tc>
          <w:tcPr>
            <w:tcW w:w="1275" w:type="dxa"/>
            <w:tcMar>
              <w:top w:w="0" w:type="dxa"/>
              <w:left w:w="40" w:type="dxa"/>
              <w:bottom w:w="0" w:type="dxa"/>
              <w:right w:w="40" w:type="dxa"/>
            </w:tcMar>
            <w:vAlign w:val="center"/>
          </w:tcPr>
          <w:p w14:paraId="1EA3707D" w14:textId="77777777" w:rsidR="00451CC2" w:rsidRPr="008A7CB8" w:rsidRDefault="00451CC2" w:rsidP="008A7CB8">
            <w:pPr>
              <w:pStyle w:val="Tabletext"/>
              <w:rPr>
                <w:rFonts w:eastAsia="Calibri"/>
              </w:rPr>
            </w:pPr>
            <w:r w:rsidRPr="008A7CB8">
              <w:rPr>
                <w:rFonts w:eastAsia="Calibri"/>
              </w:rPr>
              <w:t>On track</w:t>
            </w:r>
          </w:p>
        </w:tc>
      </w:tr>
      <w:tr w:rsidR="00451CC2" w:rsidRPr="008A7CB8" w14:paraId="5ED00BFD" w14:textId="77777777" w:rsidTr="0025508C">
        <w:trPr>
          <w:trHeight w:val="170"/>
          <w:jc w:val="center"/>
        </w:trPr>
        <w:tc>
          <w:tcPr>
            <w:tcW w:w="3165" w:type="dxa"/>
            <w:tcMar>
              <w:top w:w="0" w:type="dxa"/>
              <w:left w:w="40" w:type="dxa"/>
              <w:bottom w:w="0" w:type="dxa"/>
              <w:right w:w="40" w:type="dxa"/>
            </w:tcMar>
            <w:vAlign w:val="center"/>
          </w:tcPr>
          <w:p w14:paraId="6AD93AA4" w14:textId="77777777" w:rsidR="00451CC2" w:rsidRPr="008A7CB8" w:rsidRDefault="00540671" w:rsidP="008A7CB8">
            <w:pPr>
              <w:pStyle w:val="Tabletext"/>
              <w:rPr>
                <w:rFonts w:eastAsia="Calibri"/>
              </w:rPr>
            </w:pPr>
            <w:r w:rsidRPr="00540671">
              <w:rPr>
                <w:rFonts w:eastAsia="Calibri"/>
                <w:b/>
              </w:rPr>
              <w:lastRenderedPageBreak/>
              <w:t>INVESTMENT 5:</w:t>
            </w:r>
            <w:r w:rsidR="00451CC2" w:rsidRPr="008A7CB8">
              <w:rPr>
                <w:rFonts w:eastAsia="Calibri"/>
              </w:rPr>
              <w:t xml:space="preserve"> Construction of a new oncology hospital in Thessaloniki</w:t>
            </w:r>
          </w:p>
        </w:tc>
        <w:tc>
          <w:tcPr>
            <w:tcW w:w="1410" w:type="dxa"/>
            <w:tcMar>
              <w:top w:w="0" w:type="dxa"/>
              <w:left w:w="40" w:type="dxa"/>
              <w:bottom w:w="0" w:type="dxa"/>
              <w:right w:w="40" w:type="dxa"/>
            </w:tcMar>
            <w:vAlign w:val="center"/>
          </w:tcPr>
          <w:p w14:paraId="2AAB85DD" w14:textId="77777777" w:rsidR="00451CC2" w:rsidRPr="008A7CB8" w:rsidRDefault="00451CC2" w:rsidP="008A7CB8">
            <w:pPr>
              <w:pStyle w:val="Tabletext"/>
              <w:rPr>
                <w:rFonts w:eastAsia="Calibri"/>
              </w:rPr>
            </w:pPr>
            <w:r w:rsidRPr="008A7CB8">
              <w:rPr>
                <w:rFonts w:eastAsia="Calibri"/>
              </w:rPr>
              <w:t>-</w:t>
            </w:r>
          </w:p>
        </w:tc>
        <w:tc>
          <w:tcPr>
            <w:tcW w:w="1710" w:type="dxa"/>
            <w:tcMar>
              <w:top w:w="0" w:type="dxa"/>
              <w:left w:w="40" w:type="dxa"/>
              <w:bottom w:w="0" w:type="dxa"/>
              <w:right w:w="40" w:type="dxa"/>
            </w:tcMar>
            <w:vAlign w:val="center"/>
          </w:tcPr>
          <w:p w14:paraId="113B3280" w14:textId="77777777" w:rsidR="00451CC2" w:rsidRPr="008A7CB8" w:rsidRDefault="00451CC2" w:rsidP="008A7CB8">
            <w:pPr>
              <w:pStyle w:val="Tabletext"/>
              <w:rPr>
                <w:rFonts w:eastAsia="Calibri"/>
              </w:rPr>
            </w:pPr>
            <w:r w:rsidRPr="008A7CB8">
              <w:rPr>
                <w:rFonts w:eastAsia="Calibri"/>
              </w:rPr>
              <w:t>2020.CSR1.3</w:t>
            </w:r>
            <w:r w:rsidRPr="008A7CB8">
              <w:rPr>
                <w:rFonts w:eastAsia="Calibri"/>
              </w:rPr>
              <w:br/>
              <w:t>2019.CSR2.8</w:t>
            </w:r>
          </w:p>
        </w:tc>
        <w:tc>
          <w:tcPr>
            <w:tcW w:w="1770" w:type="dxa"/>
            <w:tcMar>
              <w:top w:w="0" w:type="dxa"/>
              <w:left w:w="40" w:type="dxa"/>
              <w:bottom w:w="0" w:type="dxa"/>
              <w:right w:w="40" w:type="dxa"/>
            </w:tcMar>
            <w:vAlign w:val="center"/>
          </w:tcPr>
          <w:p w14:paraId="270D095B" w14:textId="77777777" w:rsidR="00451CC2" w:rsidRPr="008A7CB8" w:rsidRDefault="00451CC2" w:rsidP="008A7CB8">
            <w:pPr>
              <w:pStyle w:val="Tabletext"/>
              <w:rPr>
                <w:rFonts w:eastAsia="Calibri"/>
              </w:rPr>
            </w:pPr>
            <w:r w:rsidRPr="008A7CB8">
              <w:rPr>
                <w:rFonts w:eastAsia="Calibri"/>
              </w:rPr>
              <w:t>Social and Economic resilience</w:t>
            </w:r>
          </w:p>
        </w:tc>
        <w:tc>
          <w:tcPr>
            <w:tcW w:w="1275" w:type="dxa"/>
            <w:tcMar>
              <w:top w:w="0" w:type="dxa"/>
              <w:left w:w="40" w:type="dxa"/>
              <w:bottom w:w="0" w:type="dxa"/>
              <w:right w:w="40" w:type="dxa"/>
            </w:tcMar>
            <w:vAlign w:val="center"/>
          </w:tcPr>
          <w:p w14:paraId="3A2CAC05" w14:textId="77777777" w:rsidR="00451CC2" w:rsidRPr="008A7CB8" w:rsidRDefault="00451CC2" w:rsidP="008A7CB8">
            <w:pPr>
              <w:pStyle w:val="Tabletext"/>
              <w:rPr>
                <w:rFonts w:eastAsia="Calibri"/>
              </w:rPr>
            </w:pPr>
            <w:r w:rsidRPr="008A7CB8">
              <w:rPr>
                <w:rFonts w:eastAsia="Calibri"/>
              </w:rPr>
              <w:t>On track</w:t>
            </w:r>
          </w:p>
        </w:tc>
      </w:tr>
      <w:tr w:rsidR="00451CC2" w:rsidRPr="008A7CB8" w14:paraId="1A90D1BB" w14:textId="77777777" w:rsidTr="0025508C">
        <w:trPr>
          <w:trHeight w:val="170"/>
          <w:jc w:val="center"/>
        </w:trPr>
        <w:tc>
          <w:tcPr>
            <w:tcW w:w="3165" w:type="dxa"/>
            <w:tcMar>
              <w:top w:w="0" w:type="dxa"/>
              <w:left w:w="40" w:type="dxa"/>
              <w:bottom w:w="0" w:type="dxa"/>
              <w:right w:w="40" w:type="dxa"/>
            </w:tcMar>
            <w:vAlign w:val="center"/>
          </w:tcPr>
          <w:p w14:paraId="6E68D062" w14:textId="77777777" w:rsidR="00451CC2" w:rsidRPr="008A7CB8" w:rsidRDefault="00540671" w:rsidP="008A7CB8">
            <w:pPr>
              <w:pStyle w:val="Tabletext"/>
              <w:rPr>
                <w:rFonts w:eastAsia="Calibri"/>
              </w:rPr>
            </w:pPr>
            <w:r w:rsidRPr="00540671">
              <w:rPr>
                <w:rFonts w:eastAsia="Calibri"/>
                <w:b/>
              </w:rPr>
              <w:t>INVESTMENT 6:</w:t>
            </w:r>
            <w:r w:rsidR="00451CC2" w:rsidRPr="008A7CB8">
              <w:rPr>
                <w:rFonts w:eastAsia="Calibri"/>
              </w:rPr>
              <w:t xml:space="preserve"> Establishment of Home Health Care &amp; Hospital at Home systems</w:t>
            </w:r>
          </w:p>
        </w:tc>
        <w:tc>
          <w:tcPr>
            <w:tcW w:w="1410" w:type="dxa"/>
            <w:tcMar>
              <w:top w:w="0" w:type="dxa"/>
              <w:left w:w="40" w:type="dxa"/>
              <w:bottom w:w="0" w:type="dxa"/>
              <w:right w:w="40" w:type="dxa"/>
            </w:tcMar>
            <w:vAlign w:val="center"/>
          </w:tcPr>
          <w:p w14:paraId="460F39E2" w14:textId="77777777" w:rsidR="00451CC2" w:rsidRPr="008A7CB8" w:rsidRDefault="00451CC2" w:rsidP="008A7CB8">
            <w:pPr>
              <w:pStyle w:val="Tabletext"/>
              <w:rPr>
                <w:rFonts w:eastAsia="Calibri"/>
              </w:rPr>
            </w:pPr>
            <w:r w:rsidRPr="008A7CB8">
              <w:rPr>
                <w:rFonts w:eastAsia="Calibri"/>
              </w:rPr>
              <w:t>RRF 16753</w:t>
            </w:r>
          </w:p>
        </w:tc>
        <w:tc>
          <w:tcPr>
            <w:tcW w:w="1710" w:type="dxa"/>
            <w:tcMar>
              <w:top w:w="0" w:type="dxa"/>
              <w:left w:w="40" w:type="dxa"/>
              <w:bottom w:w="0" w:type="dxa"/>
              <w:right w:w="40" w:type="dxa"/>
            </w:tcMar>
            <w:vAlign w:val="center"/>
          </w:tcPr>
          <w:p w14:paraId="512C7DB9" w14:textId="77777777" w:rsidR="00451CC2" w:rsidRPr="008A7CB8" w:rsidRDefault="00451CC2" w:rsidP="008A7CB8">
            <w:pPr>
              <w:pStyle w:val="Tabletext"/>
              <w:rPr>
                <w:rFonts w:eastAsia="Calibri"/>
              </w:rPr>
            </w:pPr>
            <w:r w:rsidRPr="008A7CB8">
              <w:rPr>
                <w:rFonts w:eastAsia="Calibri"/>
              </w:rPr>
              <w:t>2024.CSR2.1</w:t>
            </w:r>
            <w:r w:rsidRPr="008A7CB8">
              <w:rPr>
                <w:rFonts w:eastAsia="Calibri"/>
              </w:rPr>
              <w:br/>
              <w:t>2020.CSR1.2</w:t>
            </w:r>
            <w:r w:rsidRPr="008A7CB8">
              <w:rPr>
                <w:rFonts w:eastAsia="Calibri"/>
              </w:rPr>
              <w:br/>
              <w:t>2020.CSR1.3</w:t>
            </w:r>
            <w:r w:rsidRPr="008A7CB8">
              <w:rPr>
                <w:rFonts w:eastAsia="Calibri"/>
              </w:rPr>
              <w:br/>
              <w:t>2019.CSR2.8</w:t>
            </w:r>
          </w:p>
        </w:tc>
        <w:tc>
          <w:tcPr>
            <w:tcW w:w="1770" w:type="dxa"/>
            <w:tcMar>
              <w:top w:w="0" w:type="dxa"/>
              <w:left w:w="40" w:type="dxa"/>
              <w:bottom w:w="0" w:type="dxa"/>
              <w:right w:w="40" w:type="dxa"/>
            </w:tcMar>
            <w:vAlign w:val="center"/>
          </w:tcPr>
          <w:p w14:paraId="32E00E41" w14:textId="77777777" w:rsidR="00451CC2" w:rsidRPr="008A7CB8" w:rsidRDefault="00451CC2" w:rsidP="008A7CB8">
            <w:pPr>
              <w:pStyle w:val="Tabletext"/>
              <w:rPr>
                <w:rFonts w:eastAsia="Calibri"/>
              </w:rPr>
            </w:pPr>
            <w:r w:rsidRPr="008A7CB8">
              <w:rPr>
                <w:rFonts w:eastAsia="Calibri"/>
              </w:rPr>
              <w:t>Social and Economic resilience</w:t>
            </w:r>
          </w:p>
        </w:tc>
        <w:tc>
          <w:tcPr>
            <w:tcW w:w="1275" w:type="dxa"/>
            <w:tcMar>
              <w:top w:w="0" w:type="dxa"/>
              <w:left w:w="40" w:type="dxa"/>
              <w:bottom w:w="0" w:type="dxa"/>
              <w:right w:w="40" w:type="dxa"/>
            </w:tcMar>
            <w:vAlign w:val="center"/>
          </w:tcPr>
          <w:p w14:paraId="588FAA9B" w14:textId="77777777" w:rsidR="00451CC2" w:rsidRPr="008A7CB8" w:rsidRDefault="00451CC2" w:rsidP="008A7CB8">
            <w:pPr>
              <w:pStyle w:val="Tabletext"/>
              <w:rPr>
                <w:rFonts w:eastAsia="Calibri"/>
              </w:rPr>
            </w:pPr>
            <w:r w:rsidRPr="008A7CB8">
              <w:rPr>
                <w:rFonts w:eastAsia="Calibri"/>
              </w:rPr>
              <w:t>On track</w:t>
            </w:r>
          </w:p>
        </w:tc>
      </w:tr>
      <w:tr w:rsidR="00451CC2" w:rsidRPr="008A7CB8" w14:paraId="164D7DEF" w14:textId="77777777" w:rsidTr="0025508C">
        <w:trPr>
          <w:trHeight w:val="170"/>
          <w:jc w:val="center"/>
        </w:trPr>
        <w:tc>
          <w:tcPr>
            <w:tcW w:w="3165" w:type="dxa"/>
            <w:tcMar>
              <w:top w:w="0" w:type="dxa"/>
              <w:left w:w="40" w:type="dxa"/>
              <w:bottom w:w="0" w:type="dxa"/>
              <w:right w:w="40" w:type="dxa"/>
            </w:tcMar>
            <w:vAlign w:val="center"/>
          </w:tcPr>
          <w:p w14:paraId="40CAA91B" w14:textId="77777777" w:rsidR="00451CC2" w:rsidRPr="008A7CB8" w:rsidRDefault="00540671" w:rsidP="008A7CB8">
            <w:pPr>
              <w:pStyle w:val="Tabletext"/>
              <w:rPr>
                <w:rFonts w:eastAsia="Calibri"/>
              </w:rPr>
            </w:pPr>
            <w:r w:rsidRPr="00540671">
              <w:rPr>
                <w:rFonts w:eastAsia="Calibri"/>
                <w:b/>
              </w:rPr>
              <w:t>INVESTMENT 7:</w:t>
            </w:r>
            <w:r w:rsidR="00451CC2" w:rsidRPr="008A7CB8">
              <w:rPr>
                <w:rFonts w:eastAsia="Calibri"/>
              </w:rPr>
              <w:t xml:space="preserve"> Digital Transformation of Health (</w:t>
            </w:r>
            <w:proofErr w:type="spellStart"/>
            <w:r w:rsidR="00451CC2" w:rsidRPr="008A7CB8">
              <w:rPr>
                <w:rFonts w:eastAsia="Calibri"/>
              </w:rPr>
              <w:t>DigHealth</w:t>
            </w:r>
            <w:proofErr w:type="spellEnd"/>
            <w:r w:rsidR="00451CC2" w:rsidRPr="008A7CB8">
              <w:rPr>
                <w:rFonts w:eastAsia="Calibri"/>
              </w:rPr>
              <w:t>)</w:t>
            </w:r>
          </w:p>
        </w:tc>
        <w:tc>
          <w:tcPr>
            <w:tcW w:w="1410" w:type="dxa"/>
            <w:tcMar>
              <w:top w:w="0" w:type="dxa"/>
              <w:left w:w="40" w:type="dxa"/>
              <w:bottom w:w="0" w:type="dxa"/>
              <w:right w:w="40" w:type="dxa"/>
            </w:tcMar>
            <w:vAlign w:val="center"/>
          </w:tcPr>
          <w:p w14:paraId="39C65729" w14:textId="77777777" w:rsidR="00451CC2" w:rsidRPr="008A7CB8" w:rsidRDefault="00451CC2" w:rsidP="008A7CB8">
            <w:pPr>
              <w:pStyle w:val="Tabletext"/>
              <w:rPr>
                <w:rFonts w:eastAsia="Calibri"/>
              </w:rPr>
            </w:pPr>
            <w:r w:rsidRPr="008A7CB8">
              <w:rPr>
                <w:rFonts w:eastAsia="Calibri"/>
              </w:rPr>
              <w:t>RRF 16752</w:t>
            </w:r>
          </w:p>
        </w:tc>
        <w:tc>
          <w:tcPr>
            <w:tcW w:w="1710" w:type="dxa"/>
            <w:tcMar>
              <w:top w:w="0" w:type="dxa"/>
              <w:left w:w="40" w:type="dxa"/>
              <w:bottom w:w="0" w:type="dxa"/>
              <w:right w:w="40" w:type="dxa"/>
            </w:tcMar>
            <w:vAlign w:val="center"/>
          </w:tcPr>
          <w:p w14:paraId="090A9E62" w14:textId="77777777" w:rsidR="00451CC2" w:rsidRPr="008A7CB8" w:rsidRDefault="00451CC2" w:rsidP="008A7CB8">
            <w:pPr>
              <w:pStyle w:val="Tabletext"/>
              <w:rPr>
                <w:rFonts w:eastAsia="Calibri"/>
              </w:rPr>
            </w:pPr>
            <w:r w:rsidRPr="008A7CB8">
              <w:rPr>
                <w:rFonts w:eastAsia="Calibri"/>
              </w:rPr>
              <w:t>2024.CSR2.1</w:t>
            </w:r>
          </w:p>
          <w:p w14:paraId="776ACAF3" w14:textId="77777777" w:rsidR="00451CC2" w:rsidRPr="008A7CB8" w:rsidRDefault="00451CC2" w:rsidP="008A7CB8">
            <w:pPr>
              <w:pStyle w:val="Tabletext"/>
              <w:rPr>
                <w:rFonts w:eastAsia="Calibri"/>
              </w:rPr>
            </w:pPr>
            <w:r w:rsidRPr="008A7CB8">
              <w:rPr>
                <w:rFonts w:eastAsia="Calibri"/>
              </w:rPr>
              <w:t>2022.CSR2.3</w:t>
            </w:r>
            <w:r w:rsidRPr="008A7CB8">
              <w:rPr>
                <w:rFonts w:eastAsia="Calibri"/>
              </w:rPr>
              <w:br/>
              <w:t>2020.CSR1.2</w:t>
            </w:r>
            <w:r w:rsidRPr="008A7CB8">
              <w:rPr>
                <w:rFonts w:eastAsia="Calibri"/>
              </w:rPr>
              <w:br/>
              <w:t>2020.CSR1.3</w:t>
            </w:r>
            <w:r w:rsidRPr="008A7CB8">
              <w:rPr>
                <w:rFonts w:eastAsia="Calibri"/>
              </w:rPr>
              <w:br/>
              <w:t>2020.CSR3.9</w:t>
            </w:r>
            <w:r w:rsidRPr="008A7CB8">
              <w:rPr>
                <w:rFonts w:eastAsia="Calibri"/>
              </w:rPr>
              <w:br/>
              <w:t>2019.CSR2.8</w:t>
            </w:r>
            <w:r w:rsidRPr="008A7CB8">
              <w:rPr>
                <w:rFonts w:eastAsia="Calibri"/>
              </w:rPr>
              <w:br/>
              <w:t>2019.CSR2.3</w:t>
            </w:r>
          </w:p>
        </w:tc>
        <w:tc>
          <w:tcPr>
            <w:tcW w:w="1770" w:type="dxa"/>
            <w:tcMar>
              <w:top w:w="0" w:type="dxa"/>
              <w:left w:w="40" w:type="dxa"/>
              <w:bottom w:w="0" w:type="dxa"/>
              <w:right w:w="40" w:type="dxa"/>
            </w:tcMar>
            <w:vAlign w:val="center"/>
          </w:tcPr>
          <w:p w14:paraId="56F8B2B4" w14:textId="77777777" w:rsidR="00451CC2" w:rsidRPr="008A7CB8" w:rsidRDefault="00451CC2" w:rsidP="008A7CB8">
            <w:pPr>
              <w:pStyle w:val="Tabletext"/>
              <w:rPr>
                <w:rFonts w:eastAsia="Calibri"/>
              </w:rPr>
            </w:pPr>
            <w:r w:rsidRPr="008A7CB8">
              <w:rPr>
                <w:rFonts w:eastAsia="Calibri"/>
              </w:rPr>
              <w:t>Fair green and digital transition</w:t>
            </w:r>
          </w:p>
        </w:tc>
        <w:tc>
          <w:tcPr>
            <w:tcW w:w="1275" w:type="dxa"/>
            <w:tcMar>
              <w:top w:w="0" w:type="dxa"/>
              <w:left w:w="40" w:type="dxa"/>
              <w:bottom w:w="0" w:type="dxa"/>
              <w:right w:w="40" w:type="dxa"/>
            </w:tcMar>
            <w:vAlign w:val="center"/>
          </w:tcPr>
          <w:p w14:paraId="1DEC88EC" w14:textId="77777777" w:rsidR="00451CC2" w:rsidRPr="008A7CB8" w:rsidRDefault="00451CC2" w:rsidP="008A7CB8">
            <w:pPr>
              <w:pStyle w:val="Tabletext"/>
              <w:rPr>
                <w:rFonts w:eastAsia="Calibri"/>
              </w:rPr>
            </w:pPr>
            <w:r w:rsidRPr="008A7CB8">
              <w:rPr>
                <w:rFonts w:eastAsia="Calibri"/>
              </w:rPr>
              <w:t>On track</w:t>
            </w:r>
          </w:p>
        </w:tc>
      </w:tr>
    </w:tbl>
    <w:p w14:paraId="35E4F624" w14:textId="77777777" w:rsidR="00451CC2" w:rsidRPr="001D0ECE" w:rsidRDefault="00451CC2" w:rsidP="0040288A">
      <w:pPr>
        <w:spacing w:before="240"/>
        <w:rPr>
          <w:rFonts w:eastAsia="Calibri"/>
          <w:lang w:val="en-US"/>
        </w:rPr>
      </w:pPr>
      <w:bookmarkStart w:id="49" w:name="_heading=h.v52sxqo96vbd" w:colFirst="0" w:colLast="0"/>
      <w:bookmarkStart w:id="50" w:name="_heading=h.4tleubo3flrn" w:colFirst="0" w:colLast="0"/>
      <w:bookmarkEnd w:id="49"/>
      <w:bookmarkEnd w:id="50"/>
      <w:r w:rsidRPr="00451CC2">
        <w:rPr>
          <w:rFonts w:eastAsia="Calibri"/>
          <w:lang w:val="en-US"/>
        </w:rPr>
        <w:t xml:space="preserve">The </w:t>
      </w:r>
      <w:r w:rsidRPr="00451CC2">
        <w:rPr>
          <w:rFonts w:eastAsia="Calibri"/>
          <w:b/>
          <w:bCs/>
          <w:lang w:val="en-US"/>
        </w:rPr>
        <w:t>reform concerning the improvement of public health</w:t>
      </w:r>
      <w:r w:rsidRPr="00451CC2">
        <w:rPr>
          <w:rFonts w:eastAsia="Calibri"/>
          <w:lang w:val="en-US"/>
        </w:rPr>
        <w:t xml:space="preserve"> includes seventeen individual projects, </w:t>
      </w:r>
      <w:proofErr w:type="spellStart"/>
      <w:r w:rsidRPr="00451CC2">
        <w:rPr>
          <w:rFonts w:eastAsia="Calibri"/>
          <w:lang w:val="en-US"/>
        </w:rPr>
        <w:t>organised</w:t>
      </w:r>
      <w:proofErr w:type="spellEnd"/>
      <w:r w:rsidRPr="00451CC2">
        <w:rPr>
          <w:rFonts w:eastAsia="Calibri"/>
          <w:lang w:val="en-US"/>
        </w:rPr>
        <w:t xml:space="preserve"> </w:t>
      </w:r>
      <w:r w:rsidRPr="001D0ECE">
        <w:rPr>
          <w:rFonts w:eastAsia="Calibri"/>
          <w:lang w:val="en-US"/>
        </w:rPr>
        <w:t>in</w:t>
      </w:r>
      <w:r>
        <w:rPr>
          <w:rFonts w:eastAsia="Calibri"/>
          <w:lang w:val="en-US"/>
        </w:rPr>
        <w:t xml:space="preserve"> </w:t>
      </w:r>
      <w:r w:rsidRPr="00451CC2">
        <w:rPr>
          <w:rFonts w:eastAsia="Calibri"/>
          <w:lang w:val="en-US"/>
        </w:rPr>
        <w:t>three main pillars. In the area of primary prevention, the "Dentist Pass" programme, which provides free dental check-ups for children aged 6 to 12, has been completed. The “National Programme of Physical Exercise and Healthy Eating - Combating Childhood Obesity” and the “Promotion of Family and Child Health Programme”, implemented in collaboration with UNICEF, are currently underway. In particular, recommendations on healthy eating in school canteens are under development by June, while the educational initiative, comprising four toolboxes and entitled “Food for Action”, has been completed. At the same time, the European Centre for Combating Childhood Obesity has been established and is fully operational. In addition, awareness-raising seminars on menstrual hygiene are being delivered in schools, and the Model Community Center has been established and is already providing comprehensive mental health services to individuals experiencing episodes of self-harm. In terms of secondary prevention, the National Prevention Programme "</w:t>
      </w:r>
      <w:proofErr w:type="spellStart"/>
      <w:r w:rsidRPr="00451CC2">
        <w:rPr>
          <w:rFonts w:eastAsia="Calibri"/>
          <w:lang w:val="en-US"/>
        </w:rPr>
        <w:t>Prolamvano</w:t>
      </w:r>
      <w:proofErr w:type="spellEnd"/>
      <w:r w:rsidRPr="00451CC2">
        <w:rPr>
          <w:rFonts w:eastAsia="Calibri"/>
          <w:lang w:val="en-US"/>
        </w:rPr>
        <w:t xml:space="preserve">" is well underway, providing free screening for breast, colorectal, and cervical cancers. </w:t>
      </w:r>
      <w:r w:rsidRPr="00651BB8">
        <w:rPr>
          <w:rFonts w:eastAsia="Calibri"/>
          <w:lang w:val="en-US"/>
        </w:rPr>
        <w:t xml:space="preserve">As of March 2026 </w:t>
      </w:r>
      <w:r w:rsidRPr="001D0ECE">
        <w:rPr>
          <w:rFonts w:eastAsia="Calibri"/>
          <w:lang w:val="en-US"/>
        </w:rPr>
        <w:t>the following progress has been recorded:</w:t>
      </w:r>
    </w:p>
    <w:p w14:paraId="2BC3A563" w14:textId="77777777" w:rsidR="00451CC2" w:rsidRPr="00451CC2" w:rsidRDefault="00451CC2" w:rsidP="007A373B">
      <w:pPr>
        <w:rPr>
          <w:lang w:val="en-US"/>
        </w:rPr>
      </w:pPr>
      <w:r w:rsidRPr="00451CC2">
        <w:rPr>
          <w:lang w:val="en-US"/>
        </w:rPr>
        <w:t xml:space="preserve">Concerning the prevention screening intervention for </w:t>
      </w:r>
      <w:r w:rsidRPr="00451CC2">
        <w:rPr>
          <w:b/>
          <w:bCs/>
          <w:lang w:val="en-US"/>
        </w:rPr>
        <w:t>Breast Cancer</w:t>
      </w:r>
      <w:r w:rsidRPr="00451CC2">
        <w:rPr>
          <w:lang w:val="en-US"/>
        </w:rPr>
        <w:t xml:space="preserve">, 1,151,380 digital mammograms have been performed, while a total of 70,262 women have received a BIRADS 3+ finding. </w:t>
      </w:r>
    </w:p>
    <w:p w14:paraId="0BAC866F" w14:textId="77777777" w:rsidR="00451CC2" w:rsidRPr="00451CC2" w:rsidRDefault="00451CC2" w:rsidP="007A373B">
      <w:pPr>
        <w:rPr>
          <w:lang w:val="en-US"/>
        </w:rPr>
      </w:pPr>
      <w:r w:rsidRPr="00451CC2">
        <w:rPr>
          <w:lang w:val="en-US"/>
        </w:rPr>
        <w:t xml:space="preserve">Concerning the prevention screening intervention for </w:t>
      </w:r>
      <w:r w:rsidRPr="00451CC2">
        <w:rPr>
          <w:b/>
          <w:bCs/>
          <w:lang w:val="en-US"/>
        </w:rPr>
        <w:t>Colorectal Cancer</w:t>
      </w:r>
      <w:r w:rsidRPr="00451CC2">
        <w:rPr>
          <w:lang w:val="en-US"/>
        </w:rPr>
        <w:t xml:space="preserve">, 983,462 self-diagnostic screening kits have been distributed, and 22,800 colonoscopies have been completed. </w:t>
      </w:r>
    </w:p>
    <w:p w14:paraId="74ADFE07" w14:textId="77777777" w:rsidR="00451CC2" w:rsidRPr="00451CC2" w:rsidRDefault="000F3F38" w:rsidP="007A373B">
      <w:pPr>
        <w:rPr>
          <w:lang w:val="en-US"/>
        </w:rPr>
      </w:pPr>
      <w:r w:rsidRPr="000F3F38">
        <w:rPr>
          <w:lang w:val="en-US"/>
        </w:rPr>
        <w:t xml:space="preserve">Regarding the prevention screening intervention for Cervical Cancer, 927,519 PAP test samplings, HPV-DNA test samplings, and </w:t>
      </w:r>
      <w:proofErr w:type="spellStart"/>
      <w:r w:rsidRPr="000F3F38">
        <w:rPr>
          <w:lang w:val="en-US"/>
        </w:rPr>
        <w:t>gynaecological</w:t>
      </w:r>
      <w:proofErr w:type="spellEnd"/>
      <w:r w:rsidRPr="000F3F38">
        <w:rPr>
          <w:lang w:val="en-US"/>
        </w:rPr>
        <w:t xml:space="preserve"> examinations have been </w:t>
      </w:r>
      <w:proofErr w:type="gramStart"/>
      <w:r w:rsidRPr="000F3F38">
        <w:rPr>
          <w:lang w:val="en-US"/>
        </w:rPr>
        <w:t>completed.</w:t>
      </w:r>
      <w:r w:rsidR="00451CC2" w:rsidRPr="00451CC2">
        <w:rPr>
          <w:lang w:val="en-US"/>
        </w:rPr>
        <w:t>.</w:t>
      </w:r>
      <w:proofErr w:type="gramEnd"/>
    </w:p>
    <w:p w14:paraId="51F74B1A" w14:textId="77777777" w:rsidR="00451CC2" w:rsidRPr="00451CC2" w:rsidRDefault="00451CC2" w:rsidP="007A373B">
      <w:pPr>
        <w:rPr>
          <w:rFonts w:eastAsia="Calibri"/>
          <w:lang w:val="en-US"/>
        </w:rPr>
      </w:pPr>
      <w:r w:rsidRPr="00451CC2">
        <w:rPr>
          <w:rFonts w:eastAsia="Calibri"/>
          <w:lang w:val="en-US"/>
        </w:rPr>
        <w:t xml:space="preserve">The cardiovascular disease management programme has been expanded to include the treatment of obesity, laboratory testing for </w:t>
      </w:r>
      <w:proofErr w:type="spellStart"/>
      <w:r w:rsidRPr="00451CC2">
        <w:rPr>
          <w:rFonts w:eastAsia="Calibri"/>
          <w:lang w:val="en-US"/>
        </w:rPr>
        <w:t>Lp</w:t>
      </w:r>
      <w:proofErr w:type="spellEnd"/>
      <w:r w:rsidRPr="00451CC2">
        <w:rPr>
          <w:rFonts w:eastAsia="Calibri"/>
          <w:lang w:val="en-US"/>
        </w:rPr>
        <w:t xml:space="preserve">(a) in relation to renal dysfunction, as well as laboratory examinations for minor dependents. Moreover, the national neonatal screening programme has been expanded to include tests for spinal muscular atrophy (SMA) and severe combined immunodeficiency. Another pilot programme aimed at identifying SMA and cystic fibrosis carriers among women aged 20–35 years commenced in March 2026. Finally, the </w:t>
      </w:r>
      <w:r w:rsidRPr="00451CC2">
        <w:rPr>
          <w:rFonts w:eastAsia="Calibri"/>
          <w:lang w:val="en-US"/>
        </w:rPr>
        <w:lastRenderedPageBreak/>
        <w:t xml:space="preserve">“Health Monitoring” project, launched in August 2025, aims to strengthen public health surveillance through the </w:t>
      </w:r>
      <w:proofErr w:type="spellStart"/>
      <w:r w:rsidRPr="00451CC2">
        <w:rPr>
          <w:rFonts w:eastAsia="Calibri"/>
          <w:lang w:val="en-US"/>
        </w:rPr>
        <w:t>utilisation</w:t>
      </w:r>
      <w:proofErr w:type="spellEnd"/>
      <w:r w:rsidRPr="00451CC2">
        <w:rPr>
          <w:rFonts w:eastAsia="Calibri"/>
          <w:lang w:val="en-US"/>
        </w:rPr>
        <w:t xml:space="preserve"> of health data.</w:t>
      </w:r>
    </w:p>
    <w:p w14:paraId="17090854" w14:textId="77777777" w:rsidR="00451CC2" w:rsidRPr="001D0ECE" w:rsidRDefault="00451CC2" w:rsidP="007A373B">
      <w:pPr>
        <w:rPr>
          <w:rFonts w:eastAsia="Calibri"/>
          <w:lang w:val="en-US"/>
        </w:rPr>
      </w:pPr>
      <w:r w:rsidRPr="00451CC2">
        <w:rPr>
          <w:rFonts w:eastAsia="Calibri"/>
          <w:lang w:val="en-US"/>
        </w:rPr>
        <w:t xml:space="preserve">Law 5129/2024 on the </w:t>
      </w:r>
      <w:r w:rsidRPr="00451CC2">
        <w:rPr>
          <w:rFonts w:eastAsia="Calibri"/>
          <w:b/>
          <w:bCs/>
          <w:lang w:val="en-US"/>
        </w:rPr>
        <w:t>completion of the Psychiatric Reform</w:t>
      </w:r>
      <w:r w:rsidRPr="00451CC2">
        <w:rPr>
          <w:rFonts w:eastAsia="Calibri"/>
          <w:lang w:val="en-US"/>
        </w:rPr>
        <w:t xml:space="preserve"> </w:t>
      </w:r>
      <w:r w:rsidRPr="001D0ECE">
        <w:rPr>
          <w:rFonts w:eastAsia="Calibri"/>
          <w:lang w:val="en-US"/>
        </w:rPr>
        <w:t>transformed</w:t>
      </w:r>
      <w:r w:rsidRPr="00451CC2">
        <w:rPr>
          <w:rFonts w:eastAsia="Calibri"/>
          <w:lang w:val="en-US"/>
        </w:rPr>
        <w:t xml:space="preserve"> the mental health services model, shifting care from institutionalization to a community-based approach. The main pillars of the reform included ensuring continuity of care, psychosocial rehabilitation, social and professional reintegration, and combating stigma. Since February 2025, the National Network of Mental Health Services has been operational, and a feasibility assessment has also been approved for the creation and operation of a digital platform to record the daily movements of mental health service recipients and the availability of beds in psychiatric clinics in the country's Health Regions. Recent developments include the integration of the </w:t>
      </w:r>
      <w:proofErr w:type="spellStart"/>
      <w:r w:rsidRPr="00451CC2">
        <w:rPr>
          <w:rFonts w:eastAsia="Calibri"/>
          <w:lang w:val="en-US"/>
        </w:rPr>
        <w:t>Korydallos</w:t>
      </w:r>
      <w:proofErr w:type="spellEnd"/>
      <w:r w:rsidRPr="00451CC2">
        <w:rPr>
          <w:rFonts w:eastAsia="Calibri"/>
          <w:lang w:val="en-US"/>
        </w:rPr>
        <w:t xml:space="preserve"> Prison Psychiatric Facility into the National Network of Mental Health Services and the launch of digital tools supporting care coordination, such as the “First Intake” platform and a system for monitoring hospitalizations and bed availability. Further actions are underway to strengthen service evaluation and expand digital mental health support. At the same time, the addictions has been restructured with the establishment of the National Organisation for the Prevention and Treatment of Addictions, in line with international best practices.</w:t>
      </w:r>
    </w:p>
    <w:p w14:paraId="509136DC" w14:textId="77777777" w:rsidR="00451CC2" w:rsidRPr="00451CC2" w:rsidRDefault="00451CC2" w:rsidP="007A373B">
      <w:pPr>
        <w:rPr>
          <w:rFonts w:eastAsia="Calibri"/>
          <w:lang w:val="en-US"/>
        </w:rPr>
      </w:pPr>
      <w:r w:rsidRPr="00451CC2">
        <w:rPr>
          <w:rFonts w:eastAsia="Calibri"/>
          <w:lang w:val="en-US"/>
        </w:rPr>
        <w:t>T</w:t>
      </w:r>
      <w:r w:rsidRPr="00451CC2">
        <w:rPr>
          <w:rFonts w:eastAsia="Calibri"/>
          <w:b/>
          <w:bCs/>
          <w:lang w:val="en-US"/>
        </w:rPr>
        <w:t>he mental health and addictions reform</w:t>
      </w:r>
      <w:r w:rsidRPr="00451CC2">
        <w:rPr>
          <w:rFonts w:eastAsia="Calibri"/>
          <w:lang w:val="en-US"/>
        </w:rPr>
        <w:t xml:space="preserve"> aims to strengthen the public service network and ensure universal and free access to quality care. To date, 82 new Mental Health Units have been established, covering areas such as dementia, autism, psychosocial disorders, child and adolescent care, and employment support. At the same time, 95 existing units have been renovated and upgraded. Complementary actions include the development of a digital financial management and reporting platform for mental health service providers, the transfer and installation of a Mental Health Mapping System using cloud technology (H-cloud) and the implementation of </w:t>
      </w:r>
      <w:proofErr w:type="spellStart"/>
      <w:r w:rsidRPr="00451CC2">
        <w:rPr>
          <w:rFonts w:eastAsia="Calibri"/>
          <w:lang w:val="en-US"/>
        </w:rPr>
        <w:t>streetwork</w:t>
      </w:r>
      <w:proofErr w:type="spellEnd"/>
      <w:r w:rsidRPr="00451CC2">
        <w:rPr>
          <w:rFonts w:eastAsia="Calibri"/>
          <w:lang w:val="en-US"/>
        </w:rPr>
        <w:t xml:space="preserve"> interventions and safe supervised use services through the operation of a Mobile Supervised Consumption Unit by the National Organisation for the Prevention and Treatment of Addiction - EOPAE (former OKANA), which was established by Law 5129/2024 and began operating in early 2025. Recent developments include the establishment of seven Day Care Centres </w:t>
      </w:r>
      <w:r w:rsidRPr="001D0ECE">
        <w:rPr>
          <w:rFonts w:eastAsia="Calibri"/>
          <w:lang w:val="en-US"/>
        </w:rPr>
        <w:t>supporting</w:t>
      </w:r>
      <w:r w:rsidR="007F4049">
        <w:rPr>
          <w:rFonts w:eastAsia="Calibri"/>
          <w:lang w:val="en-US"/>
        </w:rPr>
        <w:t xml:space="preserve"> </w:t>
      </w:r>
      <w:r w:rsidRPr="00451CC2">
        <w:rPr>
          <w:rFonts w:eastAsia="Calibri"/>
          <w:lang w:val="en-US"/>
        </w:rPr>
        <w:t xml:space="preserve">people with dementia/Alzheimer’s disease, further expanding community-based services. In addition, procurement procedures are underway for the creation of 40 Mental Health Care Units for elderly people with dementia and for individuals with intellectual disabilities and neurodevelopmental disorders, as well as 40 new addiction treatment structures. Efforts are also ongoing to strengthen the labour market integration of people with severe psychosocial difficulties through supported employment schemes. In addition, early intervention programmes for adolescents are being implemented, along with initiatives addressing various forms of legal addictions by EOPAE (former KETHEA). Finally, a Specialized Inpatient Treatment Center for Alcohol-Dependent Individuals has been established at </w:t>
      </w:r>
      <w:proofErr w:type="spellStart"/>
      <w:r w:rsidRPr="00451CC2">
        <w:rPr>
          <w:rFonts w:eastAsia="Calibri"/>
          <w:lang w:val="en-US"/>
        </w:rPr>
        <w:t>Aiginiteio</w:t>
      </w:r>
      <w:proofErr w:type="spellEnd"/>
      <w:r w:rsidRPr="00451CC2">
        <w:rPr>
          <w:rFonts w:eastAsia="Calibri"/>
          <w:lang w:val="en-US"/>
        </w:rPr>
        <w:t xml:space="preserve"> Hospital, providing both inpatient and aftercare services for alcoholics.</w:t>
      </w:r>
    </w:p>
    <w:p w14:paraId="6DF28689" w14:textId="77777777" w:rsidR="00451CC2" w:rsidRPr="00451CC2" w:rsidRDefault="00451CC2" w:rsidP="00D31D31">
      <w:pPr>
        <w:rPr>
          <w:rFonts w:eastAsia="Calibri"/>
          <w:lang w:val="en-US"/>
        </w:rPr>
      </w:pPr>
      <w:r w:rsidRPr="00451CC2">
        <w:rPr>
          <w:rFonts w:eastAsia="Calibri"/>
          <w:lang w:val="en-US"/>
        </w:rPr>
        <w:t xml:space="preserve">The </w:t>
      </w:r>
      <w:r w:rsidRPr="00451CC2">
        <w:rPr>
          <w:rFonts w:eastAsia="Calibri"/>
          <w:b/>
          <w:bCs/>
          <w:lang w:val="en-US"/>
        </w:rPr>
        <w:t xml:space="preserve">Personal Doctor reform </w:t>
      </w:r>
      <w:r w:rsidRPr="00451CC2">
        <w:rPr>
          <w:rFonts w:eastAsia="Calibri"/>
          <w:lang w:val="en-US"/>
        </w:rPr>
        <w:t xml:space="preserve">aims to increase the number of personal doctors registered in the system, in order to complete the enrollment of all eligible citizens. Law 5157/2024, which entered into force in November 2024, established the new legal framework for the Personal Doctor system. Specifically, the legislation redefines the role of rural doctors by assigning them responsibilities as Personal Doctors, with a strong focus on preventive care. It also abolishes the previous exemption for doctors practicing in Athens and Thessaloniki, addressing the healthcare </w:t>
      </w:r>
      <w:r w:rsidRPr="00451CC2">
        <w:rPr>
          <w:rFonts w:eastAsia="Calibri"/>
          <w:lang w:val="en-US"/>
        </w:rPr>
        <w:lastRenderedPageBreak/>
        <w:t xml:space="preserve">needs of the country's two largest urban areas. </w:t>
      </w:r>
      <w:r w:rsidR="00396BB6" w:rsidRPr="00396BB6">
        <w:rPr>
          <w:rFonts w:eastAsia="Calibri"/>
          <w:lang w:val="en-US"/>
        </w:rPr>
        <w:t>As of the first quarter of 2026, the Personal Doctor reform has reached a significant level of implementation, with approximately 4,652 physicians enrolled in the system and 5,202,370 citizens covered, representing 62.3% of the beneficiary population. All relevant legislative amendments have been completed and fully implemented</w:t>
      </w:r>
      <w:r w:rsidR="00396BB6">
        <w:rPr>
          <w:rFonts w:eastAsia="Calibri"/>
          <w:lang w:val="en-US"/>
        </w:rPr>
        <w:t xml:space="preserve"> </w:t>
      </w:r>
      <w:r w:rsidRPr="00451CC2">
        <w:rPr>
          <w:rFonts w:eastAsia="Calibri"/>
          <w:lang w:val="en-US"/>
        </w:rPr>
        <w:t xml:space="preserve">Furthermore, financial incentives have been introduced to attract more physicians to General/Family Medicine and Internal Medicine, aiming to increase the availability of Personal Doctors in Primary Health Care. In addition, a referral system to specialty care has been introduced, supported by an online platform, which is expected to become fully operational by the end of April 2026. This platform </w:t>
      </w:r>
      <w:proofErr w:type="spellStart"/>
      <w:r w:rsidRPr="00451CC2">
        <w:rPr>
          <w:rFonts w:eastAsia="Calibri"/>
          <w:lang w:val="en-US"/>
        </w:rPr>
        <w:t>operationalises</w:t>
      </w:r>
      <w:proofErr w:type="spellEnd"/>
      <w:r w:rsidRPr="00451CC2">
        <w:rPr>
          <w:rFonts w:eastAsia="Calibri"/>
          <w:lang w:val="en-US"/>
        </w:rPr>
        <w:t xml:space="preserve"> the referral pathway (“orientation and guidance”) assigned to the Personal Doctor, ensuring continuity of care and a structured patient pathway from primary to secondary and tertiary services.</w:t>
      </w:r>
    </w:p>
    <w:p w14:paraId="0C203633" w14:textId="77777777" w:rsidR="00451CC2" w:rsidRPr="00451CC2" w:rsidRDefault="00451CC2" w:rsidP="00D31D31">
      <w:pPr>
        <w:rPr>
          <w:rFonts w:eastAsia="Calibri"/>
          <w:lang w:val="en-US"/>
        </w:rPr>
      </w:pPr>
      <w:bookmarkStart w:id="51" w:name="_heading=h.5g6ozqw1b08k" w:colFirst="0" w:colLast="0"/>
      <w:bookmarkEnd w:id="51"/>
      <w:r w:rsidRPr="00451CC2">
        <w:rPr>
          <w:rFonts w:eastAsia="Calibri"/>
          <w:lang w:val="en-US"/>
        </w:rPr>
        <w:t xml:space="preserve">The </w:t>
      </w:r>
      <w:r w:rsidRPr="00451CC2">
        <w:rPr>
          <w:rFonts w:eastAsia="Calibri"/>
          <w:b/>
          <w:bCs/>
          <w:lang w:val="en-US"/>
        </w:rPr>
        <w:t>Primary Health Care reform</w:t>
      </w:r>
      <w:r w:rsidRPr="00451CC2">
        <w:rPr>
          <w:rFonts w:eastAsia="Calibri"/>
          <w:lang w:val="en-US"/>
        </w:rPr>
        <w:t xml:space="preserve"> aims to upgrade the infrastructure and medical equipment for more than 150 Health Centers or decentralized units and to reorganize their operations in order to establish a unified and effective service delivery model. At the same time, it includes the retraining of personnel to enhance collaboration with secondary healthcare services and places particular emphasis on the management of chronic diseases through targeted infrastructure interventions. Within this framework, the project “Enhancing the Primary Healthcare System in Greece by Strengthening Accessibility, Quality, and Sustainability” was launched in June 2025 and is being implemented, in line with the planned schedule, by the World Health Organization. In terms of infrastructure, construction work has been completed in 55 units, while the remaining units are at an advanced stage of implementation, with completion expected by June 2026. In parallel, the establishment of 301 Chronic Disease Management Units within primary healthcare facilities is progressing, which will be integrated into the renovated healthcare facilities. Furthermore, the upgrade of medical technology equipment is also underway. Finally, the training of 10,000 primary healthcare professionals is in progress, delivered through asynchronous distance learning by five major universities in the country: </w:t>
      </w:r>
      <w:proofErr w:type="gramStart"/>
      <w:r w:rsidRPr="00451CC2">
        <w:rPr>
          <w:rFonts w:eastAsia="Calibri"/>
          <w:lang w:val="en-US"/>
        </w:rPr>
        <w:t>the</w:t>
      </w:r>
      <w:proofErr w:type="gramEnd"/>
      <w:r w:rsidRPr="00451CC2">
        <w:rPr>
          <w:rFonts w:eastAsia="Calibri"/>
          <w:lang w:val="en-US"/>
        </w:rPr>
        <w:t xml:space="preserve"> National and </w:t>
      </w:r>
      <w:proofErr w:type="spellStart"/>
      <w:r w:rsidRPr="00451CC2">
        <w:rPr>
          <w:rFonts w:eastAsia="Calibri"/>
          <w:lang w:val="en-US"/>
        </w:rPr>
        <w:t>Kapodistrian</w:t>
      </w:r>
      <w:proofErr w:type="spellEnd"/>
      <w:r w:rsidRPr="00451CC2">
        <w:rPr>
          <w:rFonts w:eastAsia="Calibri"/>
          <w:lang w:val="en-US"/>
        </w:rPr>
        <w:t xml:space="preserve"> University of Athens, the University of Piraeus, the University of West Attica, the University of Macedonia, and the University of Crete, which have also developed the relevant training material.</w:t>
      </w:r>
    </w:p>
    <w:p w14:paraId="4ACC02E4" w14:textId="77777777" w:rsidR="00451CC2" w:rsidRPr="00451CC2" w:rsidRDefault="00451CC2" w:rsidP="00D31D31">
      <w:pPr>
        <w:rPr>
          <w:rFonts w:eastAsia="Calibri"/>
          <w:lang w:val="en-US"/>
        </w:rPr>
      </w:pPr>
      <w:r w:rsidRPr="00451CC2">
        <w:rPr>
          <w:rFonts w:eastAsia="Calibri"/>
          <w:lang w:val="en-US"/>
        </w:rPr>
        <w:t xml:space="preserve">In February 2025, the implementation of the </w:t>
      </w:r>
      <w:r w:rsidRPr="00451CC2">
        <w:rPr>
          <w:rFonts w:eastAsia="Calibri"/>
          <w:b/>
          <w:bCs/>
          <w:lang w:val="en-US"/>
        </w:rPr>
        <w:t>Mobile Health Units</w:t>
      </w:r>
      <w:r w:rsidRPr="00451CC2">
        <w:rPr>
          <w:rFonts w:eastAsia="Calibri"/>
          <w:lang w:val="en-US"/>
        </w:rPr>
        <w:t xml:space="preserve"> began, introducing a new service within the National Health System. With 250 units operated by the National Public Health Organization and a total of 1,000 health professionals, the Mobile Health Units initiative enhances access to essential preventive and curative services for citizens. The systematic nationwide rollout of the Mobile Health Units began in October 2025. The units provide in-home prevention and care services across the country, with a particular focus on island, mountainous and remote areas, as well as individuals with limited mobility, including those living in major urban centres. At present, </w:t>
      </w:r>
      <w:r w:rsidRPr="00451CC2">
        <w:rPr>
          <w:rFonts w:asciiTheme="majorHAnsi" w:hAnsiTheme="majorHAnsi"/>
          <w:szCs w:val="20"/>
          <w:lang w:val="en-US"/>
        </w:rPr>
        <w:t>180</w:t>
      </w:r>
      <w:r w:rsidRPr="00451CC2">
        <w:rPr>
          <w:szCs w:val="20"/>
          <w:lang w:val="en-US"/>
        </w:rPr>
        <w:t xml:space="preserve"> </w:t>
      </w:r>
      <w:r w:rsidRPr="00451CC2">
        <w:rPr>
          <w:rFonts w:eastAsia="Calibri"/>
          <w:lang w:val="en-US"/>
        </w:rPr>
        <w:t>KOMY teams carry out home visits and provide services at fixed locations in remote communities, making use of telemedicine for remote diagnosis and patient monitoring. At the same time, citizens and municipalities can contact the National Public Health Organization (EODY) via the 1135 helpline to request home visits or community-based examinations and to receive information. The initiative is expected to serve around 500,000 citizens of all ages annually, thereby strengthening equitable access to healthcare services and reducing health inequalities. 35</w:t>
      </w:r>
      <w:r w:rsidR="003D2D44">
        <w:rPr>
          <w:rFonts w:eastAsia="Calibri"/>
          <w:lang w:val="en-US"/>
        </w:rPr>
        <w:t>,</w:t>
      </w:r>
      <w:r w:rsidRPr="00451CC2">
        <w:rPr>
          <w:rFonts w:eastAsia="Calibri"/>
          <w:lang w:val="en-US"/>
        </w:rPr>
        <w:t xml:space="preserve">662 beneficiaries have received the service thus far. </w:t>
      </w:r>
      <w:r w:rsidRPr="001D0ECE">
        <w:rPr>
          <w:rFonts w:eastAsia="Calibri"/>
          <w:lang w:val="en-US"/>
        </w:rPr>
        <w:t>As</w:t>
      </w:r>
      <w:r w:rsidRPr="00451CC2">
        <w:rPr>
          <w:rFonts w:eastAsia="Calibri"/>
          <w:lang w:val="en-US"/>
        </w:rPr>
        <w:t xml:space="preserve"> part of </w:t>
      </w:r>
      <w:r w:rsidRPr="00451CC2">
        <w:rPr>
          <w:rFonts w:eastAsia="Calibri"/>
          <w:lang w:val="en-US"/>
        </w:rPr>
        <w:lastRenderedPageBreak/>
        <w:t xml:space="preserve">the broader upgrade of Primary Healthcare, Regional Authorities are launching tenders to establish new </w:t>
      </w:r>
      <w:r w:rsidRPr="00451CC2">
        <w:rPr>
          <w:rFonts w:eastAsia="Calibri"/>
          <w:b/>
          <w:bCs/>
          <w:lang w:val="en-US"/>
        </w:rPr>
        <w:t>Local Health Units</w:t>
      </w:r>
      <w:r w:rsidRPr="00451CC2">
        <w:rPr>
          <w:rFonts w:eastAsia="Calibri"/>
          <w:lang w:val="en-US"/>
        </w:rPr>
        <w:t>.</w:t>
      </w:r>
    </w:p>
    <w:p w14:paraId="0F97BFCB" w14:textId="77777777" w:rsidR="00451CC2" w:rsidRPr="00451CC2" w:rsidRDefault="00451CC2" w:rsidP="00D31D31">
      <w:pPr>
        <w:rPr>
          <w:rFonts w:eastAsia="Calibri"/>
          <w:lang w:val="en-US"/>
        </w:rPr>
      </w:pPr>
      <w:bookmarkStart w:id="52" w:name="_heading=h.29zjypr4ebnb" w:colFirst="0" w:colLast="0"/>
      <w:bookmarkEnd w:id="52"/>
      <w:r w:rsidRPr="00451CC2">
        <w:rPr>
          <w:rFonts w:eastAsia="Calibri"/>
          <w:lang w:val="en-US"/>
        </w:rPr>
        <w:t xml:space="preserve">The </w:t>
      </w:r>
      <w:r w:rsidRPr="00451CC2">
        <w:rPr>
          <w:rFonts w:eastAsia="Calibri"/>
          <w:b/>
          <w:bCs/>
          <w:lang w:val="en-US"/>
        </w:rPr>
        <w:t xml:space="preserve">“Health Infrastructure” </w:t>
      </w:r>
      <w:r w:rsidRPr="00451CC2">
        <w:rPr>
          <w:rFonts w:eastAsia="Calibri"/>
          <w:lang w:val="en-US"/>
        </w:rPr>
        <w:t>investment aims to upgrade the hospital infrastructure of the National Health System through energy-efficient renovations and the procurement of new medical equipment in hospitals across the country’s seven Health Regions. To date, renovation interventions have been completed in 53 hospitals across all Regional Health Authorities of the country, while a further 27 hospitals are expected to be completed by 30 June 2026. The interventions include the reconfiguration of building infrastructure to ensure safer and more functional hospital care, upgrades of wards, emergency departments and operating rooms, as well as the installation of modern medical equipment.</w:t>
      </w:r>
    </w:p>
    <w:p w14:paraId="4BA595DA" w14:textId="77777777" w:rsidR="00451CC2" w:rsidRPr="00451CC2" w:rsidRDefault="00451CC2" w:rsidP="00D31D31">
      <w:pPr>
        <w:rPr>
          <w:rFonts w:eastAsia="Calibri"/>
          <w:lang w:val="en-US"/>
        </w:rPr>
      </w:pPr>
      <w:r w:rsidRPr="00451CC2">
        <w:rPr>
          <w:rFonts w:eastAsia="Calibri"/>
          <w:lang w:val="en-US"/>
        </w:rPr>
        <w:t xml:space="preserve">The investment concerns the design and construction of a </w:t>
      </w:r>
      <w:r w:rsidRPr="00451CC2">
        <w:rPr>
          <w:rFonts w:eastAsia="Calibri"/>
          <w:b/>
          <w:bCs/>
          <w:lang w:val="en-US"/>
        </w:rPr>
        <w:t>Radiotherapy Center at “</w:t>
      </w:r>
      <w:proofErr w:type="spellStart"/>
      <w:r w:rsidRPr="00451CC2">
        <w:rPr>
          <w:rFonts w:eastAsia="Calibri"/>
          <w:b/>
          <w:bCs/>
          <w:lang w:val="en-US"/>
        </w:rPr>
        <w:t>Sotiria</w:t>
      </w:r>
      <w:proofErr w:type="spellEnd"/>
      <w:r w:rsidRPr="00451CC2">
        <w:rPr>
          <w:rFonts w:eastAsia="Calibri"/>
          <w:b/>
          <w:bCs/>
          <w:lang w:val="en-US"/>
        </w:rPr>
        <w:t>” General Hospital</w:t>
      </w:r>
      <w:r w:rsidRPr="00451CC2">
        <w:rPr>
          <w:rFonts w:eastAsia="Calibri"/>
          <w:lang w:val="en-US"/>
        </w:rPr>
        <w:t xml:space="preserve">, aiming to address the needs of cancer patients and to strengthen radiotherapy services at a national level. It includes the creation of new departments and the construction of modern facilities to house outpatient clinics, centers of clinical excellence, and </w:t>
      </w:r>
      <w:proofErr w:type="spellStart"/>
      <w:r w:rsidRPr="00451CC2">
        <w:rPr>
          <w:rFonts w:eastAsia="Calibri"/>
          <w:lang w:val="en-US"/>
        </w:rPr>
        <w:t>specialised</w:t>
      </w:r>
      <w:proofErr w:type="spellEnd"/>
      <w:r w:rsidRPr="00451CC2">
        <w:rPr>
          <w:rFonts w:eastAsia="Calibri"/>
          <w:lang w:val="en-US"/>
        </w:rPr>
        <w:t xml:space="preserve"> care units. The contract for the project was signed in March 2025. The project is currently in the implementation phase and is progressing in accordance with the approved timetable. Construction and renovation works, as well as the development of electromechanical systems and supporting infrastructure, are ongoing, with estimated overall progress exceeding 70%.</w:t>
      </w:r>
    </w:p>
    <w:p w14:paraId="2A72B47F" w14:textId="77777777" w:rsidR="00451CC2" w:rsidRPr="00451CC2" w:rsidRDefault="00451CC2" w:rsidP="00D31D31">
      <w:pPr>
        <w:rPr>
          <w:rFonts w:eastAsia="Calibri"/>
          <w:lang w:val="en-US"/>
        </w:rPr>
      </w:pPr>
      <w:bookmarkStart w:id="53" w:name="_heading=h.pcqe7bjdcv67" w:colFirst="0" w:colLast="0"/>
      <w:bookmarkEnd w:id="53"/>
      <w:r w:rsidRPr="00451CC2">
        <w:rPr>
          <w:rFonts w:eastAsia="Calibri"/>
          <w:lang w:val="en-US"/>
        </w:rPr>
        <w:t xml:space="preserve">The project concerns </w:t>
      </w:r>
      <w:r w:rsidRPr="00451CC2">
        <w:rPr>
          <w:rFonts w:eastAsia="Calibri"/>
          <w:b/>
          <w:bCs/>
          <w:lang w:val="en-US"/>
        </w:rPr>
        <w:t>the construction of a new building within the “</w:t>
      </w:r>
      <w:proofErr w:type="spellStart"/>
      <w:r w:rsidRPr="00451CC2">
        <w:rPr>
          <w:rFonts w:eastAsia="Calibri"/>
          <w:b/>
          <w:bCs/>
          <w:lang w:val="en-US"/>
        </w:rPr>
        <w:t>Papanikolaou</w:t>
      </w:r>
      <w:proofErr w:type="spellEnd"/>
      <w:r w:rsidRPr="00451CC2">
        <w:rPr>
          <w:rFonts w:eastAsia="Calibri"/>
          <w:b/>
          <w:bCs/>
          <w:lang w:val="en-US"/>
        </w:rPr>
        <w:t>” General Hospital of Thessaloniki to house the Cellular and Gene Therapy Laboratories and the Hematology Clinic</w:t>
      </w:r>
      <w:r w:rsidRPr="00451CC2">
        <w:rPr>
          <w:rFonts w:eastAsia="Calibri"/>
          <w:lang w:val="en-US"/>
        </w:rPr>
        <w:t>. The aim is to improve the quality of patient care and support research into innovative therapies. The contract for the project was signed in the second quarter of 2024. The project is currently in the implementation phase and is progressing in accordance with the approved timetable, with construction works for the new building, as well as the development of specialized laboratory and electromechanical installations, advancing steadily across the individual components of the project. The estimated overall progress exceeds 80%, while full and integrated operation of the new building is scheduled for 2026.</w:t>
      </w:r>
    </w:p>
    <w:p w14:paraId="0D833FFC" w14:textId="77777777" w:rsidR="00451CC2" w:rsidRPr="00451CC2" w:rsidRDefault="00451CC2" w:rsidP="00D31D31">
      <w:pPr>
        <w:rPr>
          <w:rFonts w:eastAsia="Calibri"/>
          <w:lang w:val="en-US"/>
        </w:rPr>
      </w:pPr>
      <w:r w:rsidRPr="00451CC2">
        <w:rPr>
          <w:rFonts w:eastAsia="Calibri"/>
          <w:lang w:val="en-US"/>
        </w:rPr>
        <w:t xml:space="preserve">The new </w:t>
      </w:r>
      <w:r w:rsidRPr="00451CC2">
        <w:rPr>
          <w:rFonts w:eastAsia="Calibri"/>
          <w:b/>
          <w:bCs/>
          <w:lang w:val="en-US"/>
        </w:rPr>
        <w:t>Oncology Hospital in Thessaloniki</w:t>
      </w:r>
      <w:r w:rsidRPr="00451CC2">
        <w:rPr>
          <w:rFonts w:eastAsia="Calibri"/>
          <w:lang w:val="en-US"/>
        </w:rPr>
        <w:t>, with a planned capacity of 425 beds, is designed to provide an integrated, patient-</w:t>
      </w:r>
      <w:proofErr w:type="spellStart"/>
      <w:r w:rsidRPr="00451CC2">
        <w:rPr>
          <w:rFonts w:eastAsia="Calibri"/>
          <w:lang w:val="en-US"/>
        </w:rPr>
        <w:t>centred</w:t>
      </w:r>
      <w:proofErr w:type="spellEnd"/>
      <w:r w:rsidRPr="00451CC2">
        <w:rPr>
          <w:rFonts w:eastAsia="Calibri"/>
          <w:lang w:val="en-US"/>
        </w:rPr>
        <w:t xml:space="preserve"> approach to cancer care, </w:t>
      </w:r>
      <w:proofErr w:type="spellStart"/>
      <w:r w:rsidRPr="00451CC2">
        <w:rPr>
          <w:rFonts w:eastAsia="Calibri"/>
          <w:lang w:val="en-US"/>
        </w:rPr>
        <w:t>emphasising</w:t>
      </w:r>
      <w:proofErr w:type="spellEnd"/>
      <w:r w:rsidRPr="00451CC2">
        <w:rPr>
          <w:rFonts w:eastAsia="Calibri"/>
          <w:lang w:val="en-US"/>
        </w:rPr>
        <w:t xml:space="preserve"> prevention, early detection and comprehensive disease management. The facility will include state-of-the-art medical infrastructure and dedicated units such as a Mental Health Centre, Palliative Care Unit and Patient Rehabilitation Area. The procurement procedure for the project, which is being implemented as a Public–Private Partnership, is progressing as planned, with the tender having been published in June 2025. The first phase of the competitive dialogue has already been completed and the shortlisted candidates have been selected, while the procedure remains ongoing, covering the design, financing, construction and long-term maintenance of the hospital. The preferred bidder is expected to be selected by the end of 2026, with the overall implementation timeline estimated at five years.</w:t>
      </w:r>
    </w:p>
    <w:p w14:paraId="7F3A63D6" w14:textId="77777777" w:rsidR="00451CC2" w:rsidRPr="00451CC2" w:rsidRDefault="00451CC2" w:rsidP="00D31D31">
      <w:pPr>
        <w:rPr>
          <w:rFonts w:eastAsia="Calibri"/>
          <w:lang w:val="en-US"/>
        </w:rPr>
      </w:pPr>
      <w:r w:rsidRPr="00451CC2">
        <w:rPr>
          <w:rFonts w:eastAsia="Calibri"/>
          <w:lang w:val="en-US"/>
        </w:rPr>
        <w:t xml:space="preserve">The </w:t>
      </w:r>
      <w:r w:rsidRPr="00451CC2">
        <w:rPr>
          <w:rFonts w:eastAsia="Calibri"/>
          <w:b/>
          <w:bCs/>
          <w:lang w:val="en-US"/>
        </w:rPr>
        <w:t>Hospital at Home investment</w:t>
      </w:r>
      <w:r w:rsidRPr="00451CC2">
        <w:rPr>
          <w:rFonts w:eastAsia="Calibri"/>
          <w:lang w:val="en-US"/>
        </w:rPr>
        <w:t xml:space="preserve"> focuses on the development of an integrated home-based care system for patients with complex health conditions. As part of the project, 8 Reference </w:t>
      </w:r>
      <w:r w:rsidRPr="00451CC2">
        <w:rPr>
          <w:rFonts w:eastAsia="Calibri"/>
          <w:lang w:val="en-US"/>
        </w:rPr>
        <w:lastRenderedPageBreak/>
        <w:t xml:space="preserve">Centers have received approval from the Regional Health Authorities to join the hospital network (two in Athens, one in Thessaloniki, one in </w:t>
      </w:r>
      <w:proofErr w:type="spellStart"/>
      <w:r w:rsidRPr="00451CC2">
        <w:rPr>
          <w:rFonts w:eastAsia="Calibri"/>
          <w:lang w:val="en-US"/>
        </w:rPr>
        <w:t>Alexandroupolis</w:t>
      </w:r>
      <w:proofErr w:type="spellEnd"/>
      <w:r w:rsidRPr="00451CC2">
        <w:rPr>
          <w:rFonts w:eastAsia="Calibri"/>
          <w:lang w:val="en-US"/>
        </w:rPr>
        <w:t>, one in Patras, one in Ioannina, one in Heraklion, and one in Larissa). In addition, three centres are partially staffed and already operational, with the Ministry of Health, in cooperation with the Hellenic Red Cross, further supporting the provision of the necessary staffing reinforcement. Home hospitalization will be monitored through a central digital system. The contract for the telemedicine application, including equipment and training, has been signed, and the development of the national patient registry is included within this contract, enabling continuous and structured monitoring of patients enrolled in the program. To support the program in terms of human resources, programmatic agreements are being developed with three universities for the training and upgrading of healthcare professionals. Furthermore, contracts for the project team responsible for developing therapeutic protocols have been awarded and signed, while the contract on quality and safety standards is currently under implementation.</w:t>
      </w:r>
    </w:p>
    <w:p w14:paraId="7E14F8E8" w14:textId="77777777" w:rsidR="00451CC2" w:rsidRPr="00451CC2" w:rsidRDefault="00451CC2" w:rsidP="00D31D31">
      <w:pPr>
        <w:rPr>
          <w:rFonts w:eastAsia="Calibri"/>
          <w:lang w:val="en-US"/>
        </w:rPr>
      </w:pPr>
      <w:bookmarkStart w:id="54" w:name="_heading=h.tyfznhnt98ux" w:colFirst="0" w:colLast="0"/>
      <w:bookmarkEnd w:id="54"/>
      <w:r w:rsidRPr="00451CC2">
        <w:rPr>
          <w:rFonts w:eastAsia="Calibri"/>
          <w:lang w:val="en-US"/>
        </w:rPr>
        <w:t xml:space="preserve">The investment in the </w:t>
      </w:r>
      <w:r w:rsidRPr="00451CC2">
        <w:rPr>
          <w:rFonts w:eastAsia="Calibri"/>
          <w:b/>
          <w:bCs/>
          <w:lang w:val="en-US"/>
        </w:rPr>
        <w:t>Digital Transformation of Health</w:t>
      </w:r>
      <w:r w:rsidRPr="00451CC2">
        <w:rPr>
          <w:rFonts w:eastAsia="Calibri"/>
          <w:lang w:val="en-US"/>
        </w:rPr>
        <w:t xml:space="preserve"> aims to comprehensively upgrade the quality, safety, and efficiency of healthcare services through the utilization of innovative digital solutions. The National Electronic Health Record project, launched in March 2025, is progressing smoothly, with the expansion of its functionalities completed in December 2025 and the system already in productive operation, enabling citizens to have full access to their personal health records. The full development of the remaining subsystems, including dictation functionalities and artificial intelligence tools for medical information management, is expected to be completed by June 2026. At the same time, the development of the National Telemedicine Network is advancing. Equipment has been installed in 332 out of 349 sites, of which 307 have already been connected to the Network Data Centre. In parallel, 3,000 home-care systems and 500 tablets have been delivered to the seven Regional Health Authorities, while extensive staff training has been completed and the network is currently undergoing full operational rollout. Regarding the Digital Programme for Cancer, the implementation study has been completed and the development of functionalities has started, with the project advancing in line with the planned schedule and most phases already completed. The digital transformation of EOPYY (the National Organization for Healthcare Provision) is also progressing, with key subsystems delivered during 2025, while the remaining components are expected to be completed by June 2026. Regarding the project for the digital readiness of hospitals, contracts have been signed for projects related to the digital upgrading of the National Emergency Aid Center, the Medicines Organization, the unified drug monitoring system, the unified medical equipment management system, the platform for managing and exchanging electronic hospital invoices, the digital readiness of the Health Regions and EKAPY, the information system for informing citizens about the on-call hospitals, and the human resources and payroll management information system in healthcare facilities. The completion of these interventions is expected by the end of the second quarter of 2026. Finally, the extension of electronic prescribing to cover inpatient care is currently under implementation.</w:t>
      </w:r>
    </w:p>
    <w:p w14:paraId="13A7983A" w14:textId="77777777" w:rsidR="00451CC2" w:rsidRDefault="00D16D91" w:rsidP="00A35FB4">
      <w:pPr>
        <w:pStyle w:val="Heading2"/>
        <w:pBdr>
          <w:bottom w:val="single" w:sz="4" w:space="1" w:color="4F81BD" w:themeColor="accent1"/>
        </w:pBdr>
        <w:spacing w:before="840"/>
        <w:rPr>
          <w:rFonts w:eastAsia="Calibri"/>
          <w:sz w:val="36"/>
          <w:lang w:val="en-US"/>
        </w:rPr>
      </w:pPr>
      <w:bookmarkStart w:id="55" w:name="_Toc227932498"/>
      <w:bookmarkStart w:id="56" w:name="_Toc228279091"/>
      <w:r>
        <w:rPr>
          <w:rFonts w:eastAsia="Calibri"/>
          <w:sz w:val="36"/>
          <w:lang w:val="en-US"/>
        </w:rPr>
        <w:lastRenderedPageBreak/>
        <w:t>M</w:t>
      </w:r>
      <w:r w:rsidRPr="00D16D91">
        <w:rPr>
          <w:rFonts w:eastAsia="Calibri"/>
          <w:sz w:val="36"/>
          <w:lang w:val="en-US"/>
        </w:rPr>
        <w:t xml:space="preserve">inistry of </w:t>
      </w:r>
      <w:r>
        <w:rPr>
          <w:rFonts w:eastAsia="Calibri"/>
          <w:sz w:val="36"/>
          <w:lang w:val="en-US"/>
        </w:rPr>
        <w:t>C</w:t>
      </w:r>
      <w:r w:rsidRPr="00D16D91">
        <w:rPr>
          <w:rFonts w:eastAsia="Calibri"/>
          <w:sz w:val="36"/>
          <w:lang w:val="en-US"/>
        </w:rPr>
        <w:t xml:space="preserve">itizen </w:t>
      </w:r>
      <w:r>
        <w:rPr>
          <w:rFonts w:eastAsia="Calibri"/>
          <w:sz w:val="36"/>
          <w:lang w:val="en-US"/>
        </w:rPr>
        <w:t>P</w:t>
      </w:r>
      <w:r w:rsidRPr="00D16D91">
        <w:rPr>
          <w:rFonts w:eastAsia="Calibri"/>
          <w:sz w:val="36"/>
          <w:lang w:val="en-US"/>
        </w:rPr>
        <w:t>rotection</w:t>
      </w:r>
      <w:bookmarkEnd w:id="55"/>
      <w:bookmarkEnd w:id="56"/>
    </w:p>
    <w:tbl>
      <w:tblPr>
        <w:tblW w:w="8923" w:type="dxa"/>
        <w:jc w:val="center"/>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Look w:val="04A0" w:firstRow="1" w:lastRow="0" w:firstColumn="1" w:lastColumn="0" w:noHBand="0" w:noVBand="1"/>
      </w:tblPr>
      <w:tblGrid>
        <w:gridCol w:w="3961"/>
        <w:gridCol w:w="956"/>
        <w:gridCol w:w="1454"/>
        <w:gridCol w:w="1200"/>
        <w:gridCol w:w="1352"/>
      </w:tblGrid>
      <w:tr w:rsidR="00D16D91" w:rsidRPr="00D16D91" w14:paraId="4B6FE8F6" w14:textId="77777777" w:rsidTr="0040288A">
        <w:trPr>
          <w:trHeight w:val="170"/>
          <w:jc w:val="center"/>
        </w:trPr>
        <w:tc>
          <w:tcPr>
            <w:tcW w:w="3961" w:type="dxa"/>
            <w:shd w:val="clear" w:color="000000" w:fill="CFE2F3"/>
            <w:vAlign w:val="center"/>
            <w:hideMark/>
          </w:tcPr>
          <w:p w14:paraId="1F87B6B3" w14:textId="77777777" w:rsidR="00D16D91" w:rsidRPr="00D16D91" w:rsidRDefault="00D16D91" w:rsidP="00D16D91">
            <w:pPr>
              <w:pStyle w:val="Tabletext"/>
              <w:rPr>
                <w:b/>
              </w:rPr>
            </w:pPr>
            <w:r w:rsidRPr="00D16D91">
              <w:rPr>
                <w:b/>
              </w:rPr>
              <w:t>REFORM / INVESTMENT</w:t>
            </w:r>
          </w:p>
        </w:tc>
        <w:tc>
          <w:tcPr>
            <w:tcW w:w="956" w:type="dxa"/>
            <w:shd w:val="clear" w:color="000000" w:fill="CFE2F3"/>
            <w:vAlign w:val="center"/>
            <w:hideMark/>
          </w:tcPr>
          <w:p w14:paraId="3478AB66" w14:textId="77777777" w:rsidR="00D16D91" w:rsidRPr="00D16D91" w:rsidRDefault="00D16D91" w:rsidP="00D16D91">
            <w:pPr>
              <w:pStyle w:val="Tabletext"/>
              <w:rPr>
                <w:b/>
              </w:rPr>
            </w:pPr>
            <w:r w:rsidRPr="00D16D91">
              <w:rPr>
                <w:b/>
              </w:rPr>
              <w:t xml:space="preserve">RRF / MFF </w:t>
            </w:r>
          </w:p>
        </w:tc>
        <w:tc>
          <w:tcPr>
            <w:tcW w:w="1454" w:type="dxa"/>
            <w:tcBorders>
              <w:bottom w:val="single" w:sz="2" w:space="0" w:color="4F81BD" w:themeColor="accent1"/>
            </w:tcBorders>
            <w:shd w:val="clear" w:color="000000" w:fill="CFE2F3"/>
            <w:vAlign w:val="center"/>
            <w:hideMark/>
          </w:tcPr>
          <w:p w14:paraId="14542EA4" w14:textId="77777777" w:rsidR="00D16D91" w:rsidRPr="00D16D91" w:rsidRDefault="00D16D91" w:rsidP="00D16D91">
            <w:pPr>
              <w:pStyle w:val="Tabletext"/>
              <w:rPr>
                <w:b/>
              </w:rPr>
            </w:pPr>
            <w:r w:rsidRPr="00D16D91">
              <w:rPr>
                <w:b/>
              </w:rPr>
              <w:t xml:space="preserve">CSR </w:t>
            </w:r>
          </w:p>
        </w:tc>
        <w:tc>
          <w:tcPr>
            <w:tcW w:w="1200" w:type="dxa"/>
            <w:shd w:val="clear" w:color="000000" w:fill="CFE2F3"/>
            <w:vAlign w:val="center"/>
            <w:hideMark/>
          </w:tcPr>
          <w:p w14:paraId="7C8E0119" w14:textId="77777777" w:rsidR="00D16D91" w:rsidRPr="00D16D91" w:rsidRDefault="00D16D91" w:rsidP="00D16D91">
            <w:pPr>
              <w:pStyle w:val="Tabletext"/>
              <w:rPr>
                <w:b/>
              </w:rPr>
            </w:pPr>
            <w:r w:rsidRPr="00D16D91">
              <w:rPr>
                <w:b/>
              </w:rPr>
              <w:t>COMMON PRIORITIES</w:t>
            </w:r>
          </w:p>
        </w:tc>
        <w:tc>
          <w:tcPr>
            <w:tcW w:w="1352" w:type="dxa"/>
            <w:shd w:val="clear" w:color="000000" w:fill="CFE2F3"/>
            <w:vAlign w:val="center"/>
            <w:hideMark/>
          </w:tcPr>
          <w:p w14:paraId="6ECD0CC6" w14:textId="77777777" w:rsidR="00D16D91" w:rsidRPr="00D16D91" w:rsidRDefault="00D16D91" w:rsidP="00D16D91">
            <w:pPr>
              <w:pStyle w:val="Tabletext"/>
              <w:rPr>
                <w:b/>
              </w:rPr>
            </w:pPr>
            <w:r w:rsidRPr="00D16D91">
              <w:rPr>
                <w:b/>
              </w:rPr>
              <w:t>On-track status</w:t>
            </w:r>
          </w:p>
        </w:tc>
      </w:tr>
      <w:tr w:rsidR="00D16D91" w:rsidRPr="00D16D91" w14:paraId="28B77638" w14:textId="77777777" w:rsidTr="0040288A">
        <w:trPr>
          <w:trHeight w:val="170"/>
          <w:jc w:val="center"/>
        </w:trPr>
        <w:tc>
          <w:tcPr>
            <w:tcW w:w="3961" w:type="dxa"/>
            <w:vMerge w:val="restart"/>
            <w:vAlign w:val="center"/>
            <w:hideMark/>
          </w:tcPr>
          <w:p w14:paraId="1F4907E6" w14:textId="77777777" w:rsidR="00D16D91" w:rsidRPr="00D16D91" w:rsidRDefault="00540671" w:rsidP="00D16D91">
            <w:pPr>
              <w:pStyle w:val="Tabletext"/>
              <w:rPr>
                <w:szCs w:val="23"/>
              </w:rPr>
            </w:pPr>
            <w:r w:rsidRPr="00540671">
              <w:rPr>
                <w:b/>
                <w:szCs w:val="23"/>
              </w:rPr>
              <w:t>REFORM 1:</w:t>
            </w:r>
            <w:r w:rsidR="00D16D91" w:rsidRPr="00D16D91">
              <w:rPr>
                <w:szCs w:val="23"/>
              </w:rPr>
              <w:t xml:space="preserve"> Issuance and implementation of Temporary Healthcare Number for detainees (PAYPEK)</w:t>
            </w:r>
          </w:p>
        </w:tc>
        <w:tc>
          <w:tcPr>
            <w:tcW w:w="956" w:type="dxa"/>
            <w:vMerge w:val="restart"/>
            <w:vAlign w:val="center"/>
            <w:hideMark/>
          </w:tcPr>
          <w:p w14:paraId="4FC0D6EC" w14:textId="77777777" w:rsidR="00D16D91" w:rsidRPr="00D16D91" w:rsidRDefault="00D16D91" w:rsidP="00D16D91">
            <w:pPr>
              <w:pStyle w:val="Tabletext"/>
              <w:rPr>
                <w:szCs w:val="23"/>
              </w:rPr>
            </w:pPr>
            <w:r w:rsidRPr="00D16D91">
              <w:rPr>
                <w:szCs w:val="23"/>
              </w:rPr>
              <w:t>-</w:t>
            </w:r>
          </w:p>
        </w:tc>
        <w:tc>
          <w:tcPr>
            <w:tcW w:w="1454" w:type="dxa"/>
            <w:tcBorders>
              <w:bottom w:val="nil"/>
            </w:tcBorders>
            <w:vAlign w:val="center"/>
            <w:hideMark/>
          </w:tcPr>
          <w:p w14:paraId="340209CE" w14:textId="77777777" w:rsidR="00D16D91" w:rsidRPr="00D16D91" w:rsidRDefault="00D16D91" w:rsidP="00D16D91">
            <w:pPr>
              <w:pStyle w:val="Tabletext"/>
              <w:rPr>
                <w:szCs w:val="23"/>
              </w:rPr>
            </w:pPr>
            <w:r w:rsidRPr="00D16D91">
              <w:rPr>
                <w:szCs w:val="23"/>
              </w:rPr>
              <w:t>2025 CSR 5.7 2023.CSR 3.1</w:t>
            </w:r>
          </w:p>
        </w:tc>
        <w:tc>
          <w:tcPr>
            <w:tcW w:w="1200" w:type="dxa"/>
            <w:vMerge w:val="restart"/>
            <w:vAlign w:val="center"/>
            <w:hideMark/>
          </w:tcPr>
          <w:p w14:paraId="4D3EF728" w14:textId="77777777" w:rsidR="00D16D91" w:rsidRPr="00D16D91" w:rsidRDefault="00D16D91" w:rsidP="00D16D91">
            <w:pPr>
              <w:pStyle w:val="Tabletext"/>
              <w:rPr>
                <w:szCs w:val="23"/>
              </w:rPr>
            </w:pPr>
            <w:r w:rsidRPr="00D16D91">
              <w:rPr>
                <w:szCs w:val="23"/>
              </w:rPr>
              <w:t>Social and Economic resilience</w:t>
            </w:r>
          </w:p>
        </w:tc>
        <w:tc>
          <w:tcPr>
            <w:tcW w:w="1352" w:type="dxa"/>
            <w:vMerge w:val="restart"/>
            <w:vAlign w:val="center"/>
            <w:hideMark/>
          </w:tcPr>
          <w:p w14:paraId="039C92C6" w14:textId="77777777" w:rsidR="00D16D91" w:rsidRPr="00D16D91" w:rsidRDefault="00D16D91" w:rsidP="00D16D91">
            <w:pPr>
              <w:pStyle w:val="Tabletext"/>
              <w:rPr>
                <w:szCs w:val="23"/>
              </w:rPr>
            </w:pPr>
            <w:r w:rsidRPr="00D16D91">
              <w:rPr>
                <w:szCs w:val="23"/>
              </w:rPr>
              <w:t>On track</w:t>
            </w:r>
          </w:p>
        </w:tc>
      </w:tr>
      <w:tr w:rsidR="00D16D91" w:rsidRPr="00D16D91" w14:paraId="05452DD1" w14:textId="77777777" w:rsidTr="0040288A">
        <w:trPr>
          <w:trHeight w:val="170"/>
          <w:jc w:val="center"/>
        </w:trPr>
        <w:tc>
          <w:tcPr>
            <w:tcW w:w="3961" w:type="dxa"/>
            <w:vMerge/>
            <w:vAlign w:val="center"/>
            <w:hideMark/>
          </w:tcPr>
          <w:p w14:paraId="213F1657" w14:textId="77777777" w:rsidR="00D16D91" w:rsidRPr="00D16D91" w:rsidRDefault="00D16D91" w:rsidP="00D16D91">
            <w:pPr>
              <w:pStyle w:val="Tabletext"/>
              <w:rPr>
                <w:szCs w:val="23"/>
              </w:rPr>
            </w:pPr>
          </w:p>
        </w:tc>
        <w:tc>
          <w:tcPr>
            <w:tcW w:w="956" w:type="dxa"/>
            <w:vMerge/>
            <w:vAlign w:val="center"/>
            <w:hideMark/>
          </w:tcPr>
          <w:p w14:paraId="0C48D2D6" w14:textId="77777777" w:rsidR="00D16D91" w:rsidRPr="00D16D91" w:rsidRDefault="00D16D91" w:rsidP="00D16D91">
            <w:pPr>
              <w:pStyle w:val="Tabletext"/>
              <w:rPr>
                <w:szCs w:val="23"/>
              </w:rPr>
            </w:pPr>
          </w:p>
        </w:tc>
        <w:tc>
          <w:tcPr>
            <w:tcW w:w="1454" w:type="dxa"/>
            <w:tcBorders>
              <w:top w:val="nil"/>
              <w:bottom w:val="single" w:sz="2" w:space="0" w:color="4F81BD" w:themeColor="accent1"/>
            </w:tcBorders>
            <w:vAlign w:val="center"/>
            <w:hideMark/>
          </w:tcPr>
          <w:p w14:paraId="60CD1D4E" w14:textId="77777777" w:rsidR="00D16D91" w:rsidRPr="00D16D91" w:rsidRDefault="00D16D91" w:rsidP="00D16D91">
            <w:pPr>
              <w:pStyle w:val="Tabletext"/>
              <w:rPr>
                <w:szCs w:val="23"/>
              </w:rPr>
            </w:pPr>
            <w:r w:rsidRPr="00D16D91">
              <w:rPr>
                <w:szCs w:val="23"/>
              </w:rPr>
              <w:t>2022.CSR 3.1</w:t>
            </w:r>
          </w:p>
        </w:tc>
        <w:tc>
          <w:tcPr>
            <w:tcW w:w="1200" w:type="dxa"/>
            <w:vMerge/>
            <w:vAlign w:val="center"/>
            <w:hideMark/>
          </w:tcPr>
          <w:p w14:paraId="37EA10B4" w14:textId="77777777" w:rsidR="00D16D91" w:rsidRPr="00D16D91" w:rsidRDefault="00D16D91" w:rsidP="00D16D91">
            <w:pPr>
              <w:pStyle w:val="Tabletext"/>
              <w:rPr>
                <w:szCs w:val="23"/>
              </w:rPr>
            </w:pPr>
          </w:p>
        </w:tc>
        <w:tc>
          <w:tcPr>
            <w:tcW w:w="1352" w:type="dxa"/>
            <w:vMerge/>
            <w:vAlign w:val="center"/>
            <w:hideMark/>
          </w:tcPr>
          <w:p w14:paraId="298F9B4A" w14:textId="77777777" w:rsidR="00D16D91" w:rsidRPr="00D16D91" w:rsidRDefault="00D16D91" w:rsidP="00D16D91">
            <w:pPr>
              <w:pStyle w:val="Tabletext"/>
              <w:rPr>
                <w:szCs w:val="23"/>
              </w:rPr>
            </w:pPr>
          </w:p>
        </w:tc>
      </w:tr>
      <w:tr w:rsidR="00D16D91" w:rsidRPr="00D16D91" w14:paraId="121A2C66" w14:textId="77777777" w:rsidTr="0040288A">
        <w:trPr>
          <w:trHeight w:val="170"/>
          <w:jc w:val="center"/>
        </w:trPr>
        <w:tc>
          <w:tcPr>
            <w:tcW w:w="3961" w:type="dxa"/>
            <w:vMerge w:val="restart"/>
            <w:vAlign w:val="center"/>
            <w:hideMark/>
          </w:tcPr>
          <w:p w14:paraId="49FB6CCA" w14:textId="77777777" w:rsidR="00D16D91" w:rsidRPr="00D16D91" w:rsidRDefault="00540671" w:rsidP="00D16D91">
            <w:pPr>
              <w:pStyle w:val="Tabletext"/>
              <w:rPr>
                <w:szCs w:val="23"/>
              </w:rPr>
            </w:pPr>
            <w:r w:rsidRPr="00540671">
              <w:rPr>
                <w:b/>
                <w:szCs w:val="23"/>
              </w:rPr>
              <w:t>REFORM 2:</w:t>
            </w:r>
            <w:r w:rsidR="00D16D91" w:rsidRPr="00D16D91">
              <w:rPr>
                <w:szCs w:val="23"/>
              </w:rPr>
              <w:t xml:space="preserve"> Upgrading Police Academy and Higher Police Education </w:t>
            </w:r>
          </w:p>
        </w:tc>
        <w:tc>
          <w:tcPr>
            <w:tcW w:w="956" w:type="dxa"/>
            <w:vMerge w:val="restart"/>
            <w:vAlign w:val="center"/>
            <w:hideMark/>
          </w:tcPr>
          <w:p w14:paraId="4D894E42" w14:textId="77777777" w:rsidR="00D16D91" w:rsidRPr="00D16D91" w:rsidRDefault="00D16D91" w:rsidP="00D16D91">
            <w:pPr>
              <w:pStyle w:val="Tabletext"/>
              <w:rPr>
                <w:szCs w:val="23"/>
              </w:rPr>
            </w:pPr>
            <w:r w:rsidRPr="00D16D91">
              <w:rPr>
                <w:szCs w:val="23"/>
              </w:rPr>
              <w:t>-</w:t>
            </w:r>
          </w:p>
        </w:tc>
        <w:tc>
          <w:tcPr>
            <w:tcW w:w="1454" w:type="dxa"/>
            <w:tcBorders>
              <w:bottom w:val="nil"/>
            </w:tcBorders>
            <w:vAlign w:val="center"/>
            <w:hideMark/>
          </w:tcPr>
          <w:p w14:paraId="278C21C1" w14:textId="77777777" w:rsidR="00D16D91" w:rsidRPr="00D16D91" w:rsidRDefault="00D16D91" w:rsidP="00D16D91">
            <w:pPr>
              <w:pStyle w:val="Tabletext"/>
              <w:rPr>
                <w:szCs w:val="23"/>
              </w:rPr>
            </w:pPr>
            <w:r w:rsidRPr="00D16D91">
              <w:rPr>
                <w:szCs w:val="23"/>
              </w:rPr>
              <w:t>2020.CSR 3.8</w:t>
            </w:r>
          </w:p>
        </w:tc>
        <w:tc>
          <w:tcPr>
            <w:tcW w:w="1200" w:type="dxa"/>
            <w:vMerge w:val="restart"/>
            <w:vAlign w:val="center"/>
            <w:hideMark/>
          </w:tcPr>
          <w:p w14:paraId="45F7B28B" w14:textId="77777777" w:rsidR="00D16D91" w:rsidRPr="00D16D91" w:rsidRDefault="00D16D91" w:rsidP="00D16D91">
            <w:pPr>
              <w:pStyle w:val="Tabletext"/>
              <w:rPr>
                <w:szCs w:val="23"/>
              </w:rPr>
            </w:pPr>
            <w:r w:rsidRPr="00D16D91">
              <w:rPr>
                <w:szCs w:val="23"/>
              </w:rPr>
              <w:t>Social and Economic resilience</w:t>
            </w:r>
          </w:p>
        </w:tc>
        <w:tc>
          <w:tcPr>
            <w:tcW w:w="1352" w:type="dxa"/>
            <w:vMerge w:val="restart"/>
            <w:vAlign w:val="center"/>
            <w:hideMark/>
          </w:tcPr>
          <w:p w14:paraId="4A8958A2" w14:textId="77777777" w:rsidR="00D16D91" w:rsidRPr="00D16D91" w:rsidRDefault="00D16D91" w:rsidP="00D16D91">
            <w:pPr>
              <w:pStyle w:val="Tabletext"/>
              <w:rPr>
                <w:szCs w:val="23"/>
              </w:rPr>
            </w:pPr>
            <w:r w:rsidRPr="00D16D91">
              <w:rPr>
                <w:szCs w:val="23"/>
              </w:rPr>
              <w:t>On track</w:t>
            </w:r>
          </w:p>
        </w:tc>
      </w:tr>
      <w:tr w:rsidR="00D16D91" w:rsidRPr="00D16D91" w14:paraId="64FC140B" w14:textId="77777777" w:rsidTr="0040288A">
        <w:trPr>
          <w:trHeight w:val="170"/>
          <w:jc w:val="center"/>
        </w:trPr>
        <w:tc>
          <w:tcPr>
            <w:tcW w:w="3961" w:type="dxa"/>
            <w:vMerge/>
            <w:vAlign w:val="center"/>
            <w:hideMark/>
          </w:tcPr>
          <w:p w14:paraId="11260DF7" w14:textId="77777777" w:rsidR="00D16D91" w:rsidRPr="00D16D91" w:rsidRDefault="00D16D91" w:rsidP="00D16D91">
            <w:pPr>
              <w:pStyle w:val="Tabletext"/>
              <w:rPr>
                <w:szCs w:val="23"/>
              </w:rPr>
            </w:pPr>
          </w:p>
        </w:tc>
        <w:tc>
          <w:tcPr>
            <w:tcW w:w="956" w:type="dxa"/>
            <w:vMerge/>
            <w:vAlign w:val="center"/>
            <w:hideMark/>
          </w:tcPr>
          <w:p w14:paraId="7BF26616" w14:textId="77777777" w:rsidR="00D16D91" w:rsidRPr="00D16D91" w:rsidRDefault="00D16D91" w:rsidP="00D16D91">
            <w:pPr>
              <w:pStyle w:val="Tabletext"/>
              <w:rPr>
                <w:szCs w:val="23"/>
              </w:rPr>
            </w:pPr>
          </w:p>
        </w:tc>
        <w:tc>
          <w:tcPr>
            <w:tcW w:w="1454" w:type="dxa"/>
            <w:tcBorders>
              <w:top w:val="nil"/>
              <w:bottom w:val="nil"/>
            </w:tcBorders>
            <w:vAlign w:val="center"/>
            <w:hideMark/>
          </w:tcPr>
          <w:p w14:paraId="1D436463" w14:textId="77777777" w:rsidR="00D16D91" w:rsidRPr="00D16D91" w:rsidRDefault="00D16D91" w:rsidP="00D16D91">
            <w:pPr>
              <w:pStyle w:val="Tabletext"/>
              <w:rPr>
                <w:szCs w:val="23"/>
              </w:rPr>
            </w:pPr>
            <w:r w:rsidRPr="00D16D91">
              <w:rPr>
                <w:szCs w:val="23"/>
              </w:rPr>
              <w:t>2019.CSR 2.6</w:t>
            </w:r>
          </w:p>
        </w:tc>
        <w:tc>
          <w:tcPr>
            <w:tcW w:w="1200" w:type="dxa"/>
            <w:vMerge/>
            <w:vAlign w:val="center"/>
            <w:hideMark/>
          </w:tcPr>
          <w:p w14:paraId="3D6EF053" w14:textId="77777777" w:rsidR="00D16D91" w:rsidRPr="00D16D91" w:rsidRDefault="00D16D91" w:rsidP="00D16D91">
            <w:pPr>
              <w:pStyle w:val="Tabletext"/>
              <w:rPr>
                <w:szCs w:val="23"/>
              </w:rPr>
            </w:pPr>
          </w:p>
        </w:tc>
        <w:tc>
          <w:tcPr>
            <w:tcW w:w="1352" w:type="dxa"/>
            <w:vMerge/>
            <w:vAlign w:val="center"/>
            <w:hideMark/>
          </w:tcPr>
          <w:p w14:paraId="64066921" w14:textId="77777777" w:rsidR="00D16D91" w:rsidRPr="00D16D91" w:rsidRDefault="00D16D91" w:rsidP="00D16D91">
            <w:pPr>
              <w:pStyle w:val="Tabletext"/>
              <w:rPr>
                <w:szCs w:val="23"/>
              </w:rPr>
            </w:pPr>
          </w:p>
        </w:tc>
      </w:tr>
      <w:tr w:rsidR="00D16D91" w:rsidRPr="00D16D91" w14:paraId="4256958B" w14:textId="77777777" w:rsidTr="0040288A">
        <w:trPr>
          <w:trHeight w:val="170"/>
          <w:jc w:val="center"/>
        </w:trPr>
        <w:tc>
          <w:tcPr>
            <w:tcW w:w="3961" w:type="dxa"/>
            <w:vMerge/>
            <w:vAlign w:val="center"/>
            <w:hideMark/>
          </w:tcPr>
          <w:p w14:paraId="3599C9E8" w14:textId="77777777" w:rsidR="00D16D91" w:rsidRPr="00D16D91" w:rsidRDefault="00D16D91" w:rsidP="00D16D91">
            <w:pPr>
              <w:pStyle w:val="Tabletext"/>
              <w:rPr>
                <w:szCs w:val="23"/>
              </w:rPr>
            </w:pPr>
          </w:p>
        </w:tc>
        <w:tc>
          <w:tcPr>
            <w:tcW w:w="956" w:type="dxa"/>
            <w:vMerge/>
            <w:vAlign w:val="center"/>
            <w:hideMark/>
          </w:tcPr>
          <w:p w14:paraId="67E38FF0" w14:textId="77777777" w:rsidR="00D16D91" w:rsidRPr="00D16D91" w:rsidRDefault="00D16D91" w:rsidP="00D16D91">
            <w:pPr>
              <w:pStyle w:val="Tabletext"/>
              <w:rPr>
                <w:szCs w:val="23"/>
              </w:rPr>
            </w:pPr>
          </w:p>
        </w:tc>
        <w:tc>
          <w:tcPr>
            <w:tcW w:w="1454" w:type="dxa"/>
            <w:tcBorders>
              <w:top w:val="nil"/>
            </w:tcBorders>
            <w:vAlign w:val="center"/>
            <w:hideMark/>
          </w:tcPr>
          <w:p w14:paraId="2015CF0B" w14:textId="77777777" w:rsidR="00D16D91" w:rsidRPr="00D16D91" w:rsidRDefault="00D16D91" w:rsidP="00D16D91">
            <w:pPr>
              <w:pStyle w:val="Tabletext"/>
              <w:rPr>
                <w:szCs w:val="23"/>
              </w:rPr>
            </w:pPr>
            <w:r w:rsidRPr="00D16D91">
              <w:rPr>
                <w:szCs w:val="23"/>
              </w:rPr>
              <w:t>2019.CSR 2.5</w:t>
            </w:r>
          </w:p>
        </w:tc>
        <w:tc>
          <w:tcPr>
            <w:tcW w:w="1200" w:type="dxa"/>
            <w:vMerge/>
            <w:vAlign w:val="center"/>
            <w:hideMark/>
          </w:tcPr>
          <w:p w14:paraId="7FB49F33" w14:textId="77777777" w:rsidR="00D16D91" w:rsidRPr="00D16D91" w:rsidRDefault="00D16D91" w:rsidP="00D16D91">
            <w:pPr>
              <w:pStyle w:val="Tabletext"/>
              <w:rPr>
                <w:szCs w:val="23"/>
              </w:rPr>
            </w:pPr>
          </w:p>
        </w:tc>
        <w:tc>
          <w:tcPr>
            <w:tcW w:w="1352" w:type="dxa"/>
            <w:vMerge/>
            <w:vAlign w:val="center"/>
            <w:hideMark/>
          </w:tcPr>
          <w:p w14:paraId="4F4C6F4C" w14:textId="77777777" w:rsidR="00D16D91" w:rsidRPr="00D16D91" w:rsidRDefault="00D16D91" w:rsidP="00D16D91">
            <w:pPr>
              <w:pStyle w:val="Tabletext"/>
              <w:rPr>
                <w:szCs w:val="23"/>
              </w:rPr>
            </w:pPr>
          </w:p>
        </w:tc>
      </w:tr>
      <w:tr w:rsidR="00D16D91" w:rsidRPr="00D16D91" w14:paraId="5CE69E21" w14:textId="77777777" w:rsidTr="0040288A">
        <w:trPr>
          <w:trHeight w:val="170"/>
          <w:jc w:val="center"/>
        </w:trPr>
        <w:tc>
          <w:tcPr>
            <w:tcW w:w="3961" w:type="dxa"/>
            <w:vAlign w:val="center"/>
            <w:hideMark/>
          </w:tcPr>
          <w:p w14:paraId="0EB3D4A9" w14:textId="77777777" w:rsidR="00D16D91" w:rsidRPr="00D16D91" w:rsidRDefault="00D16D91" w:rsidP="00D16D91">
            <w:pPr>
              <w:pStyle w:val="Tabletext"/>
              <w:rPr>
                <w:szCs w:val="23"/>
              </w:rPr>
            </w:pPr>
            <w:r w:rsidRPr="00D16D91">
              <w:rPr>
                <w:szCs w:val="23"/>
              </w:rPr>
              <w:t>INVESTMENT 1 : Integrated external border management to counter irregular migration and smuggling, through artificial intelligence and IT tools</w:t>
            </w:r>
          </w:p>
        </w:tc>
        <w:tc>
          <w:tcPr>
            <w:tcW w:w="956" w:type="dxa"/>
            <w:vAlign w:val="center"/>
            <w:hideMark/>
          </w:tcPr>
          <w:p w14:paraId="23F1FEBC" w14:textId="77777777" w:rsidR="00D16D91" w:rsidRPr="00D16D91" w:rsidRDefault="00D16D91" w:rsidP="00D16D91">
            <w:pPr>
              <w:pStyle w:val="Tabletext"/>
              <w:rPr>
                <w:szCs w:val="23"/>
              </w:rPr>
            </w:pPr>
            <w:r w:rsidRPr="00D16D91">
              <w:rPr>
                <w:szCs w:val="23"/>
              </w:rPr>
              <w:t>MFF</w:t>
            </w:r>
          </w:p>
        </w:tc>
        <w:tc>
          <w:tcPr>
            <w:tcW w:w="1454" w:type="dxa"/>
            <w:vAlign w:val="center"/>
            <w:hideMark/>
          </w:tcPr>
          <w:p w14:paraId="15C633A3" w14:textId="77777777" w:rsidR="00D16D91" w:rsidRPr="00D16D91" w:rsidRDefault="00D16D91" w:rsidP="00D16D91">
            <w:pPr>
              <w:pStyle w:val="Tabletext"/>
              <w:rPr>
                <w:szCs w:val="23"/>
              </w:rPr>
            </w:pPr>
            <w:r w:rsidRPr="00D16D91">
              <w:rPr>
                <w:szCs w:val="23"/>
              </w:rPr>
              <w:t>2019.CSR 2.3</w:t>
            </w:r>
          </w:p>
        </w:tc>
        <w:tc>
          <w:tcPr>
            <w:tcW w:w="1200" w:type="dxa"/>
            <w:vAlign w:val="center"/>
            <w:hideMark/>
          </w:tcPr>
          <w:p w14:paraId="6FB7B6AC" w14:textId="77777777" w:rsidR="00D16D91" w:rsidRPr="00D16D91" w:rsidRDefault="00B913EE" w:rsidP="00D16D91">
            <w:pPr>
              <w:pStyle w:val="Tabletext"/>
              <w:rPr>
                <w:szCs w:val="23"/>
              </w:rPr>
            </w:pPr>
            <w:r>
              <w:rPr>
                <w:szCs w:val="23"/>
              </w:rPr>
              <w:t>Defence</w:t>
            </w:r>
            <w:r w:rsidR="00D16D91" w:rsidRPr="00D16D91">
              <w:rPr>
                <w:szCs w:val="23"/>
              </w:rPr>
              <w:t xml:space="preserve"> Capabilities</w:t>
            </w:r>
          </w:p>
        </w:tc>
        <w:tc>
          <w:tcPr>
            <w:tcW w:w="1352" w:type="dxa"/>
            <w:vAlign w:val="center"/>
            <w:hideMark/>
          </w:tcPr>
          <w:p w14:paraId="75E7E91B" w14:textId="77777777" w:rsidR="00D16D91" w:rsidRPr="00D16D91" w:rsidRDefault="00D16D91" w:rsidP="00D16D91">
            <w:pPr>
              <w:pStyle w:val="Tabletext"/>
              <w:rPr>
                <w:szCs w:val="23"/>
              </w:rPr>
            </w:pPr>
            <w:r w:rsidRPr="00D16D91">
              <w:rPr>
                <w:szCs w:val="23"/>
              </w:rPr>
              <w:t>Delayed</w:t>
            </w:r>
          </w:p>
        </w:tc>
      </w:tr>
      <w:tr w:rsidR="00D16D91" w:rsidRPr="00D16D91" w14:paraId="28B4DD86" w14:textId="77777777" w:rsidTr="0040288A">
        <w:trPr>
          <w:trHeight w:val="170"/>
          <w:jc w:val="center"/>
        </w:trPr>
        <w:tc>
          <w:tcPr>
            <w:tcW w:w="3961" w:type="dxa"/>
            <w:vAlign w:val="center"/>
            <w:hideMark/>
          </w:tcPr>
          <w:p w14:paraId="164D326E" w14:textId="77777777" w:rsidR="00D16D91" w:rsidRPr="00D16D91" w:rsidRDefault="00540671" w:rsidP="00D16D91">
            <w:pPr>
              <w:pStyle w:val="Tabletext"/>
              <w:rPr>
                <w:szCs w:val="23"/>
              </w:rPr>
            </w:pPr>
            <w:r w:rsidRPr="00540671">
              <w:rPr>
                <w:b/>
                <w:szCs w:val="23"/>
              </w:rPr>
              <w:t>INVESTMENT 2:</w:t>
            </w:r>
            <w:r w:rsidR="00D16D91" w:rsidRPr="00D16D91">
              <w:rPr>
                <w:szCs w:val="23"/>
              </w:rPr>
              <w:t xml:space="preserve"> Extension of the Artificial Barrier (Fence) to the entire border line in Evros</w:t>
            </w:r>
          </w:p>
        </w:tc>
        <w:tc>
          <w:tcPr>
            <w:tcW w:w="956" w:type="dxa"/>
            <w:vAlign w:val="center"/>
            <w:hideMark/>
          </w:tcPr>
          <w:p w14:paraId="2A9462A8" w14:textId="77777777" w:rsidR="00D16D91" w:rsidRPr="00D16D91" w:rsidRDefault="00D16D91" w:rsidP="00D16D91">
            <w:pPr>
              <w:pStyle w:val="Tabletext"/>
              <w:rPr>
                <w:szCs w:val="23"/>
              </w:rPr>
            </w:pPr>
            <w:r w:rsidRPr="00D16D91">
              <w:rPr>
                <w:szCs w:val="23"/>
              </w:rPr>
              <w:t> </w:t>
            </w:r>
          </w:p>
        </w:tc>
        <w:tc>
          <w:tcPr>
            <w:tcW w:w="1454" w:type="dxa"/>
            <w:tcBorders>
              <w:bottom w:val="single" w:sz="2" w:space="0" w:color="4F81BD" w:themeColor="accent1"/>
            </w:tcBorders>
            <w:vAlign w:val="center"/>
            <w:hideMark/>
          </w:tcPr>
          <w:p w14:paraId="19997F74" w14:textId="77777777" w:rsidR="00D16D91" w:rsidRPr="00D16D91" w:rsidRDefault="00D16D91" w:rsidP="00D16D91">
            <w:pPr>
              <w:pStyle w:val="Tabletext"/>
              <w:rPr>
                <w:szCs w:val="23"/>
              </w:rPr>
            </w:pPr>
            <w:r w:rsidRPr="00D16D91">
              <w:rPr>
                <w:szCs w:val="23"/>
              </w:rPr>
              <w:t> </w:t>
            </w:r>
          </w:p>
        </w:tc>
        <w:tc>
          <w:tcPr>
            <w:tcW w:w="1200" w:type="dxa"/>
            <w:vAlign w:val="center"/>
            <w:hideMark/>
          </w:tcPr>
          <w:p w14:paraId="30BB565D" w14:textId="77777777" w:rsidR="00D16D91" w:rsidRPr="00D16D91" w:rsidRDefault="00B913EE" w:rsidP="00D16D91">
            <w:pPr>
              <w:pStyle w:val="Tabletext"/>
              <w:rPr>
                <w:szCs w:val="23"/>
              </w:rPr>
            </w:pPr>
            <w:r>
              <w:rPr>
                <w:szCs w:val="23"/>
              </w:rPr>
              <w:t>Defence</w:t>
            </w:r>
            <w:r w:rsidR="00D16D91" w:rsidRPr="00D16D91">
              <w:rPr>
                <w:szCs w:val="23"/>
              </w:rPr>
              <w:t xml:space="preserve"> Capabilities</w:t>
            </w:r>
          </w:p>
        </w:tc>
        <w:tc>
          <w:tcPr>
            <w:tcW w:w="1352" w:type="dxa"/>
            <w:vAlign w:val="center"/>
            <w:hideMark/>
          </w:tcPr>
          <w:p w14:paraId="1DED03BB" w14:textId="77777777" w:rsidR="00D16D91" w:rsidRPr="00D16D91" w:rsidRDefault="00D16D91" w:rsidP="00D16D91">
            <w:pPr>
              <w:pStyle w:val="Tabletext"/>
              <w:rPr>
                <w:szCs w:val="23"/>
              </w:rPr>
            </w:pPr>
            <w:r w:rsidRPr="00D16D91">
              <w:rPr>
                <w:szCs w:val="23"/>
              </w:rPr>
              <w:t>On track</w:t>
            </w:r>
          </w:p>
        </w:tc>
      </w:tr>
      <w:tr w:rsidR="00D16D91" w:rsidRPr="00D16D91" w14:paraId="248D0D88" w14:textId="77777777" w:rsidTr="0040288A">
        <w:trPr>
          <w:trHeight w:val="170"/>
          <w:jc w:val="center"/>
        </w:trPr>
        <w:tc>
          <w:tcPr>
            <w:tcW w:w="3961" w:type="dxa"/>
            <w:vMerge w:val="restart"/>
            <w:vAlign w:val="center"/>
            <w:hideMark/>
          </w:tcPr>
          <w:p w14:paraId="3DA3272F" w14:textId="77777777" w:rsidR="00D16D91" w:rsidRPr="00D16D91" w:rsidRDefault="00540671" w:rsidP="00D16D91">
            <w:pPr>
              <w:pStyle w:val="Tabletext"/>
              <w:rPr>
                <w:szCs w:val="23"/>
              </w:rPr>
            </w:pPr>
            <w:r w:rsidRPr="00540671">
              <w:rPr>
                <w:b/>
                <w:szCs w:val="23"/>
              </w:rPr>
              <w:t>INVESTMENT 3:</w:t>
            </w:r>
            <w:r w:rsidR="00D16D91" w:rsidRPr="00D16D91">
              <w:rPr>
                <w:szCs w:val="23"/>
              </w:rPr>
              <w:t xml:space="preserve"> Information systems to enhance efficiency in external border management- the Entry-Exit System</w:t>
            </w:r>
          </w:p>
        </w:tc>
        <w:tc>
          <w:tcPr>
            <w:tcW w:w="956" w:type="dxa"/>
            <w:vMerge w:val="restart"/>
            <w:vAlign w:val="center"/>
            <w:hideMark/>
          </w:tcPr>
          <w:p w14:paraId="3723172F" w14:textId="77777777" w:rsidR="00D16D91" w:rsidRPr="00D16D91" w:rsidRDefault="00D16D91" w:rsidP="00D16D91">
            <w:pPr>
              <w:pStyle w:val="Tabletext"/>
              <w:rPr>
                <w:szCs w:val="23"/>
              </w:rPr>
            </w:pPr>
            <w:r w:rsidRPr="00D16D91">
              <w:rPr>
                <w:szCs w:val="23"/>
              </w:rPr>
              <w:t>MFF</w:t>
            </w:r>
          </w:p>
        </w:tc>
        <w:tc>
          <w:tcPr>
            <w:tcW w:w="1454" w:type="dxa"/>
            <w:tcBorders>
              <w:bottom w:val="nil"/>
            </w:tcBorders>
            <w:vAlign w:val="center"/>
            <w:hideMark/>
          </w:tcPr>
          <w:p w14:paraId="583D2922" w14:textId="77777777" w:rsidR="00D16D91" w:rsidRPr="00D16D91" w:rsidRDefault="00D16D91" w:rsidP="00D16D91">
            <w:pPr>
              <w:pStyle w:val="Tabletext"/>
              <w:rPr>
                <w:szCs w:val="23"/>
              </w:rPr>
            </w:pPr>
            <w:r w:rsidRPr="00D16D91">
              <w:rPr>
                <w:szCs w:val="23"/>
              </w:rPr>
              <w:t>2020.CSR 3.9</w:t>
            </w:r>
          </w:p>
        </w:tc>
        <w:tc>
          <w:tcPr>
            <w:tcW w:w="1200" w:type="dxa"/>
            <w:vMerge w:val="restart"/>
            <w:vAlign w:val="center"/>
            <w:hideMark/>
          </w:tcPr>
          <w:p w14:paraId="3D5FECFF" w14:textId="77777777" w:rsidR="00D16D91" w:rsidRPr="00D16D91" w:rsidRDefault="00B913EE" w:rsidP="00D16D91">
            <w:pPr>
              <w:pStyle w:val="Tabletext"/>
              <w:rPr>
                <w:szCs w:val="23"/>
              </w:rPr>
            </w:pPr>
            <w:r>
              <w:rPr>
                <w:szCs w:val="23"/>
              </w:rPr>
              <w:t>Defence</w:t>
            </w:r>
            <w:r w:rsidR="00D16D91" w:rsidRPr="00D16D91">
              <w:rPr>
                <w:szCs w:val="23"/>
              </w:rPr>
              <w:t xml:space="preserve"> Capabilities</w:t>
            </w:r>
          </w:p>
        </w:tc>
        <w:tc>
          <w:tcPr>
            <w:tcW w:w="1352" w:type="dxa"/>
            <w:vMerge w:val="restart"/>
            <w:vAlign w:val="center"/>
            <w:hideMark/>
          </w:tcPr>
          <w:p w14:paraId="2413BED7" w14:textId="77777777" w:rsidR="00D16D91" w:rsidRPr="00D16D91" w:rsidRDefault="00D16D91" w:rsidP="00D16D91">
            <w:pPr>
              <w:pStyle w:val="Tabletext"/>
              <w:rPr>
                <w:szCs w:val="23"/>
              </w:rPr>
            </w:pPr>
            <w:r w:rsidRPr="00D16D91">
              <w:rPr>
                <w:szCs w:val="23"/>
              </w:rPr>
              <w:t>On track</w:t>
            </w:r>
          </w:p>
        </w:tc>
      </w:tr>
      <w:tr w:rsidR="00D16D91" w:rsidRPr="00D16D91" w14:paraId="5584A968" w14:textId="77777777" w:rsidTr="0040288A">
        <w:trPr>
          <w:trHeight w:val="170"/>
          <w:jc w:val="center"/>
        </w:trPr>
        <w:tc>
          <w:tcPr>
            <w:tcW w:w="3961" w:type="dxa"/>
            <w:vMerge/>
            <w:vAlign w:val="center"/>
            <w:hideMark/>
          </w:tcPr>
          <w:p w14:paraId="524CE290" w14:textId="77777777" w:rsidR="00D16D91" w:rsidRPr="00D16D91" w:rsidRDefault="00D16D91" w:rsidP="00D16D91">
            <w:pPr>
              <w:pStyle w:val="Tabletext"/>
              <w:rPr>
                <w:szCs w:val="23"/>
              </w:rPr>
            </w:pPr>
          </w:p>
        </w:tc>
        <w:tc>
          <w:tcPr>
            <w:tcW w:w="956" w:type="dxa"/>
            <w:vMerge/>
            <w:vAlign w:val="center"/>
            <w:hideMark/>
          </w:tcPr>
          <w:p w14:paraId="6A9C8514" w14:textId="77777777" w:rsidR="00D16D91" w:rsidRPr="00D16D91" w:rsidRDefault="00D16D91" w:rsidP="00D16D91">
            <w:pPr>
              <w:pStyle w:val="Tabletext"/>
              <w:rPr>
                <w:szCs w:val="23"/>
              </w:rPr>
            </w:pPr>
          </w:p>
        </w:tc>
        <w:tc>
          <w:tcPr>
            <w:tcW w:w="1454" w:type="dxa"/>
            <w:tcBorders>
              <w:top w:val="nil"/>
            </w:tcBorders>
            <w:vAlign w:val="center"/>
            <w:hideMark/>
          </w:tcPr>
          <w:p w14:paraId="11AA3725" w14:textId="77777777" w:rsidR="00D16D91" w:rsidRPr="00D16D91" w:rsidRDefault="00D16D91" w:rsidP="00D16D91">
            <w:pPr>
              <w:pStyle w:val="Tabletext"/>
              <w:rPr>
                <w:szCs w:val="23"/>
              </w:rPr>
            </w:pPr>
            <w:r w:rsidRPr="00D16D91">
              <w:rPr>
                <w:szCs w:val="23"/>
              </w:rPr>
              <w:t>2019.CSR 2.3</w:t>
            </w:r>
          </w:p>
        </w:tc>
        <w:tc>
          <w:tcPr>
            <w:tcW w:w="1200" w:type="dxa"/>
            <w:vMerge/>
            <w:vAlign w:val="center"/>
            <w:hideMark/>
          </w:tcPr>
          <w:p w14:paraId="4A1248FA" w14:textId="77777777" w:rsidR="00D16D91" w:rsidRPr="00D16D91" w:rsidRDefault="00D16D91" w:rsidP="00D16D91">
            <w:pPr>
              <w:pStyle w:val="Tabletext"/>
              <w:rPr>
                <w:szCs w:val="23"/>
              </w:rPr>
            </w:pPr>
          </w:p>
        </w:tc>
        <w:tc>
          <w:tcPr>
            <w:tcW w:w="1352" w:type="dxa"/>
            <w:vMerge/>
            <w:vAlign w:val="center"/>
            <w:hideMark/>
          </w:tcPr>
          <w:p w14:paraId="3A86840D" w14:textId="77777777" w:rsidR="00D16D91" w:rsidRPr="00D16D91" w:rsidRDefault="00D16D91" w:rsidP="00D16D91">
            <w:pPr>
              <w:pStyle w:val="Tabletext"/>
              <w:rPr>
                <w:szCs w:val="23"/>
              </w:rPr>
            </w:pPr>
          </w:p>
        </w:tc>
      </w:tr>
      <w:tr w:rsidR="00D16D91" w:rsidRPr="00D16D91" w14:paraId="1D02E695" w14:textId="77777777" w:rsidTr="0040288A">
        <w:trPr>
          <w:trHeight w:val="170"/>
          <w:jc w:val="center"/>
        </w:trPr>
        <w:tc>
          <w:tcPr>
            <w:tcW w:w="3961" w:type="dxa"/>
            <w:vAlign w:val="center"/>
            <w:hideMark/>
          </w:tcPr>
          <w:p w14:paraId="5D63EDF2" w14:textId="77777777" w:rsidR="00D16D91" w:rsidRPr="00D16D91" w:rsidRDefault="00540671" w:rsidP="00D16D91">
            <w:pPr>
              <w:pStyle w:val="Tabletext"/>
              <w:rPr>
                <w:szCs w:val="23"/>
              </w:rPr>
            </w:pPr>
            <w:r w:rsidRPr="00540671">
              <w:rPr>
                <w:b/>
                <w:szCs w:val="23"/>
              </w:rPr>
              <w:t>INVESTMENT 4:</w:t>
            </w:r>
            <w:r w:rsidR="00D16D91" w:rsidRPr="00D16D91">
              <w:rPr>
                <w:szCs w:val="23"/>
              </w:rPr>
              <w:t xml:space="preserve"> Digital transformation in the sector of citizen protection</w:t>
            </w:r>
          </w:p>
        </w:tc>
        <w:tc>
          <w:tcPr>
            <w:tcW w:w="956" w:type="dxa"/>
            <w:vAlign w:val="center"/>
            <w:hideMark/>
          </w:tcPr>
          <w:p w14:paraId="5DAC3DB8" w14:textId="77777777" w:rsidR="00D16D91" w:rsidRPr="00D16D91" w:rsidRDefault="00D16D91" w:rsidP="00D16D91">
            <w:pPr>
              <w:pStyle w:val="Tabletext"/>
              <w:rPr>
                <w:szCs w:val="23"/>
              </w:rPr>
            </w:pPr>
            <w:r w:rsidRPr="00D16D91">
              <w:rPr>
                <w:szCs w:val="23"/>
              </w:rPr>
              <w:t>-</w:t>
            </w:r>
          </w:p>
        </w:tc>
        <w:tc>
          <w:tcPr>
            <w:tcW w:w="1454" w:type="dxa"/>
            <w:vAlign w:val="center"/>
            <w:hideMark/>
          </w:tcPr>
          <w:p w14:paraId="33C8AFC2" w14:textId="77777777" w:rsidR="00D16D91" w:rsidRPr="00D16D91" w:rsidRDefault="00D16D91" w:rsidP="00D16D91">
            <w:pPr>
              <w:pStyle w:val="Tabletext"/>
              <w:rPr>
                <w:szCs w:val="23"/>
              </w:rPr>
            </w:pPr>
            <w:r w:rsidRPr="00D16D91">
              <w:rPr>
                <w:szCs w:val="23"/>
              </w:rPr>
              <w:t>2025 CSR 3.1 2020.CSR 3.9 2019.CSR 2.3</w:t>
            </w:r>
          </w:p>
        </w:tc>
        <w:tc>
          <w:tcPr>
            <w:tcW w:w="1200" w:type="dxa"/>
            <w:vAlign w:val="center"/>
            <w:hideMark/>
          </w:tcPr>
          <w:p w14:paraId="350B7F3E" w14:textId="77777777" w:rsidR="00D16D91" w:rsidRPr="00D16D91" w:rsidRDefault="00D16D91" w:rsidP="00D16D91">
            <w:pPr>
              <w:pStyle w:val="Tabletext"/>
              <w:rPr>
                <w:szCs w:val="23"/>
              </w:rPr>
            </w:pPr>
            <w:r w:rsidRPr="00D16D91">
              <w:rPr>
                <w:szCs w:val="23"/>
              </w:rPr>
              <w:t>Fair green &amp; digital transition</w:t>
            </w:r>
          </w:p>
        </w:tc>
        <w:tc>
          <w:tcPr>
            <w:tcW w:w="1352" w:type="dxa"/>
            <w:vAlign w:val="center"/>
            <w:hideMark/>
          </w:tcPr>
          <w:p w14:paraId="151D383B" w14:textId="77777777" w:rsidR="00D16D91" w:rsidRPr="00D16D91" w:rsidRDefault="00D16D91" w:rsidP="00D16D91">
            <w:pPr>
              <w:pStyle w:val="Tabletext"/>
              <w:rPr>
                <w:szCs w:val="23"/>
              </w:rPr>
            </w:pPr>
            <w:r w:rsidRPr="00D16D91">
              <w:rPr>
                <w:szCs w:val="23"/>
              </w:rPr>
              <w:t>On track</w:t>
            </w:r>
          </w:p>
        </w:tc>
      </w:tr>
    </w:tbl>
    <w:p w14:paraId="1354AFFC" w14:textId="77777777" w:rsidR="00451CC2" w:rsidRPr="00451CC2" w:rsidRDefault="00451CC2" w:rsidP="0040288A">
      <w:pPr>
        <w:spacing w:before="240"/>
        <w:rPr>
          <w:rFonts w:eastAsia="Calibri"/>
          <w:lang w:val="en-US"/>
        </w:rPr>
      </w:pPr>
      <w:bookmarkStart w:id="57" w:name="_heading=h.mpks1wsnqpas" w:colFirst="0" w:colLast="0"/>
      <w:bookmarkEnd w:id="57"/>
      <w:r w:rsidRPr="00451CC2">
        <w:rPr>
          <w:rFonts w:eastAsia="Calibri"/>
          <w:lang w:val="en-US"/>
        </w:rPr>
        <w:t xml:space="preserve">The </w:t>
      </w:r>
      <w:r w:rsidRPr="00451CC2">
        <w:rPr>
          <w:rFonts w:eastAsia="Calibri"/>
          <w:b/>
          <w:bCs/>
          <w:lang w:val="en-US"/>
        </w:rPr>
        <w:t>Temporary Healthcare Number for detainees (PAYPEK)</w:t>
      </w:r>
      <w:r w:rsidRPr="00451CC2">
        <w:rPr>
          <w:rFonts w:eastAsia="Calibri"/>
          <w:lang w:val="en-US"/>
        </w:rPr>
        <w:t xml:space="preserve"> constitutes a major reform initiated in 2023 through the issuance of the relevant Common Ministerial Decision, aiming to provide full access to healthcare (hospital and medical care) formulated for prisoners without Social Security Number (SSN) or Temporary Insurance and Health Number Care for Foreigners (PAAYPA), due to non-fulfillment of the requirements regarding legal residency. The Temporary Healthcare Number remains active and valid during the beneficiary's detention in the Penitentiary Facilities. As of 20 March 2026, the provisional number has been granted to 11,002 beneficiaries since the commencement of the reform, ensuring full medical and hospital coverage. More specifically, during the period from the 1st of March 2025 until March 20, 2026, PAYPEK was granted to 3,176 detainees. Interoperability between the Integrated Information Systems (IIS) of the General Secretariat for Anti-Criminal Policy and e-Governmental Center for Social Security S.A. (IDIKA S.A.), is still pending and expected to be finalized within 2026, without, however, affecting the implementation of the reform in any way, but only the procedure followed.</w:t>
      </w:r>
    </w:p>
    <w:p w14:paraId="32EFFF75" w14:textId="77777777" w:rsidR="00451CC2" w:rsidRPr="00451CC2" w:rsidRDefault="00451CC2" w:rsidP="00D31D31">
      <w:pPr>
        <w:rPr>
          <w:rFonts w:eastAsia="Calibri"/>
          <w:lang w:val="en-US"/>
        </w:rPr>
      </w:pPr>
      <w:r w:rsidRPr="00451CC2">
        <w:rPr>
          <w:rFonts w:eastAsia="Calibri"/>
          <w:lang w:val="en-US"/>
        </w:rPr>
        <w:t xml:space="preserve">The reform </w:t>
      </w:r>
      <w:r w:rsidRPr="00451CC2">
        <w:rPr>
          <w:rFonts w:eastAsia="Calibri"/>
          <w:b/>
          <w:bCs/>
          <w:lang w:val="en-US"/>
        </w:rPr>
        <w:t xml:space="preserve">“Upgrading Police Academy and Higher Police Education” </w:t>
      </w:r>
      <w:r w:rsidRPr="00451CC2">
        <w:rPr>
          <w:rFonts w:eastAsia="Calibri"/>
          <w:lang w:val="en-US"/>
        </w:rPr>
        <w:t>constitutes a key challenge, targeting at the implementation of an innovative framework as regards the structure and operation of the Police Academy, following the standards of the country’s university institutions. Following the enactment of Law 5187/2025 (O</w:t>
      </w:r>
      <w:r w:rsidRPr="00B61870">
        <w:rPr>
          <w:rFonts w:eastAsia="Calibri"/>
          <w:lang w:val="en-US"/>
        </w:rPr>
        <w:t>J</w:t>
      </w:r>
      <w:r w:rsidRPr="00451CC2">
        <w:rPr>
          <w:rFonts w:eastAsia="Calibri"/>
          <w:lang w:val="en-US"/>
        </w:rPr>
        <w:t xml:space="preserve"> A’ 48/21.03.2025), the process to establish the Police Academy as a public legal entity and to define its new administrative structure is ongoing. Namely, the Ministerial Decision appointing the single-member administrative bodies of the Police Academy (Commander of the Police Academy, Director of Financial Planning and Supervision of Financial Affairs, and Administrative Director) is currently under the drafting stage, and comments have been sent on the draft presidential decree “Study Regulations at Police Academy Schools”. The issuance of secondary legislation is expected by the end of 2026. Law 5187/2025 (OJ A’ 48/21.03.2025) constitutes an education reform that </w:t>
      </w:r>
      <w:r w:rsidRPr="00451CC2">
        <w:rPr>
          <w:rFonts w:eastAsia="Calibri"/>
          <w:lang w:val="en-US"/>
        </w:rPr>
        <w:lastRenderedPageBreak/>
        <w:t>comprehensively restructures the educational framework of the Hellenic Police and, as such, forms part of a medium-term rather than a short-term plan. The primary objective is to establish an independent entity with a stronger academic orientation, thereby upgrading the Police Academy. Inter alia, the law includes new provisions for the selection of teaching staff, involving more university professors and specialized experts alongside experienced police officers. At the same time, the Schools of Continuing Education and Training and of National Security are being integrated into a more cohesive “lifelong learning” model, while the National Security School is also being reoriented towards strategic analysis and international cooperation, aligning its activities with EU and NATO standards. Finally, with respect to continuing education, emphasis is placed on mandatory periodic “refresher courses” for active-duty personnel to keep them abreast of new developments in the field of cybercrime and human rights legislation.</w:t>
      </w:r>
    </w:p>
    <w:p w14:paraId="3C280C16" w14:textId="77777777" w:rsidR="00451CC2" w:rsidRPr="00451CC2" w:rsidRDefault="00451CC2" w:rsidP="00D31D31">
      <w:pPr>
        <w:rPr>
          <w:rFonts w:eastAsia="Calibri"/>
          <w:lang w:val="en-US"/>
        </w:rPr>
      </w:pPr>
      <w:r w:rsidRPr="00451CC2">
        <w:rPr>
          <w:rFonts w:eastAsia="Calibri"/>
          <w:lang w:val="en-US"/>
        </w:rPr>
        <w:t>To reinforce border controls and surveillance across the border (land, sea, air) and prevent unauthorized entries with increased efficiency, while upgrading situational awareness capabilities and developing large-scale IT Systems, Greece has introduced three major reforms and investments:</w:t>
      </w:r>
    </w:p>
    <w:p w14:paraId="67648700" w14:textId="77777777" w:rsidR="00451CC2" w:rsidRPr="00451CC2" w:rsidRDefault="00451CC2" w:rsidP="00D31D31">
      <w:pPr>
        <w:rPr>
          <w:rFonts w:eastAsia="Calibri"/>
          <w:lang w:val="en-US"/>
        </w:rPr>
      </w:pPr>
      <w:r w:rsidRPr="00451CC2">
        <w:rPr>
          <w:rFonts w:eastAsia="Calibri"/>
          <w:lang w:val="en-US"/>
        </w:rPr>
        <w:t>The investment “</w:t>
      </w:r>
      <w:r w:rsidRPr="00451CC2">
        <w:rPr>
          <w:rFonts w:eastAsia="Calibri"/>
          <w:b/>
          <w:bCs/>
          <w:lang w:val="en-US"/>
        </w:rPr>
        <w:t>Integrated external border management to counter irregular migration and smuggling, through artificial intelligence and IT tools</w:t>
      </w:r>
      <w:r w:rsidRPr="00451CC2">
        <w:rPr>
          <w:rFonts w:eastAsia="Calibri"/>
          <w:lang w:val="en-US"/>
        </w:rPr>
        <w:t xml:space="preserve">” reflects the necessity to enhance border surveillance, in alignment with the EU Common Priority for </w:t>
      </w:r>
      <w:r w:rsidR="00B913EE">
        <w:rPr>
          <w:rFonts w:eastAsia="Calibri"/>
          <w:lang w:val="en-US"/>
        </w:rPr>
        <w:t>Defence</w:t>
      </w:r>
      <w:r w:rsidRPr="00451CC2">
        <w:rPr>
          <w:rFonts w:eastAsia="Calibri"/>
          <w:lang w:val="en-US"/>
        </w:rPr>
        <w:t xml:space="preserve"> capabilities by means of digital technologies. The investment includes two major subprojects, “REACTION” and “PROTECTDOME”. Through “</w:t>
      </w:r>
      <w:proofErr w:type="spellStart"/>
      <w:r w:rsidRPr="00451CC2">
        <w:rPr>
          <w:rFonts w:eastAsia="Calibri"/>
          <w:b/>
          <w:bCs/>
          <w:lang w:val="en-US"/>
        </w:rPr>
        <w:t>REal-time</w:t>
      </w:r>
      <w:proofErr w:type="spellEnd"/>
      <w:r w:rsidRPr="00451CC2">
        <w:rPr>
          <w:rFonts w:eastAsia="Calibri"/>
          <w:b/>
          <w:bCs/>
          <w:lang w:val="en-US"/>
        </w:rPr>
        <w:t xml:space="preserve"> </w:t>
      </w:r>
      <w:proofErr w:type="spellStart"/>
      <w:r w:rsidRPr="00451CC2">
        <w:rPr>
          <w:rFonts w:eastAsia="Calibri"/>
          <w:b/>
          <w:bCs/>
          <w:lang w:val="en-US"/>
        </w:rPr>
        <w:t>ArtifiCial</w:t>
      </w:r>
      <w:proofErr w:type="spellEnd"/>
      <w:r w:rsidRPr="00451CC2">
        <w:rPr>
          <w:rFonts w:eastAsia="Calibri"/>
          <w:b/>
          <w:bCs/>
          <w:lang w:val="en-US"/>
        </w:rPr>
        <w:t xml:space="preserve"> </w:t>
      </w:r>
      <w:proofErr w:type="spellStart"/>
      <w:r w:rsidRPr="00451CC2">
        <w:rPr>
          <w:rFonts w:eastAsia="Calibri"/>
          <w:b/>
          <w:bCs/>
          <w:lang w:val="en-US"/>
        </w:rPr>
        <w:t>InTellIgence</w:t>
      </w:r>
      <w:proofErr w:type="spellEnd"/>
      <w:r w:rsidRPr="00451CC2">
        <w:rPr>
          <w:rFonts w:eastAsia="Calibri"/>
          <w:b/>
          <w:bCs/>
          <w:lang w:val="en-US"/>
        </w:rPr>
        <w:t xml:space="preserve"> for</w:t>
      </w:r>
      <w:r w:rsidRPr="00451CC2">
        <w:rPr>
          <w:rFonts w:eastAsia="Calibri"/>
          <w:lang w:val="en-US"/>
        </w:rPr>
        <w:t xml:space="preserve"> </w:t>
      </w:r>
      <w:proofErr w:type="spellStart"/>
      <w:r w:rsidRPr="00451CC2">
        <w:rPr>
          <w:rFonts w:eastAsia="Calibri"/>
          <w:b/>
          <w:bCs/>
          <w:lang w:val="en-US"/>
        </w:rPr>
        <w:t>BOrders</w:t>
      </w:r>
      <w:proofErr w:type="spellEnd"/>
      <w:r w:rsidRPr="00451CC2">
        <w:rPr>
          <w:rFonts w:eastAsia="Calibri"/>
          <w:b/>
          <w:bCs/>
          <w:lang w:val="en-US"/>
        </w:rPr>
        <w:t xml:space="preserve"> Surveillance via RPAS data </w:t>
      </w:r>
      <w:proofErr w:type="spellStart"/>
      <w:r w:rsidRPr="00451CC2">
        <w:rPr>
          <w:rFonts w:eastAsia="Calibri"/>
          <w:b/>
          <w:bCs/>
          <w:lang w:val="en-US"/>
        </w:rPr>
        <w:t>aNalytics</w:t>
      </w:r>
      <w:proofErr w:type="spellEnd"/>
      <w:r w:rsidRPr="00451CC2">
        <w:rPr>
          <w:rFonts w:eastAsia="Calibri"/>
          <w:b/>
          <w:bCs/>
          <w:lang w:val="en-US"/>
        </w:rPr>
        <w:t xml:space="preserve"> to support Law Enforcement Agencies (REACTION)”</w:t>
      </w:r>
      <w:r w:rsidRPr="00451CC2">
        <w:rPr>
          <w:rFonts w:eastAsia="Calibri"/>
          <w:lang w:val="en-US"/>
        </w:rPr>
        <w:t>, which represents a Specific Action funded by Border Management and Visa Instrument (BMVI), Greece aims to integrate and validate a fully functional, next-generation, holistic surveillance and warning platform that provides situational awareness in remote, border areas, as an effective mean for early warning in critical situations. The subproject’s “</w:t>
      </w:r>
      <w:r w:rsidRPr="00451CC2">
        <w:rPr>
          <w:rFonts w:eastAsia="Calibri"/>
          <w:b/>
          <w:bCs/>
          <w:lang w:val="en-US"/>
        </w:rPr>
        <w:t xml:space="preserve">Specific Action PROTECDOME: </w:t>
      </w:r>
      <w:proofErr w:type="spellStart"/>
      <w:r w:rsidRPr="00451CC2">
        <w:rPr>
          <w:rFonts w:eastAsia="Calibri"/>
          <w:b/>
          <w:bCs/>
          <w:lang w:val="en-US"/>
        </w:rPr>
        <w:t>PROTECtion</w:t>
      </w:r>
      <w:proofErr w:type="spellEnd"/>
      <w:r w:rsidRPr="00451CC2">
        <w:rPr>
          <w:rFonts w:eastAsia="Calibri"/>
          <w:b/>
          <w:bCs/>
          <w:lang w:val="en-US"/>
        </w:rPr>
        <w:t xml:space="preserve"> DOME for public spaces against rogue drones</w:t>
      </w:r>
      <w:r w:rsidRPr="00451CC2">
        <w:rPr>
          <w:rFonts w:eastAsia="Calibri"/>
          <w:lang w:val="en-US"/>
        </w:rPr>
        <w:t>” objective is to develop an autonomous situational awareness system using algorithms to detect, monitor and address threats from hostile Unmanned Aerial Systems (UAS), while enhancing the capabilities of existing systems already in use. To that end, the Ministry of Citizen Protection signed on July 22, 2025, a second amendment to the contract with the Hellenic Corporation of Assets and Participations S.A. (HCAP SA), through which the latter has undertaken responsibility for conducting the public procurement bidding process for the “REACTION” and “PROTECDOME” actions.  HCAP S.A. is currently finalizing the tender documents, including the Technical Specifications. Furthermore, an amendment to Presidential Decree 75/2020 (OJ A' 173/10.09.2020), which governs the use of surveillance systems in public spaces, is in progress to facilitate the inception of the aforementioned projects.</w:t>
      </w:r>
    </w:p>
    <w:p w14:paraId="169BF121" w14:textId="77777777" w:rsidR="00451CC2" w:rsidRPr="00451CC2" w:rsidRDefault="00451CC2" w:rsidP="00D31D31">
      <w:pPr>
        <w:rPr>
          <w:rFonts w:eastAsia="Calibri"/>
          <w:lang w:val="en-US"/>
        </w:rPr>
      </w:pPr>
      <w:r w:rsidRPr="00451CC2">
        <w:rPr>
          <w:rFonts w:eastAsia="Calibri"/>
          <w:lang w:val="en-US"/>
        </w:rPr>
        <w:t xml:space="preserve">Furthermore, in compliance with the Common Priority of the enhancement of </w:t>
      </w:r>
      <w:r w:rsidR="00B913EE">
        <w:rPr>
          <w:rFonts w:eastAsia="Calibri"/>
          <w:lang w:val="en-US"/>
        </w:rPr>
        <w:t>Defence</w:t>
      </w:r>
      <w:r w:rsidRPr="00451CC2">
        <w:rPr>
          <w:rFonts w:eastAsia="Calibri"/>
          <w:lang w:val="en-US"/>
        </w:rPr>
        <w:t xml:space="preserve"> capabilities set by the EU, Greece adopted the investment “</w:t>
      </w:r>
      <w:r w:rsidRPr="00451CC2">
        <w:rPr>
          <w:rFonts w:eastAsia="Calibri"/>
          <w:b/>
          <w:bCs/>
          <w:lang w:val="en-US"/>
        </w:rPr>
        <w:t>Extension of the Artificial Barrier (Fence) to the border line in Evros</w:t>
      </w:r>
      <w:r w:rsidRPr="00451CC2">
        <w:rPr>
          <w:rFonts w:eastAsia="Calibri"/>
          <w:lang w:val="en-US"/>
        </w:rPr>
        <w:t xml:space="preserve">”. The project’s goal is to prevent any illegal border crossing on its external EU border with Turkey, contributing to the reduction of the intensive migratory pressure witnessed in the recent past. The extension of the artificial barrier, with a total length of 35 kilometers, in the </w:t>
      </w:r>
      <w:proofErr w:type="spellStart"/>
      <w:r w:rsidRPr="00451CC2">
        <w:rPr>
          <w:rFonts w:eastAsia="Calibri"/>
          <w:lang w:val="en-US"/>
        </w:rPr>
        <w:t>Kornofolia-Psathades</w:t>
      </w:r>
      <w:proofErr w:type="spellEnd"/>
      <w:r w:rsidRPr="00451CC2">
        <w:rPr>
          <w:rFonts w:eastAsia="Calibri"/>
          <w:lang w:val="en-US"/>
        </w:rPr>
        <w:t xml:space="preserve"> area of the Evros Regional Unit, has been completed. Furthermore, in the Greek State Budget for the year 2026, funding was approved </w:t>
      </w:r>
      <w:r w:rsidRPr="00451CC2">
        <w:rPr>
          <w:rFonts w:eastAsia="Calibri"/>
          <w:lang w:val="en-US"/>
        </w:rPr>
        <w:lastRenderedPageBreak/>
        <w:t>for the further extension of the Artificial Barrier by additional five (5) kilometers, beyond the approximately seventy (70) kilometers already constructed. As part of the implementation of the second expansion, an approval of the 1st Supplementary Contract was requested from the Court of Auditors through the submission of the relevant dossier in January 2026. The Court of Auditors requested additional information, which has been submitted, and, provided that it is approved, it is estimated that by July 2026, the First Supplementary Contract will be signed for the first five (5) kilometers included in the second extension.</w:t>
      </w:r>
    </w:p>
    <w:p w14:paraId="777E4891" w14:textId="77777777" w:rsidR="00451CC2" w:rsidRPr="00451CC2" w:rsidRDefault="00451CC2" w:rsidP="00D31D31">
      <w:pPr>
        <w:rPr>
          <w:rFonts w:eastAsia="Calibri"/>
          <w:lang w:val="en-US"/>
        </w:rPr>
      </w:pPr>
      <w:r w:rsidRPr="00451CC2">
        <w:rPr>
          <w:rFonts w:eastAsia="Calibri"/>
          <w:lang w:val="en-US"/>
        </w:rPr>
        <w:t>The investment “</w:t>
      </w:r>
      <w:r w:rsidRPr="00451CC2">
        <w:rPr>
          <w:rFonts w:eastAsia="Calibri"/>
          <w:b/>
          <w:bCs/>
          <w:lang w:val="en-US"/>
        </w:rPr>
        <w:t>Information systems to enhance efficiency in external border management- the Entry-Exit System</w:t>
      </w:r>
      <w:r w:rsidRPr="00451CC2">
        <w:rPr>
          <w:rFonts w:eastAsia="Calibri"/>
          <w:lang w:val="en-US"/>
        </w:rPr>
        <w:t>” is set within the framework of the EU’s Entry-Exit System (EES) project introducing a new centralized digital border system, to strengthen the security of its external Schengen border. The EES incorporates an automated IT system registering travelers from third country destinations and will contribute to prevent irregular migration by identifying more efficiently and rapidly over-stayers, and cases of identity fraud, thus enhancing the security issues related with organized crime or terrorism. Furthermore, Self Service Systems-SSS (e-Gates) have been installed in the Passport Control Services of the majority of the Greek airports. In January 2026, the central infrastructure and IT application of the National Entry–Exit System was delivered. As regards the network upgrade, as well as the enhancement of the system interoperability infrastructure, the tender procedure was launched in March 2025 and the signing of the relevant contract is expected by the end of 2026. As regards the technical equipment, the contract for the procurement is expected to be concluded in the coming months.  The Entry-Exit System entered a European-wide pilot phase on 12 October 2025, for entries and exits within the Schengen Area, and became fully operational (both within and outside the Schengen Area) on 10 April 2026. During the pilot phase, more than 52 million entries and exits were registered, with over 27,000 refusals of entry, over 700 of which were identified as posing a security risk to Europe.</w:t>
      </w:r>
    </w:p>
    <w:p w14:paraId="42B2CAC0" w14:textId="77777777" w:rsidR="00451CC2" w:rsidRPr="00451CC2" w:rsidRDefault="00451CC2" w:rsidP="00D31D31">
      <w:pPr>
        <w:rPr>
          <w:rFonts w:eastAsia="Calibri"/>
          <w:lang w:val="en-US"/>
        </w:rPr>
      </w:pPr>
      <w:r w:rsidRPr="00451CC2">
        <w:rPr>
          <w:rFonts w:eastAsia="Calibri"/>
          <w:lang w:val="en-US"/>
        </w:rPr>
        <w:t>The investment ‘’</w:t>
      </w:r>
      <w:r w:rsidRPr="00451CC2">
        <w:rPr>
          <w:rFonts w:eastAsia="Calibri"/>
          <w:b/>
          <w:bCs/>
          <w:lang w:val="en-US"/>
        </w:rPr>
        <w:t xml:space="preserve">Digital transformation in the sector of citizen protection’’ </w:t>
      </w:r>
      <w:r w:rsidRPr="00451CC2">
        <w:rPr>
          <w:rFonts w:eastAsia="Calibri"/>
          <w:lang w:val="en-US"/>
        </w:rPr>
        <w:t xml:space="preserve">deliberates on providing to the general public easier access to services of the Hellenic Police, as well as enhancing efficiency through reduced administrative costs and delays and increased transparency. In this respect, the project of network and interconnection services (‘'Smart Policing’' project), aims to upgrade the operational use of mobile devices by the Hellenic Police, enabling police officers to conduct on-site inspections, with secure real-time data transfer between devices and databases.  The aforementioned project, implemented by the Hellenic Police, is extended until June 2026, while project acceptance is expected by the end of 2026, respectively. </w:t>
      </w:r>
    </w:p>
    <w:p w14:paraId="60190D20" w14:textId="77777777" w:rsidR="00451CC2" w:rsidRPr="00451CC2" w:rsidRDefault="00451CC2" w:rsidP="00D31D31">
      <w:pPr>
        <w:rPr>
          <w:rFonts w:eastAsia="Calibri"/>
          <w:lang w:val="en-US"/>
        </w:rPr>
      </w:pPr>
      <w:r w:rsidRPr="00451CC2">
        <w:rPr>
          <w:rFonts w:eastAsia="Calibri"/>
          <w:lang w:val="en-US"/>
        </w:rPr>
        <w:t>In addition to the services of the Hellenic Police, which are accessible online, new services will be provided on the Single Digital Portal of Public Administration. To this end, the digitization of 11 administrative services is scheduled for the second quarter of 2026, since the pilot phase is completed, and their operational launch is expected in the coming period.</w:t>
      </w:r>
    </w:p>
    <w:p w14:paraId="3C197B9D" w14:textId="77777777" w:rsidR="00451CC2" w:rsidRPr="00451CC2" w:rsidRDefault="00451CC2" w:rsidP="00D31D31">
      <w:pPr>
        <w:rPr>
          <w:rFonts w:eastAsia="Calibri"/>
          <w:lang w:val="en-US"/>
        </w:rPr>
      </w:pPr>
      <w:r w:rsidRPr="00451CC2">
        <w:rPr>
          <w:rFonts w:eastAsia="Calibri"/>
          <w:lang w:val="en-US"/>
        </w:rPr>
        <w:t xml:space="preserve">On top of that, the Hellenic Police is developing artificial intelligence software for the investigation and digital detection of crimes concerning sexual abuse of minors. Moreover, “SAFEYOUTH” an original mobile application which became fully operational in 2025, provides an integrated network of protection of minors through information material on all forms of </w:t>
      </w:r>
      <w:r w:rsidRPr="00451CC2">
        <w:rPr>
          <w:rFonts w:eastAsia="Calibri"/>
          <w:lang w:val="en-US"/>
        </w:rPr>
        <w:lastRenderedPageBreak/>
        <w:t>violence, abuse and neglect involving minors, adapted to age groups, as well as a complaint submission platform and an emergency button, with which minors will be able to immediately and seamlessly inform the police services in cases of immediate danger and any kind of emergency. Following the launch of the “</w:t>
      </w:r>
      <w:proofErr w:type="spellStart"/>
      <w:r w:rsidRPr="00451CC2">
        <w:rPr>
          <w:rFonts w:eastAsia="Calibri"/>
          <w:lang w:val="en-US"/>
        </w:rPr>
        <w:t>SAFE.YOUth</w:t>
      </w:r>
      <w:proofErr w:type="spellEnd"/>
      <w:r w:rsidRPr="00451CC2">
        <w:rPr>
          <w:rFonts w:eastAsia="Calibri"/>
          <w:lang w:val="en-US"/>
        </w:rPr>
        <w:t xml:space="preserve">” app, the “emergency button”, which is a part of the application, was activated twenty-six (26) times between May 2025 and March 2026. Furthermore, by the end of 2026, an online platform for reporting domestic and gender-based violence is expected to be operational, with the aim of responding immediately to incidents and increasing victims’ trust in police effectiveness.  </w:t>
      </w:r>
    </w:p>
    <w:p w14:paraId="38A7FA98" w14:textId="77777777" w:rsidR="00451CC2" w:rsidRPr="00451CC2" w:rsidRDefault="00451CC2" w:rsidP="00D31D31">
      <w:pPr>
        <w:rPr>
          <w:rFonts w:eastAsia="Calibri"/>
          <w:lang w:val="en-US"/>
        </w:rPr>
      </w:pPr>
      <w:r w:rsidRPr="00451CC2">
        <w:rPr>
          <w:rFonts w:eastAsia="Calibri"/>
          <w:lang w:val="en-US"/>
        </w:rPr>
        <w:t>Moreover, in October 2025, requirements were met on the Single Digital Portal (gov.gr) for the full digitization of the admission process for candidates for the Hellenic Police Officers School and Police Academy. The competition announced in March 2026 for the admission of 950 civilian students to the Schools of the Police Academy of the Hellenic Police through the Panhellenic Examinations system of the Ministry of Education, Religious Affairs and Sports is the first in which civilian candidates submitted their applications exclusively digitally.</w:t>
      </w:r>
    </w:p>
    <w:p w14:paraId="1F457AC7" w14:textId="77777777" w:rsidR="00451CC2" w:rsidRPr="00451CC2" w:rsidRDefault="00451CC2" w:rsidP="00D31D31">
      <w:pPr>
        <w:rPr>
          <w:rFonts w:eastAsia="Calibri"/>
          <w:lang w:val="en-US"/>
        </w:rPr>
      </w:pPr>
      <w:r w:rsidRPr="00451CC2">
        <w:rPr>
          <w:rFonts w:eastAsia="Calibri"/>
          <w:lang w:val="en-US"/>
        </w:rPr>
        <w:t>In parallel, the digitalization of passport application forms and supporting documents was completed, and full-scale operations began on 31 December 2025.  In addition, by the end of 2026, the completion of the digitalization of the process for submitting supporting documents for passport issuance by Consular Authorities from abroad is anticipated. This development will enhance the capacity for citizen identification through digital applications and facilitate a significant number of Greek citizens who do not hold a Greek identity card (e.g. Greeks residing abroad) in gaining access to the benefits of the digital repository.</w:t>
      </w:r>
    </w:p>
    <w:p w14:paraId="4783EACD" w14:textId="77777777" w:rsidR="00451CC2" w:rsidRPr="00451CC2" w:rsidRDefault="00451CC2" w:rsidP="00D31D31">
      <w:pPr>
        <w:rPr>
          <w:rFonts w:eastAsia="Calibri"/>
          <w:lang w:val="en-US"/>
        </w:rPr>
      </w:pPr>
      <w:r w:rsidRPr="00451CC2">
        <w:rPr>
          <w:rFonts w:eastAsia="Calibri"/>
          <w:lang w:val="en-US"/>
        </w:rPr>
        <w:t>Finally, the upgraded version of the Integrated Information System of General Secretariat of Anti-criminal Policy will enhance decision making and interoperability with third parties, resulting in the overall improvement of the Secretariat’s operations. Moreover, following the enactment of the law establishing the operation of the Information System (IS) for Correctional Facilities (Law 5187/2025, OJ A’ 48/21.03.2025), the acceptance and operational launch of the IS subsystems and the subsequent interoperability, were completed in October 2025.</w:t>
      </w:r>
    </w:p>
    <w:p w14:paraId="2AD39164" w14:textId="77777777" w:rsidR="00451CC2" w:rsidRPr="009D64B1" w:rsidRDefault="009D64B1" w:rsidP="00DA6F67">
      <w:pPr>
        <w:pStyle w:val="Heading2"/>
        <w:pBdr>
          <w:bottom w:val="single" w:sz="4" w:space="1" w:color="4F81BD" w:themeColor="accent1"/>
        </w:pBdr>
        <w:spacing w:before="1680"/>
        <w:rPr>
          <w:rFonts w:eastAsia="Calibri"/>
          <w:sz w:val="36"/>
          <w:lang w:val="en-US"/>
        </w:rPr>
      </w:pPr>
      <w:bookmarkStart w:id="58" w:name="_Toc227932499"/>
      <w:bookmarkStart w:id="59" w:name="_Toc228279092"/>
      <w:r>
        <w:rPr>
          <w:rFonts w:eastAsia="Calibri"/>
          <w:sz w:val="36"/>
          <w:lang w:val="en-US"/>
        </w:rPr>
        <w:t>M</w:t>
      </w:r>
      <w:r w:rsidRPr="009D64B1">
        <w:rPr>
          <w:rFonts w:eastAsia="Calibri"/>
          <w:sz w:val="36"/>
          <w:lang w:val="en-US"/>
        </w:rPr>
        <w:t xml:space="preserve">inistry of </w:t>
      </w:r>
      <w:r>
        <w:rPr>
          <w:rFonts w:eastAsia="Calibri"/>
          <w:sz w:val="36"/>
          <w:lang w:val="en-US"/>
        </w:rPr>
        <w:t>I</w:t>
      </w:r>
      <w:r w:rsidRPr="009D64B1">
        <w:rPr>
          <w:rFonts w:eastAsia="Calibri"/>
          <w:sz w:val="36"/>
          <w:lang w:val="en-US"/>
        </w:rPr>
        <w:t xml:space="preserve">nfrastructure and </w:t>
      </w:r>
      <w:r>
        <w:rPr>
          <w:rFonts w:eastAsia="Calibri"/>
          <w:sz w:val="36"/>
          <w:lang w:val="en-US"/>
        </w:rPr>
        <w:t>T</w:t>
      </w:r>
      <w:r w:rsidRPr="009D64B1">
        <w:rPr>
          <w:rFonts w:eastAsia="Calibri"/>
          <w:sz w:val="36"/>
          <w:lang w:val="en-US"/>
        </w:rPr>
        <w:t>ransport</w:t>
      </w:r>
      <w:bookmarkEnd w:id="58"/>
      <w:bookmarkEnd w:id="59"/>
    </w:p>
    <w:tbl>
      <w:tblPr>
        <w:tblW w:w="9003" w:type="dxa"/>
        <w:jc w:val="center"/>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Layout w:type="fixed"/>
        <w:tblLook w:val="0600" w:firstRow="0" w:lastRow="0" w:firstColumn="0" w:lastColumn="0" w:noHBand="1" w:noVBand="1"/>
      </w:tblPr>
      <w:tblGrid>
        <w:gridCol w:w="2827"/>
        <w:gridCol w:w="1276"/>
        <w:gridCol w:w="1453"/>
        <w:gridCol w:w="1877"/>
        <w:gridCol w:w="1570"/>
      </w:tblGrid>
      <w:tr w:rsidR="00451CC2" w:rsidRPr="009D64B1" w14:paraId="50643E09" w14:textId="77777777" w:rsidTr="00DA6F67">
        <w:trPr>
          <w:trHeight w:val="113"/>
          <w:jc w:val="center"/>
        </w:trPr>
        <w:tc>
          <w:tcPr>
            <w:tcW w:w="2827" w:type="dxa"/>
            <w:shd w:val="clear" w:color="auto" w:fill="CFE2F3"/>
            <w:vAlign w:val="center"/>
          </w:tcPr>
          <w:p w14:paraId="117D77C8" w14:textId="77777777" w:rsidR="00451CC2" w:rsidRPr="009D64B1" w:rsidRDefault="00451CC2" w:rsidP="00C72DDF">
            <w:pPr>
              <w:pStyle w:val="Tabletext"/>
              <w:spacing w:line="230" w:lineRule="exact"/>
              <w:rPr>
                <w:rFonts w:eastAsia="Calibri"/>
                <w:b/>
              </w:rPr>
            </w:pPr>
            <w:r w:rsidRPr="009D64B1">
              <w:rPr>
                <w:rFonts w:eastAsia="Calibri"/>
                <w:b/>
              </w:rPr>
              <w:t>REFORM / INVESTMENT</w:t>
            </w:r>
          </w:p>
        </w:tc>
        <w:tc>
          <w:tcPr>
            <w:tcW w:w="1276" w:type="dxa"/>
            <w:shd w:val="clear" w:color="auto" w:fill="CFE2F3"/>
            <w:vAlign w:val="center"/>
          </w:tcPr>
          <w:p w14:paraId="1568EDF4" w14:textId="77777777" w:rsidR="00451CC2" w:rsidRPr="009D64B1" w:rsidRDefault="00451CC2" w:rsidP="00C72DDF">
            <w:pPr>
              <w:pStyle w:val="Tabletext"/>
              <w:spacing w:line="230" w:lineRule="exact"/>
              <w:rPr>
                <w:rFonts w:eastAsia="Calibri"/>
                <w:b/>
              </w:rPr>
            </w:pPr>
            <w:r w:rsidRPr="009D64B1">
              <w:rPr>
                <w:rFonts w:eastAsia="Calibri"/>
                <w:b/>
              </w:rPr>
              <w:t xml:space="preserve">RRF / MFF </w:t>
            </w:r>
          </w:p>
        </w:tc>
        <w:tc>
          <w:tcPr>
            <w:tcW w:w="1453" w:type="dxa"/>
            <w:shd w:val="clear" w:color="auto" w:fill="CFE2F3"/>
            <w:vAlign w:val="center"/>
          </w:tcPr>
          <w:p w14:paraId="757D6940" w14:textId="77777777" w:rsidR="00451CC2" w:rsidRPr="009D64B1" w:rsidRDefault="00451CC2" w:rsidP="00C72DDF">
            <w:pPr>
              <w:pStyle w:val="Tabletext"/>
              <w:spacing w:line="230" w:lineRule="exact"/>
              <w:rPr>
                <w:rFonts w:eastAsia="Calibri"/>
                <w:b/>
              </w:rPr>
            </w:pPr>
            <w:r w:rsidRPr="009D64B1">
              <w:rPr>
                <w:rFonts w:eastAsia="Calibri"/>
                <w:b/>
              </w:rPr>
              <w:t xml:space="preserve">CSR </w:t>
            </w:r>
          </w:p>
        </w:tc>
        <w:tc>
          <w:tcPr>
            <w:tcW w:w="1877" w:type="dxa"/>
            <w:shd w:val="clear" w:color="auto" w:fill="CFE2F3"/>
            <w:vAlign w:val="center"/>
          </w:tcPr>
          <w:p w14:paraId="673BC49E" w14:textId="77777777" w:rsidR="00451CC2" w:rsidRPr="009D64B1" w:rsidRDefault="00451CC2" w:rsidP="00C72DDF">
            <w:pPr>
              <w:pStyle w:val="Tabletext"/>
              <w:spacing w:line="230" w:lineRule="exact"/>
              <w:rPr>
                <w:rFonts w:eastAsia="Calibri"/>
                <w:b/>
              </w:rPr>
            </w:pPr>
            <w:r w:rsidRPr="009D64B1">
              <w:rPr>
                <w:rFonts w:eastAsia="Calibri"/>
                <w:b/>
              </w:rPr>
              <w:t>COMMON PRIORITIES</w:t>
            </w:r>
          </w:p>
        </w:tc>
        <w:tc>
          <w:tcPr>
            <w:tcW w:w="1570" w:type="dxa"/>
            <w:shd w:val="clear" w:color="auto" w:fill="CFE2F3"/>
            <w:vAlign w:val="center"/>
          </w:tcPr>
          <w:p w14:paraId="7AF2D1B6" w14:textId="77777777" w:rsidR="00451CC2" w:rsidRPr="009D64B1" w:rsidRDefault="00451CC2" w:rsidP="00C72DDF">
            <w:pPr>
              <w:pStyle w:val="Tabletext"/>
              <w:spacing w:line="230" w:lineRule="exact"/>
              <w:rPr>
                <w:rFonts w:eastAsia="Calibri"/>
                <w:b/>
              </w:rPr>
            </w:pPr>
            <w:r w:rsidRPr="009D64B1">
              <w:rPr>
                <w:rFonts w:eastAsia="Calibri"/>
                <w:b/>
              </w:rPr>
              <w:t>On-track status</w:t>
            </w:r>
          </w:p>
        </w:tc>
      </w:tr>
      <w:tr w:rsidR="00451CC2" w14:paraId="103619A7" w14:textId="77777777" w:rsidTr="00DA6F67">
        <w:trPr>
          <w:trHeight w:val="113"/>
          <w:jc w:val="center"/>
        </w:trPr>
        <w:tc>
          <w:tcPr>
            <w:tcW w:w="2827" w:type="dxa"/>
            <w:tcMar>
              <w:top w:w="40" w:type="dxa"/>
              <w:left w:w="40" w:type="dxa"/>
              <w:bottom w:w="40" w:type="dxa"/>
              <w:right w:w="40" w:type="dxa"/>
            </w:tcMar>
            <w:vAlign w:val="center"/>
          </w:tcPr>
          <w:p w14:paraId="30ACB01E" w14:textId="77777777" w:rsidR="00451CC2" w:rsidRPr="00451CC2" w:rsidRDefault="00540671" w:rsidP="00C72DDF">
            <w:pPr>
              <w:pStyle w:val="Tabletext"/>
              <w:spacing w:line="230" w:lineRule="exact"/>
              <w:rPr>
                <w:rFonts w:eastAsia="Calibri"/>
              </w:rPr>
            </w:pPr>
            <w:r w:rsidRPr="00540671">
              <w:rPr>
                <w:rFonts w:eastAsia="Calibri"/>
                <w:b/>
              </w:rPr>
              <w:t>REFORM 1:</w:t>
            </w:r>
            <w:r w:rsidR="00451CC2" w:rsidRPr="00451CC2">
              <w:rPr>
                <w:rFonts w:eastAsia="Calibri"/>
              </w:rPr>
              <w:t xml:space="preserve"> Organisational reform in the railways sector</w:t>
            </w:r>
          </w:p>
        </w:tc>
        <w:tc>
          <w:tcPr>
            <w:tcW w:w="1276" w:type="dxa"/>
            <w:tcMar>
              <w:top w:w="40" w:type="dxa"/>
              <w:left w:w="40" w:type="dxa"/>
              <w:bottom w:w="40" w:type="dxa"/>
              <w:right w:w="40" w:type="dxa"/>
            </w:tcMar>
            <w:vAlign w:val="center"/>
          </w:tcPr>
          <w:p w14:paraId="6BED485C" w14:textId="77777777" w:rsidR="00451CC2" w:rsidRDefault="00451CC2" w:rsidP="00C72DDF">
            <w:pPr>
              <w:pStyle w:val="Tabletext"/>
              <w:spacing w:line="230" w:lineRule="exact"/>
              <w:rPr>
                <w:rFonts w:eastAsia="Calibri"/>
              </w:rPr>
            </w:pPr>
            <w:r>
              <w:rPr>
                <w:rFonts w:eastAsia="Calibri"/>
              </w:rPr>
              <w:t>RRF 16982</w:t>
            </w:r>
          </w:p>
        </w:tc>
        <w:tc>
          <w:tcPr>
            <w:tcW w:w="1453" w:type="dxa"/>
            <w:tcMar>
              <w:top w:w="40" w:type="dxa"/>
              <w:left w:w="40" w:type="dxa"/>
              <w:bottom w:w="40" w:type="dxa"/>
              <w:right w:w="40" w:type="dxa"/>
            </w:tcMar>
            <w:vAlign w:val="center"/>
          </w:tcPr>
          <w:p w14:paraId="08FDECFB" w14:textId="77777777" w:rsidR="00451CC2" w:rsidRPr="00451CC2" w:rsidRDefault="00451CC2" w:rsidP="00C72DDF">
            <w:pPr>
              <w:pStyle w:val="Tabletext"/>
              <w:spacing w:line="230" w:lineRule="exact"/>
              <w:rPr>
                <w:rFonts w:eastAsia="Calibri"/>
              </w:rPr>
            </w:pPr>
            <w:r w:rsidRPr="00451CC2">
              <w:rPr>
                <w:rFonts w:eastAsia="Calibri"/>
              </w:rPr>
              <w:t>2025 CSR 4.5</w:t>
            </w:r>
          </w:p>
          <w:p w14:paraId="107920E5" w14:textId="77777777" w:rsidR="00451CC2" w:rsidRPr="00451CC2" w:rsidRDefault="00451CC2" w:rsidP="00C72DDF">
            <w:pPr>
              <w:pStyle w:val="Tabletext"/>
              <w:spacing w:line="230" w:lineRule="exact"/>
              <w:rPr>
                <w:rFonts w:eastAsia="Calibri"/>
              </w:rPr>
            </w:pPr>
            <w:r w:rsidRPr="00451CC2">
              <w:rPr>
                <w:rFonts w:eastAsia="Calibri"/>
              </w:rPr>
              <w:t>2023.CSR 4.6 2022.CSR 4.6 2020.CSR 3.4 2020.CSR 3.9 2020.CSR 3.8 2019.CSR 2.1 2019.CSR 2.6</w:t>
            </w:r>
          </w:p>
        </w:tc>
        <w:tc>
          <w:tcPr>
            <w:tcW w:w="1877" w:type="dxa"/>
            <w:tcMar>
              <w:top w:w="40" w:type="dxa"/>
              <w:left w:w="40" w:type="dxa"/>
              <w:bottom w:w="40" w:type="dxa"/>
              <w:right w:w="40" w:type="dxa"/>
            </w:tcMar>
            <w:vAlign w:val="center"/>
          </w:tcPr>
          <w:p w14:paraId="11EF9E27" w14:textId="77777777" w:rsidR="00451CC2" w:rsidRPr="00451CC2" w:rsidRDefault="00451CC2" w:rsidP="00C72DDF">
            <w:pPr>
              <w:pStyle w:val="Tabletext"/>
              <w:spacing w:line="230" w:lineRule="exact"/>
              <w:rPr>
                <w:rFonts w:eastAsia="Calibri"/>
              </w:rPr>
            </w:pPr>
            <w:r w:rsidRPr="00451CC2">
              <w:rPr>
                <w:rFonts w:eastAsia="Calibri"/>
              </w:rPr>
              <w:t xml:space="preserve"> </w:t>
            </w:r>
          </w:p>
        </w:tc>
        <w:tc>
          <w:tcPr>
            <w:tcW w:w="1570" w:type="dxa"/>
            <w:tcMar>
              <w:top w:w="0" w:type="dxa"/>
              <w:left w:w="100" w:type="dxa"/>
              <w:bottom w:w="0" w:type="dxa"/>
              <w:right w:w="100" w:type="dxa"/>
            </w:tcMar>
            <w:vAlign w:val="center"/>
          </w:tcPr>
          <w:p w14:paraId="3092F10C" w14:textId="77777777" w:rsidR="00451CC2" w:rsidRDefault="00451CC2" w:rsidP="00C72DDF">
            <w:pPr>
              <w:pStyle w:val="Tabletext"/>
              <w:spacing w:line="230" w:lineRule="exact"/>
              <w:rPr>
                <w:rFonts w:eastAsia="Calibri"/>
              </w:rPr>
            </w:pPr>
            <w:r>
              <w:rPr>
                <w:rFonts w:eastAsia="Calibri"/>
              </w:rPr>
              <w:t>On track</w:t>
            </w:r>
          </w:p>
        </w:tc>
      </w:tr>
      <w:tr w:rsidR="00451CC2" w14:paraId="6150E670" w14:textId="77777777" w:rsidTr="00DA6F67">
        <w:trPr>
          <w:trHeight w:val="113"/>
          <w:jc w:val="center"/>
        </w:trPr>
        <w:tc>
          <w:tcPr>
            <w:tcW w:w="2827" w:type="dxa"/>
            <w:tcMar>
              <w:top w:w="40" w:type="dxa"/>
              <w:left w:w="40" w:type="dxa"/>
              <w:bottom w:w="40" w:type="dxa"/>
              <w:right w:w="40" w:type="dxa"/>
            </w:tcMar>
            <w:vAlign w:val="center"/>
          </w:tcPr>
          <w:p w14:paraId="0682C94E" w14:textId="77777777" w:rsidR="00451CC2" w:rsidRDefault="00540671" w:rsidP="00C72DDF">
            <w:pPr>
              <w:pStyle w:val="Tabletext"/>
              <w:spacing w:line="230" w:lineRule="exact"/>
              <w:rPr>
                <w:rFonts w:eastAsia="Calibri"/>
              </w:rPr>
            </w:pPr>
            <w:r w:rsidRPr="00540671">
              <w:rPr>
                <w:rFonts w:eastAsia="Calibri"/>
                <w:b/>
              </w:rPr>
              <w:lastRenderedPageBreak/>
              <w:t>REFORM 2:</w:t>
            </w:r>
            <w:r w:rsidR="00451CC2">
              <w:rPr>
                <w:rFonts w:eastAsia="Calibri"/>
              </w:rPr>
              <w:t xml:space="preserve"> Go Electric</w:t>
            </w:r>
          </w:p>
        </w:tc>
        <w:tc>
          <w:tcPr>
            <w:tcW w:w="1276" w:type="dxa"/>
            <w:tcMar>
              <w:top w:w="40" w:type="dxa"/>
              <w:left w:w="40" w:type="dxa"/>
              <w:bottom w:w="40" w:type="dxa"/>
              <w:right w:w="40" w:type="dxa"/>
            </w:tcMar>
            <w:vAlign w:val="center"/>
          </w:tcPr>
          <w:p w14:paraId="62715A33" w14:textId="77777777" w:rsidR="00451CC2" w:rsidRDefault="00451CC2" w:rsidP="00C72DDF">
            <w:pPr>
              <w:pStyle w:val="Tabletext"/>
              <w:spacing w:line="230" w:lineRule="exact"/>
              <w:rPr>
                <w:rFonts w:eastAsia="Calibri"/>
              </w:rPr>
            </w:pPr>
            <w:r>
              <w:rPr>
                <w:rFonts w:eastAsia="Calibri"/>
              </w:rPr>
              <w:t>MFF</w:t>
            </w:r>
          </w:p>
        </w:tc>
        <w:tc>
          <w:tcPr>
            <w:tcW w:w="1453" w:type="dxa"/>
            <w:tcMar>
              <w:top w:w="40" w:type="dxa"/>
              <w:left w:w="40" w:type="dxa"/>
              <w:bottom w:w="40" w:type="dxa"/>
              <w:right w:w="40" w:type="dxa"/>
            </w:tcMar>
            <w:vAlign w:val="center"/>
          </w:tcPr>
          <w:p w14:paraId="319E3E74" w14:textId="77777777" w:rsidR="00451CC2" w:rsidRDefault="00451CC2" w:rsidP="00C72DDF">
            <w:pPr>
              <w:pStyle w:val="Tabletext"/>
              <w:spacing w:line="230" w:lineRule="exact"/>
              <w:rPr>
                <w:rFonts w:eastAsia="Calibri"/>
              </w:rPr>
            </w:pPr>
            <w:r>
              <w:rPr>
                <w:rFonts w:eastAsia="Calibri"/>
              </w:rPr>
              <w:t>2022 CSR 4.1</w:t>
            </w:r>
          </w:p>
          <w:p w14:paraId="1ECEBF82" w14:textId="77777777" w:rsidR="00451CC2" w:rsidRDefault="00451CC2" w:rsidP="00C72DDF">
            <w:pPr>
              <w:pStyle w:val="Tabletext"/>
              <w:spacing w:line="230" w:lineRule="exact"/>
              <w:rPr>
                <w:rFonts w:eastAsia="Calibri"/>
              </w:rPr>
            </w:pPr>
            <w:r>
              <w:rPr>
                <w:rFonts w:eastAsia="Calibri"/>
              </w:rPr>
              <w:t>2023 CSR 4.1</w:t>
            </w:r>
          </w:p>
          <w:p w14:paraId="7C95B01F" w14:textId="77777777" w:rsidR="00451CC2" w:rsidRDefault="00451CC2" w:rsidP="00C72DDF">
            <w:pPr>
              <w:pStyle w:val="Tabletext"/>
              <w:spacing w:line="230" w:lineRule="exact"/>
              <w:rPr>
                <w:rFonts w:eastAsia="Calibri"/>
              </w:rPr>
            </w:pPr>
            <w:r>
              <w:rPr>
                <w:rFonts w:eastAsia="Calibri"/>
              </w:rPr>
              <w:t>2022 CSR 4.6</w:t>
            </w:r>
          </w:p>
        </w:tc>
        <w:tc>
          <w:tcPr>
            <w:tcW w:w="1877" w:type="dxa"/>
            <w:tcMar>
              <w:top w:w="40" w:type="dxa"/>
              <w:left w:w="40" w:type="dxa"/>
              <w:bottom w:w="40" w:type="dxa"/>
              <w:right w:w="40" w:type="dxa"/>
            </w:tcMar>
            <w:vAlign w:val="center"/>
          </w:tcPr>
          <w:p w14:paraId="1592838F" w14:textId="77777777" w:rsidR="00451CC2" w:rsidRDefault="00451CC2" w:rsidP="00C72DDF">
            <w:pPr>
              <w:pStyle w:val="Tabletext"/>
              <w:spacing w:line="230" w:lineRule="exact"/>
              <w:rPr>
                <w:rFonts w:eastAsia="Calibri"/>
              </w:rPr>
            </w:pPr>
            <w:r>
              <w:rPr>
                <w:rFonts w:eastAsia="Calibri"/>
              </w:rPr>
              <w:t>Fair green &amp; digital transition</w:t>
            </w:r>
          </w:p>
        </w:tc>
        <w:tc>
          <w:tcPr>
            <w:tcW w:w="1570" w:type="dxa"/>
            <w:tcMar>
              <w:top w:w="0" w:type="dxa"/>
              <w:left w:w="100" w:type="dxa"/>
              <w:bottom w:w="0" w:type="dxa"/>
              <w:right w:w="100" w:type="dxa"/>
            </w:tcMar>
            <w:vAlign w:val="center"/>
          </w:tcPr>
          <w:p w14:paraId="30CDC6D0" w14:textId="77777777" w:rsidR="00451CC2" w:rsidRDefault="00451CC2" w:rsidP="00C72DDF">
            <w:pPr>
              <w:pStyle w:val="Tabletext"/>
              <w:spacing w:line="230" w:lineRule="exact"/>
              <w:rPr>
                <w:rFonts w:eastAsia="Calibri"/>
              </w:rPr>
            </w:pPr>
            <w:r>
              <w:rPr>
                <w:rFonts w:eastAsia="Calibri"/>
              </w:rPr>
              <w:t>On track</w:t>
            </w:r>
          </w:p>
        </w:tc>
      </w:tr>
      <w:tr w:rsidR="00451CC2" w14:paraId="499BF207" w14:textId="77777777" w:rsidTr="00DA6F67">
        <w:trPr>
          <w:trHeight w:val="113"/>
          <w:jc w:val="center"/>
        </w:trPr>
        <w:tc>
          <w:tcPr>
            <w:tcW w:w="2827" w:type="dxa"/>
            <w:tcMar>
              <w:top w:w="40" w:type="dxa"/>
              <w:left w:w="40" w:type="dxa"/>
              <w:bottom w:w="40" w:type="dxa"/>
              <w:right w:w="40" w:type="dxa"/>
            </w:tcMar>
            <w:vAlign w:val="center"/>
          </w:tcPr>
          <w:p w14:paraId="77A53E76" w14:textId="77777777" w:rsidR="00451CC2" w:rsidRPr="00451CC2" w:rsidRDefault="00540671" w:rsidP="00C72DDF">
            <w:pPr>
              <w:pStyle w:val="Tabletext"/>
              <w:spacing w:line="230" w:lineRule="exact"/>
              <w:rPr>
                <w:rFonts w:eastAsia="Calibri"/>
              </w:rPr>
            </w:pPr>
            <w:r w:rsidRPr="00540671">
              <w:rPr>
                <w:rFonts w:eastAsia="Calibri"/>
                <w:b/>
              </w:rPr>
              <w:t>REFORM 3:</w:t>
            </w:r>
            <w:r w:rsidR="00451CC2" w:rsidRPr="00451CC2">
              <w:rPr>
                <w:rFonts w:eastAsia="Calibri"/>
              </w:rPr>
              <w:t xml:space="preserve"> Establishment of a Metropolitan Agency for Mobility in the Region of Attica</w:t>
            </w:r>
          </w:p>
        </w:tc>
        <w:tc>
          <w:tcPr>
            <w:tcW w:w="1276" w:type="dxa"/>
            <w:tcMar>
              <w:top w:w="40" w:type="dxa"/>
              <w:left w:w="40" w:type="dxa"/>
              <w:bottom w:w="40" w:type="dxa"/>
              <w:right w:w="40" w:type="dxa"/>
            </w:tcMar>
            <w:vAlign w:val="center"/>
          </w:tcPr>
          <w:p w14:paraId="195A24AA" w14:textId="77777777" w:rsidR="00451CC2" w:rsidRDefault="00451CC2" w:rsidP="00C72DDF">
            <w:pPr>
              <w:pStyle w:val="Tabletext"/>
              <w:spacing w:line="230" w:lineRule="exact"/>
              <w:rPr>
                <w:rFonts w:eastAsia="Calibri"/>
              </w:rPr>
            </w:pPr>
            <w:r>
              <w:rPr>
                <w:rFonts w:eastAsia="Calibri"/>
              </w:rPr>
              <w:t>MFF</w:t>
            </w:r>
          </w:p>
        </w:tc>
        <w:tc>
          <w:tcPr>
            <w:tcW w:w="1453" w:type="dxa"/>
            <w:tcMar>
              <w:top w:w="40" w:type="dxa"/>
              <w:left w:w="40" w:type="dxa"/>
              <w:bottom w:w="40" w:type="dxa"/>
              <w:right w:w="40" w:type="dxa"/>
            </w:tcMar>
            <w:vAlign w:val="center"/>
          </w:tcPr>
          <w:p w14:paraId="323D4189" w14:textId="77777777" w:rsidR="00451CC2" w:rsidRDefault="00451CC2" w:rsidP="00C72DDF">
            <w:pPr>
              <w:pStyle w:val="Tabletext"/>
              <w:spacing w:line="230" w:lineRule="exact"/>
              <w:rPr>
                <w:rFonts w:eastAsia="Calibri"/>
              </w:rPr>
            </w:pPr>
            <w:r>
              <w:rPr>
                <w:rFonts w:eastAsia="Calibri"/>
              </w:rPr>
              <w:t>2020 CSR 3.4</w:t>
            </w:r>
          </w:p>
          <w:p w14:paraId="7307EBF3" w14:textId="77777777" w:rsidR="00451CC2" w:rsidRDefault="00451CC2" w:rsidP="00C72DDF">
            <w:pPr>
              <w:pStyle w:val="Tabletext"/>
              <w:spacing w:line="230" w:lineRule="exact"/>
              <w:rPr>
                <w:rFonts w:eastAsia="Calibri"/>
              </w:rPr>
            </w:pPr>
            <w:r>
              <w:rPr>
                <w:rFonts w:eastAsia="Calibri"/>
              </w:rPr>
              <w:t>2019 CSR 2.1</w:t>
            </w:r>
          </w:p>
        </w:tc>
        <w:tc>
          <w:tcPr>
            <w:tcW w:w="1877" w:type="dxa"/>
            <w:tcMar>
              <w:top w:w="40" w:type="dxa"/>
              <w:left w:w="40" w:type="dxa"/>
              <w:bottom w:w="40" w:type="dxa"/>
              <w:right w:w="40" w:type="dxa"/>
            </w:tcMar>
            <w:vAlign w:val="center"/>
          </w:tcPr>
          <w:p w14:paraId="11F3B88D" w14:textId="77777777" w:rsidR="00451CC2" w:rsidRDefault="00451CC2" w:rsidP="00C72DDF">
            <w:pPr>
              <w:pStyle w:val="Tabletext"/>
              <w:spacing w:line="230" w:lineRule="exact"/>
              <w:rPr>
                <w:rFonts w:eastAsia="Calibri"/>
              </w:rPr>
            </w:pPr>
            <w:r>
              <w:rPr>
                <w:rFonts w:eastAsia="Calibri"/>
              </w:rPr>
              <w:t>Fair green &amp; digital transition</w:t>
            </w:r>
          </w:p>
        </w:tc>
        <w:tc>
          <w:tcPr>
            <w:tcW w:w="1570" w:type="dxa"/>
            <w:tcMar>
              <w:top w:w="0" w:type="dxa"/>
              <w:left w:w="100" w:type="dxa"/>
              <w:bottom w:w="0" w:type="dxa"/>
              <w:right w:w="100" w:type="dxa"/>
            </w:tcMar>
            <w:vAlign w:val="center"/>
          </w:tcPr>
          <w:p w14:paraId="4DFBA2A8" w14:textId="77777777" w:rsidR="00451CC2" w:rsidRDefault="00451CC2" w:rsidP="00C72DDF">
            <w:pPr>
              <w:pStyle w:val="Tabletext"/>
              <w:spacing w:line="230" w:lineRule="exact"/>
              <w:rPr>
                <w:rFonts w:eastAsia="Calibri"/>
              </w:rPr>
            </w:pPr>
            <w:r>
              <w:rPr>
                <w:rFonts w:eastAsia="Calibri"/>
              </w:rPr>
              <w:t>Delayed</w:t>
            </w:r>
          </w:p>
        </w:tc>
      </w:tr>
      <w:tr w:rsidR="00451CC2" w14:paraId="4FDD458E" w14:textId="77777777" w:rsidTr="00DA6F67">
        <w:trPr>
          <w:trHeight w:val="113"/>
          <w:jc w:val="center"/>
        </w:trPr>
        <w:tc>
          <w:tcPr>
            <w:tcW w:w="2827" w:type="dxa"/>
            <w:tcMar>
              <w:top w:w="40" w:type="dxa"/>
              <w:left w:w="40" w:type="dxa"/>
              <w:bottom w:w="40" w:type="dxa"/>
              <w:right w:w="40" w:type="dxa"/>
            </w:tcMar>
            <w:vAlign w:val="center"/>
          </w:tcPr>
          <w:p w14:paraId="7EA0DF10" w14:textId="77777777" w:rsidR="00451CC2" w:rsidRPr="00451CC2" w:rsidRDefault="00540671" w:rsidP="00C72DDF">
            <w:pPr>
              <w:pStyle w:val="Tabletext"/>
              <w:spacing w:line="230" w:lineRule="exact"/>
              <w:rPr>
                <w:rFonts w:eastAsia="Calibri"/>
              </w:rPr>
            </w:pPr>
            <w:r w:rsidRPr="00540671">
              <w:rPr>
                <w:rFonts w:eastAsia="Calibri"/>
                <w:b/>
              </w:rPr>
              <w:t>REFORM 4:</w:t>
            </w:r>
            <w:r w:rsidR="00451CC2" w:rsidRPr="00451CC2">
              <w:rPr>
                <w:rFonts w:eastAsia="Calibri"/>
              </w:rPr>
              <w:t xml:space="preserve"> Establishment of a Metropolitan Agency for Mobility in the Region of Thessaloniki</w:t>
            </w:r>
          </w:p>
        </w:tc>
        <w:tc>
          <w:tcPr>
            <w:tcW w:w="1276" w:type="dxa"/>
            <w:tcMar>
              <w:top w:w="40" w:type="dxa"/>
              <w:left w:w="40" w:type="dxa"/>
              <w:bottom w:w="40" w:type="dxa"/>
              <w:right w:w="40" w:type="dxa"/>
            </w:tcMar>
            <w:vAlign w:val="center"/>
          </w:tcPr>
          <w:p w14:paraId="7C9A77EC" w14:textId="77777777" w:rsidR="00451CC2" w:rsidRDefault="00451CC2" w:rsidP="00C72DDF">
            <w:pPr>
              <w:pStyle w:val="Tabletext"/>
              <w:spacing w:line="230" w:lineRule="exact"/>
              <w:rPr>
                <w:rFonts w:eastAsia="Calibri"/>
              </w:rPr>
            </w:pPr>
            <w:r>
              <w:rPr>
                <w:rFonts w:eastAsia="Calibri"/>
              </w:rPr>
              <w:t>MFF</w:t>
            </w:r>
          </w:p>
        </w:tc>
        <w:tc>
          <w:tcPr>
            <w:tcW w:w="1453" w:type="dxa"/>
            <w:tcMar>
              <w:top w:w="40" w:type="dxa"/>
              <w:left w:w="40" w:type="dxa"/>
              <w:bottom w:w="40" w:type="dxa"/>
              <w:right w:w="40" w:type="dxa"/>
            </w:tcMar>
            <w:vAlign w:val="center"/>
          </w:tcPr>
          <w:p w14:paraId="4CF7968A" w14:textId="77777777" w:rsidR="00451CC2" w:rsidRDefault="00451CC2" w:rsidP="00C72DDF">
            <w:pPr>
              <w:pStyle w:val="Tabletext"/>
              <w:spacing w:line="230" w:lineRule="exact"/>
              <w:rPr>
                <w:rFonts w:eastAsia="Calibri"/>
              </w:rPr>
            </w:pPr>
            <w:r>
              <w:rPr>
                <w:rFonts w:eastAsia="Calibri"/>
              </w:rPr>
              <w:t>2020 CSR 3.4</w:t>
            </w:r>
          </w:p>
          <w:p w14:paraId="51570512" w14:textId="77777777" w:rsidR="00451CC2" w:rsidRDefault="00451CC2" w:rsidP="00C72DDF">
            <w:pPr>
              <w:pStyle w:val="Tabletext"/>
              <w:spacing w:line="230" w:lineRule="exact"/>
              <w:rPr>
                <w:rFonts w:eastAsia="Calibri"/>
              </w:rPr>
            </w:pPr>
            <w:r>
              <w:rPr>
                <w:rFonts w:eastAsia="Calibri"/>
              </w:rPr>
              <w:t>2019 CSR 2.1</w:t>
            </w:r>
          </w:p>
        </w:tc>
        <w:tc>
          <w:tcPr>
            <w:tcW w:w="1877" w:type="dxa"/>
            <w:tcMar>
              <w:top w:w="40" w:type="dxa"/>
              <w:left w:w="40" w:type="dxa"/>
              <w:bottom w:w="40" w:type="dxa"/>
              <w:right w:w="40" w:type="dxa"/>
            </w:tcMar>
            <w:vAlign w:val="center"/>
          </w:tcPr>
          <w:p w14:paraId="126A74AF" w14:textId="77777777" w:rsidR="00451CC2" w:rsidRDefault="00451CC2" w:rsidP="00C72DDF">
            <w:pPr>
              <w:pStyle w:val="Tabletext"/>
              <w:spacing w:line="230" w:lineRule="exact"/>
              <w:rPr>
                <w:rFonts w:eastAsia="Calibri"/>
              </w:rPr>
            </w:pPr>
            <w:r>
              <w:rPr>
                <w:rFonts w:eastAsia="Calibri"/>
              </w:rPr>
              <w:t>Fair green &amp; digital transition</w:t>
            </w:r>
          </w:p>
        </w:tc>
        <w:tc>
          <w:tcPr>
            <w:tcW w:w="1570" w:type="dxa"/>
            <w:tcMar>
              <w:top w:w="0" w:type="dxa"/>
              <w:left w:w="100" w:type="dxa"/>
              <w:bottom w:w="0" w:type="dxa"/>
              <w:right w:w="100" w:type="dxa"/>
            </w:tcMar>
            <w:vAlign w:val="center"/>
          </w:tcPr>
          <w:p w14:paraId="190B1BB1" w14:textId="77777777" w:rsidR="00451CC2" w:rsidRDefault="00451CC2" w:rsidP="00C72DDF">
            <w:pPr>
              <w:pStyle w:val="Tabletext"/>
              <w:spacing w:line="230" w:lineRule="exact"/>
              <w:rPr>
                <w:rFonts w:eastAsia="Calibri"/>
              </w:rPr>
            </w:pPr>
            <w:r>
              <w:rPr>
                <w:rFonts w:eastAsia="Calibri"/>
              </w:rPr>
              <w:t>Delayed</w:t>
            </w:r>
          </w:p>
          <w:p w14:paraId="5A321F07" w14:textId="77777777" w:rsidR="00451CC2" w:rsidRDefault="00451CC2" w:rsidP="00C72DDF">
            <w:pPr>
              <w:pStyle w:val="Tabletext"/>
              <w:spacing w:line="230" w:lineRule="exact"/>
              <w:rPr>
                <w:rFonts w:eastAsia="Calibri"/>
              </w:rPr>
            </w:pPr>
          </w:p>
        </w:tc>
      </w:tr>
      <w:tr w:rsidR="00451CC2" w14:paraId="14FC01B1" w14:textId="77777777" w:rsidTr="00DA6F67">
        <w:trPr>
          <w:trHeight w:val="113"/>
          <w:jc w:val="center"/>
        </w:trPr>
        <w:tc>
          <w:tcPr>
            <w:tcW w:w="2827" w:type="dxa"/>
            <w:tcMar>
              <w:top w:w="40" w:type="dxa"/>
              <w:left w:w="40" w:type="dxa"/>
              <w:bottom w:w="40" w:type="dxa"/>
              <w:right w:w="40" w:type="dxa"/>
            </w:tcMar>
            <w:vAlign w:val="center"/>
          </w:tcPr>
          <w:p w14:paraId="76C235A5" w14:textId="77777777" w:rsidR="00451CC2" w:rsidRDefault="00540671" w:rsidP="00C72DDF">
            <w:pPr>
              <w:pStyle w:val="Tabletext"/>
              <w:spacing w:line="230" w:lineRule="exact"/>
              <w:rPr>
                <w:rFonts w:eastAsia="Calibri"/>
              </w:rPr>
            </w:pPr>
            <w:r w:rsidRPr="00540671">
              <w:rPr>
                <w:rFonts w:eastAsia="Calibri"/>
                <w:b/>
              </w:rPr>
              <w:t>INVESTMENT 1:</w:t>
            </w:r>
            <w:r w:rsidR="00451CC2">
              <w:rPr>
                <w:rFonts w:eastAsia="Calibri"/>
              </w:rPr>
              <w:t xml:space="preserve"> Electromobility</w:t>
            </w:r>
          </w:p>
        </w:tc>
        <w:tc>
          <w:tcPr>
            <w:tcW w:w="1276" w:type="dxa"/>
            <w:tcMar>
              <w:top w:w="40" w:type="dxa"/>
              <w:left w:w="40" w:type="dxa"/>
              <w:bottom w:w="40" w:type="dxa"/>
              <w:right w:w="40" w:type="dxa"/>
            </w:tcMar>
            <w:vAlign w:val="center"/>
          </w:tcPr>
          <w:p w14:paraId="1390EBB6" w14:textId="77777777" w:rsidR="00451CC2" w:rsidRDefault="00451CC2" w:rsidP="00C72DDF">
            <w:pPr>
              <w:pStyle w:val="Tabletext"/>
              <w:spacing w:line="230" w:lineRule="exact"/>
              <w:rPr>
                <w:rFonts w:eastAsia="Calibri"/>
              </w:rPr>
            </w:pPr>
            <w:r>
              <w:rPr>
                <w:rFonts w:eastAsia="Calibri"/>
              </w:rPr>
              <w:t>RRF 16924</w:t>
            </w:r>
          </w:p>
        </w:tc>
        <w:tc>
          <w:tcPr>
            <w:tcW w:w="1453" w:type="dxa"/>
            <w:tcMar>
              <w:top w:w="40" w:type="dxa"/>
              <w:left w:w="40" w:type="dxa"/>
              <w:bottom w:w="40" w:type="dxa"/>
              <w:right w:w="40" w:type="dxa"/>
            </w:tcMar>
            <w:vAlign w:val="center"/>
          </w:tcPr>
          <w:p w14:paraId="39AF66D4" w14:textId="77777777" w:rsidR="00451CC2" w:rsidRDefault="00451CC2" w:rsidP="00C72DDF">
            <w:pPr>
              <w:pStyle w:val="Tabletext"/>
              <w:spacing w:line="230" w:lineRule="exact"/>
              <w:rPr>
                <w:rFonts w:eastAsia="Calibri"/>
              </w:rPr>
            </w:pPr>
            <w:r>
              <w:rPr>
                <w:rFonts w:eastAsia="Calibri"/>
              </w:rPr>
              <w:t>2025 CSR 4.5</w:t>
            </w:r>
          </w:p>
          <w:p w14:paraId="1908B852" w14:textId="77777777" w:rsidR="00451CC2" w:rsidRDefault="00451CC2" w:rsidP="00C72DDF">
            <w:pPr>
              <w:pStyle w:val="Tabletext"/>
              <w:spacing w:line="230" w:lineRule="exact"/>
              <w:rPr>
                <w:rFonts w:eastAsia="Calibri"/>
              </w:rPr>
            </w:pPr>
            <w:r>
              <w:rPr>
                <w:rFonts w:eastAsia="Calibri"/>
              </w:rPr>
              <w:t>2024 CSR 4.1</w:t>
            </w:r>
          </w:p>
          <w:p w14:paraId="7E93EB71" w14:textId="77777777" w:rsidR="00451CC2" w:rsidRDefault="00451CC2" w:rsidP="00C72DDF">
            <w:pPr>
              <w:pStyle w:val="Tabletext"/>
              <w:spacing w:line="230" w:lineRule="exact"/>
              <w:rPr>
                <w:rFonts w:eastAsia="Calibri"/>
              </w:rPr>
            </w:pPr>
            <w:r>
              <w:rPr>
                <w:rFonts w:eastAsia="Calibri"/>
              </w:rPr>
              <w:t>2024 CSR 2.1 2023.CSR 4.1 2023.CSR4.6 2022.CSR4.6 2022.CSR4.2 2022.CSR4.1 2020.CSR3.4 2020.CSR3.2 2019.CSR2.1 2019.CSR2.9</w:t>
            </w:r>
          </w:p>
        </w:tc>
        <w:tc>
          <w:tcPr>
            <w:tcW w:w="1877" w:type="dxa"/>
            <w:tcMar>
              <w:top w:w="40" w:type="dxa"/>
              <w:left w:w="40" w:type="dxa"/>
              <w:bottom w:w="40" w:type="dxa"/>
              <w:right w:w="40" w:type="dxa"/>
            </w:tcMar>
            <w:vAlign w:val="center"/>
          </w:tcPr>
          <w:p w14:paraId="0BBC3D19" w14:textId="77777777" w:rsidR="00451CC2" w:rsidRDefault="00451CC2" w:rsidP="00C72DDF">
            <w:pPr>
              <w:pStyle w:val="Tabletext"/>
              <w:spacing w:line="230" w:lineRule="exact"/>
              <w:rPr>
                <w:rFonts w:eastAsia="Calibri"/>
              </w:rPr>
            </w:pPr>
            <w:r>
              <w:rPr>
                <w:rFonts w:eastAsia="Calibri"/>
              </w:rPr>
              <w:t>Fair green &amp; digital transition</w:t>
            </w:r>
          </w:p>
        </w:tc>
        <w:tc>
          <w:tcPr>
            <w:tcW w:w="1570" w:type="dxa"/>
            <w:tcMar>
              <w:top w:w="0" w:type="dxa"/>
              <w:left w:w="100" w:type="dxa"/>
              <w:bottom w:w="0" w:type="dxa"/>
              <w:right w:w="100" w:type="dxa"/>
            </w:tcMar>
            <w:vAlign w:val="center"/>
          </w:tcPr>
          <w:p w14:paraId="4F80A30D" w14:textId="77777777" w:rsidR="00451CC2" w:rsidRDefault="00451CC2" w:rsidP="00C72DDF">
            <w:pPr>
              <w:pStyle w:val="Tabletext"/>
              <w:spacing w:line="230" w:lineRule="exact"/>
              <w:rPr>
                <w:rFonts w:eastAsia="Calibri"/>
              </w:rPr>
            </w:pPr>
            <w:r>
              <w:rPr>
                <w:rFonts w:eastAsia="Calibri"/>
              </w:rPr>
              <w:t>On track</w:t>
            </w:r>
          </w:p>
        </w:tc>
      </w:tr>
      <w:tr w:rsidR="00451CC2" w14:paraId="1620B173" w14:textId="77777777" w:rsidTr="00DA6F67">
        <w:trPr>
          <w:trHeight w:val="113"/>
          <w:jc w:val="center"/>
        </w:trPr>
        <w:tc>
          <w:tcPr>
            <w:tcW w:w="2827" w:type="dxa"/>
            <w:tcMar>
              <w:top w:w="40" w:type="dxa"/>
              <w:left w:w="40" w:type="dxa"/>
              <w:bottom w:w="40" w:type="dxa"/>
              <w:right w:w="40" w:type="dxa"/>
            </w:tcMar>
            <w:vAlign w:val="center"/>
          </w:tcPr>
          <w:p w14:paraId="22D9A038" w14:textId="77777777" w:rsidR="00451CC2" w:rsidRPr="00451CC2" w:rsidRDefault="00540671" w:rsidP="00C72DDF">
            <w:pPr>
              <w:pStyle w:val="Tabletext"/>
              <w:spacing w:line="230" w:lineRule="exact"/>
              <w:rPr>
                <w:rFonts w:eastAsia="Calibri"/>
              </w:rPr>
            </w:pPr>
            <w:r w:rsidRPr="00540671">
              <w:rPr>
                <w:rFonts w:eastAsia="Calibri"/>
                <w:b/>
              </w:rPr>
              <w:t>INVESTMENT 2:</w:t>
            </w:r>
            <w:r w:rsidR="00451CC2" w:rsidRPr="00451CC2">
              <w:rPr>
                <w:rFonts w:eastAsia="Calibri"/>
              </w:rPr>
              <w:t xml:space="preserve"> Upgrading suburban railway of West Attica</w:t>
            </w:r>
          </w:p>
        </w:tc>
        <w:tc>
          <w:tcPr>
            <w:tcW w:w="1276" w:type="dxa"/>
            <w:tcMar>
              <w:top w:w="40" w:type="dxa"/>
              <w:left w:w="40" w:type="dxa"/>
              <w:bottom w:w="40" w:type="dxa"/>
              <w:right w:w="40" w:type="dxa"/>
            </w:tcMar>
            <w:vAlign w:val="center"/>
          </w:tcPr>
          <w:p w14:paraId="11E451AC" w14:textId="77777777" w:rsidR="00451CC2" w:rsidRDefault="00451CC2" w:rsidP="00C72DDF">
            <w:pPr>
              <w:pStyle w:val="Tabletext"/>
              <w:spacing w:line="230" w:lineRule="exact"/>
              <w:rPr>
                <w:rFonts w:eastAsia="Calibri"/>
              </w:rPr>
            </w:pPr>
            <w:r>
              <w:rPr>
                <w:rFonts w:eastAsia="Calibri"/>
              </w:rPr>
              <w:t>RRF 16892</w:t>
            </w:r>
          </w:p>
        </w:tc>
        <w:tc>
          <w:tcPr>
            <w:tcW w:w="1453" w:type="dxa"/>
            <w:tcMar>
              <w:top w:w="40" w:type="dxa"/>
              <w:left w:w="40" w:type="dxa"/>
              <w:bottom w:w="40" w:type="dxa"/>
              <w:right w:w="40" w:type="dxa"/>
            </w:tcMar>
            <w:vAlign w:val="center"/>
          </w:tcPr>
          <w:p w14:paraId="7F1DF857" w14:textId="77777777" w:rsidR="00451CC2" w:rsidRPr="00451CC2" w:rsidRDefault="00451CC2" w:rsidP="00C72DDF">
            <w:pPr>
              <w:pStyle w:val="Tabletext"/>
              <w:spacing w:line="230" w:lineRule="exact"/>
              <w:rPr>
                <w:rFonts w:eastAsia="Calibri"/>
              </w:rPr>
            </w:pPr>
            <w:r w:rsidRPr="00451CC2">
              <w:rPr>
                <w:rFonts w:eastAsia="Calibri"/>
              </w:rPr>
              <w:t>2025 CSR 4.5</w:t>
            </w:r>
          </w:p>
          <w:p w14:paraId="3BCD1F09" w14:textId="77777777" w:rsidR="00451CC2" w:rsidRPr="00451CC2" w:rsidRDefault="00451CC2" w:rsidP="00C72DDF">
            <w:pPr>
              <w:pStyle w:val="Tabletext"/>
              <w:spacing w:line="230" w:lineRule="exact"/>
              <w:rPr>
                <w:rFonts w:eastAsia="Calibri"/>
              </w:rPr>
            </w:pPr>
            <w:r w:rsidRPr="00451CC2">
              <w:rPr>
                <w:rFonts w:eastAsia="Calibri"/>
              </w:rPr>
              <w:t>2024 CSR 4.1</w:t>
            </w:r>
          </w:p>
          <w:p w14:paraId="472C78CE" w14:textId="77777777" w:rsidR="00451CC2" w:rsidRPr="00451CC2" w:rsidRDefault="00451CC2" w:rsidP="00C72DDF">
            <w:pPr>
              <w:pStyle w:val="Tabletext"/>
              <w:spacing w:line="230" w:lineRule="exact"/>
              <w:rPr>
                <w:rFonts w:eastAsia="Calibri"/>
              </w:rPr>
            </w:pPr>
            <w:r w:rsidRPr="00451CC2">
              <w:rPr>
                <w:rFonts w:eastAsia="Calibri"/>
              </w:rPr>
              <w:t>2023.CSR 4.6 2022.CSR 4.6 2020.CSR 3.4 2019.CSR 2.1 2019.CSR2.9</w:t>
            </w:r>
          </w:p>
        </w:tc>
        <w:tc>
          <w:tcPr>
            <w:tcW w:w="1877" w:type="dxa"/>
            <w:tcMar>
              <w:top w:w="40" w:type="dxa"/>
              <w:left w:w="40" w:type="dxa"/>
              <w:bottom w:w="40" w:type="dxa"/>
              <w:right w:w="40" w:type="dxa"/>
            </w:tcMar>
            <w:vAlign w:val="center"/>
          </w:tcPr>
          <w:p w14:paraId="10235D31" w14:textId="77777777" w:rsidR="00451CC2" w:rsidRDefault="00451CC2" w:rsidP="00C72DDF">
            <w:pPr>
              <w:pStyle w:val="Tabletext"/>
              <w:spacing w:line="230" w:lineRule="exact"/>
              <w:rPr>
                <w:rFonts w:eastAsia="Calibri"/>
              </w:rPr>
            </w:pPr>
            <w:r>
              <w:rPr>
                <w:rFonts w:eastAsia="Calibri"/>
              </w:rPr>
              <w:t>Fair green &amp; digital transition</w:t>
            </w:r>
          </w:p>
        </w:tc>
        <w:tc>
          <w:tcPr>
            <w:tcW w:w="1570" w:type="dxa"/>
            <w:tcMar>
              <w:top w:w="0" w:type="dxa"/>
              <w:left w:w="100" w:type="dxa"/>
              <w:bottom w:w="0" w:type="dxa"/>
              <w:right w:w="100" w:type="dxa"/>
            </w:tcMar>
            <w:vAlign w:val="center"/>
          </w:tcPr>
          <w:p w14:paraId="37BAD8EC" w14:textId="77777777" w:rsidR="00451CC2" w:rsidRDefault="00451CC2" w:rsidP="00C72DDF">
            <w:pPr>
              <w:pStyle w:val="Tabletext"/>
              <w:spacing w:line="230" w:lineRule="exact"/>
              <w:rPr>
                <w:rFonts w:eastAsia="Calibri"/>
              </w:rPr>
            </w:pPr>
            <w:r>
              <w:rPr>
                <w:rFonts w:eastAsia="Calibri"/>
              </w:rPr>
              <w:t>On track</w:t>
            </w:r>
          </w:p>
        </w:tc>
      </w:tr>
      <w:tr w:rsidR="00451CC2" w14:paraId="38F06BC3" w14:textId="77777777" w:rsidTr="00DA6F67">
        <w:trPr>
          <w:trHeight w:val="113"/>
          <w:jc w:val="center"/>
        </w:trPr>
        <w:tc>
          <w:tcPr>
            <w:tcW w:w="2827" w:type="dxa"/>
            <w:tcMar>
              <w:top w:w="40" w:type="dxa"/>
              <w:left w:w="40" w:type="dxa"/>
              <w:bottom w:w="40" w:type="dxa"/>
              <w:right w:w="40" w:type="dxa"/>
            </w:tcMar>
            <w:vAlign w:val="center"/>
          </w:tcPr>
          <w:p w14:paraId="7F4448D6" w14:textId="77777777" w:rsidR="00451CC2" w:rsidRPr="00451CC2" w:rsidRDefault="00540671" w:rsidP="00C72DDF">
            <w:pPr>
              <w:pStyle w:val="Tabletext"/>
              <w:spacing w:line="230" w:lineRule="exact"/>
              <w:rPr>
                <w:rFonts w:eastAsia="Calibri"/>
              </w:rPr>
            </w:pPr>
            <w:r w:rsidRPr="00540671">
              <w:rPr>
                <w:rFonts w:eastAsia="Calibri"/>
                <w:b/>
              </w:rPr>
              <w:t>INVESTMENT 3:</w:t>
            </w:r>
            <w:r w:rsidR="00451CC2" w:rsidRPr="00451CC2">
              <w:rPr>
                <w:rFonts w:eastAsia="Calibri"/>
              </w:rPr>
              <w:t xml:space="preserve"> Digital Transformation of the Hellenic Railways Organization</w:t>
            </w:r>
          </w:p>
        </w:tc>
        <w:tc>
          <w:tcPr>
            <w:tcW w:w="1276" w:type="dxa"/>
            <w:tcMar>
              <w:top w:w="40" w:type="dxa"/>
              <w:left w:w="40" w:type="dxa"/>
              <w:bottom w:w="40" w:type="dxa"/>
              <w:right w:w="40" w:type="dxa"/>
            </w:tcMar>
            <w:vAlign w:val="center"/>
          </w:tcPr>
          <w:p w14:paraId="79AB458E" w14:textId="77777777" w:rsidR="00451CC2" w:rsidRDefault="00451CC2" w:rsidP="00C72DDF">
            <w:pPr>
              <w:pStyle w:val="Tabletext"/>
              <w:spacing w:line="230" w:lineRule="exact"/>
              <w:rPr>
                <w:rFonts w:eastAsia="Calibri"/>
              </w:rPr>
            </w:pPr>
            <w:r>
              <w:rPr>
                <w:rFonts w:eastAsia="Calibri"/>
              </w:rPr>
              <w:t>RRF 16959</w:t>
            </w:r>
          </w:p>
        </w:tc>
        <w:tc>
          <w:tcPr>
            <w:tcW w:w="1453" w:type="dxa"/>
            <w:tcMar>
              <w:top w:w="40" w:type="dxa"/>
              <w:left w:w="40" w:type="dxa"/>
              <w:bottom w:w="40" w:type="dxa"/>
              <w:right w:w="40" w:type="dxa"/>
            </w:tcMar>
            <w:vAlign w:val="center"/>
          </w:tcPr>
          <w:p w14:paraId="3A9856B1" w14:textId="77777777" w:rsidR="00451CC2" w:rsidRPr="00451CC2" w:rsidRDefault="00451CC2" w:rsidP="00C72DDF">
            <w:pPr>
              <w:pStyle w:val="Tabletext"/>
              <w:spacing w:line="230" w:lineRule="exact"/>
              <w:rPr>
                <w:rFonts w:eastAsia="Calibri"/>
              </w:rPr>
            </w:pPr>
            <w:r w:rsidRPr="00451CC2">
              <w:rPr>
                <w:rFonts w:eastAsia="Calibri"/>
              </w:rPr>
              <w:t>2025 CSR 4.5 2020.CSR 3.4 2020.CSR 3.9 2020.CSR 3.3 2019.CSR 2.1 2019.CSR 2.3</w:t>
            </w:r>
          </w:p>
        </w:tc>
        <w:tc>
          <w:tcPr>
            <w:tcW w:w="1877" w:type="dxa"/>
            <w:tcMar>
              <w:top w:w="40" w:type="dxa"/>
              <w:left w:w="40" w:type="dxa"/>
              <w:bottom w:w="40" w:type="dxa"/>
              <w:right w:w="40" w:type="dxa"/>
            </w:tcMar>
            <w:vAlign w:val="center"/>
          </w:tcPr>
          <w:p w14:paraId="014292C1" w14:textId="77777777" w:rsidR="00451CC2" w:rsidRDefault="00451CC2" w:rsidP="00C72DDF">
            <w:pPr>
              <w:pStyle w:val="Tabletext"/>
              <w:spacing w:line="230" w:lineRule="exact"/>
              <w:rPr>
                <w:rFonts w:eastAsia="Calibri"/>
              </w:rPr>
            </w:pPr>
            <w:r>
              <w:rPr>
                <w:rFonts w:eastAsia="Calibri"/>
              </w:rPr>
              <w:t>Fair green &amp; digital transition</w:t>
            </w:r>
          </w:p>
        </w:tc>
        <w:tc>
          <w:tcPr>
            <w:tcW w:w="1570" w:type="dxa"/>
            <w:tcMar>
              <w:top w:w="0" w:type="dxa"/>
              <w:left w:w="100" w:type="dxa"/>
              <w:bottom w:w="0" w:type="dxa"/>
              <w:right w:w="100" w:type="dxa"/>
            </w:tcMar>
            <w:vAlign w:val="center"/>
          </w:tcPr>
          <w:p w14:paraId="7204B068" w14:textId="77777777" w:rsidR="00451CC2" w:rsidRDefault="00451CC2" w:rsidP="00C72DDF">
            <w:pPr>
              <w:pStyle w:val="Tabletext"/>
              <w:spacing w:line="230" w:lineRule="exact"/>
              <w:rPr>
                <w:rFonts w:eastAsia="Calibri"/>
              </w:rPr>
            </w:pPr>
            <w:r>
              <w:rPr>
                <w:rFonts w:eastAsia="Calibri"/>
              </w:rPr>
              <w:t>On track</w:t>
            </w:r>
          </w:p>
        </w:tc>
      </w:tr>
      <w:tr w:rsidR="00451CC2" w14:paraId="2A3D4AB3" w14:textId="77777777" w:rsidTr="00DA6F67">
        <w:trPr>
          <w:trHeight w:val="113"/>
          <w:jc w:val="center"/>
        </w:trPr>
        <w:tc>
          <w:tcPr>
            <w:tcW w:w="2827" w:type="dxa"/>
            <w:tcMar>
              <w:top w:w="40" w:type="dxa"/>
              <w:left w:w="40" w:type="dxa"/>
              <w:bottom w:w="40" w:type="dxa"/>
              <w:right w:w="40" w:type="dxa"/>
            </w:tcMar>
            <w:vAlign w:val="center"/>
          </w:tcPr>
          <w:p w14:paraId="7A62DF18" w14:textId="77777777" w:rsidR="00451CC2" w:rsidRDefault="00540671" w:rsidP="00C72DDF">
            <w:pPr>
              <w:pStyle w:val="Tabletext"/>
              <w:spacing w:line="230" w:lineRule="exact"/>
              <w:rPr>
                <w:rFonts w:eastAsia="Calibri"/>
              </w:rPr>
            </w:pPr>
            <w:r w:rsidRPr="00540671">
              <w:rPr>
                <w:rFonts w:eastAsia="Calibri"/>
                <w:b/>
              </w:rPr>
              <w:t>INVESTMENT 4:</w:t>
            </w:r>
            <w:r w:rsidR="00451CC2">
              <w:rPr>
                <w:rFonts w:eastAsia="Calibri"/>
              </w:rPr>
              <w:t xml:space="preserve"> Smart Bridges</w:t>
            </w:r>
          </w:p>
        </w:tc>
        <w:tc>
          <w:tcPr>
            <w:tcW w:w="1276" w:type="dxa"/>
            <w:tcMar>
              <w:top w:w="40" w:type="dxa"/>
              <w:left w:w="40" w:type="dxa"/>
              <w:bottom w:w="40" w:type="dxa"/>
              <w:right w:w="40" w:type="dxa"/>
            </w:tcMar>
            <w:vAlign w:val="center"/>
          </w:tcPr>
          <w:p w14:paraId="3E1591F5" w14:textId="77777777" w:rsidR="00451CC2" w:rsidRDefault="00451CC2" w:rsidP="00C72DDF">
            <w:pPr>
              <w:pStyle w:val="Tabletext"/>
              <w:spacing w:line="230" w:lineRule="exact"/>
              <w:rPr>
                <w:rFonts w:eastAsia="Calibri"/>
              </w:rPr>
            </w:pPr>
            <w:r>
              <w:rPr>
                <w:rFonts w:eastAsia="Calibri"/>
              </w:rPr>
              <w:t>RRF 16949</w:t>
            </w:r>
          </w:p>
        </w:tc>
        <w:tc>
          <w:tcPr>
            <w:tcW w:w="1453" w:type="dxa"/>
            <w:tcMar>
              <w:top w:w="40" w:type="dxa"/>
              <w:left w:w="40" w:type="dxa"/>
              <w:bottom w:w="40" w:type="dxa"/>
              <w:right w:w="40" w:type="dxa"/>
            </w:tcMar>
            <w:vAlign w:val="center"/>
          </w:tcPr>
          <w:p w14:paraId="5C8D2FC1" w14:textId="77777777" w:rsidR="00451CC2" w:rsidRPr="00451CC2" w:rsidRDefault="00451CC2" w:rsidP="00C72DDF">
            <w:pPr>
              <w:pStyle w:val="Tabletext"/>
              <w:spacing w:line="230" w:lineRule="exact"/>
              <w:rPr>
                <w:rFonts w:eastAsia="Calibri"/>
              </w:rPr>
            </w:pPr>
            <w:r w:rsidRPr="00451CC2">
              <w:rPr>
                <w:rFonts w:eastAsia="Calibri"/>
              </w:rPr>
              <w:t>2020.CSR3.4 2020.CSR3.9 2020.CSR3.8 2019.CSR2.1 2019.CSR2.3 2019.CSR2.6</w:t>
            </w:r>
          </w:p>
        </w:tc>
        <w:tc>
          <w:tcPr>
            <w:tcW w:w="1877" w:type="dxa"/>
            <w:tcMar>
              <w:top w:w="40" w:type="dxa"/>
              <w:left w:w="40" w:type="dxa"/>
              <w:bottom w:w="40" w:type="dxa"/>
              <w:right w:w="40" w:type="dxa"/>
            </w:tcMar>
            <w:vAlign w:val="center"/>
          </w:tcPr>
          <w:p w14:paraId="2F6DF175" w14:textId="77777777" w:rsidR="00451CC2" w:rsidRDefault="00451CC2" w:rsidP="00C72DDF">
            <w:pPr>
              <w:pStyle w:val="Tabletext"/>
              <w:spacing w:line="230" w:lineRule="exact"/>
              <w:rPr>
                <w:rFonts w:eastAsia="Calibri"/>
              </w:rPr>
            </w:pPr>
            <w:r>
              <w:rPr>
                <w:rFonts w:eastAsia="Calibri"/>
              </w:rPr>
              <w:t>Fair green &amp; digital transition</w:t>
            </w:r>
          </w:p>
        </w:tc>
        <w:tc>
          <w:tcPr>
            <w:tcW w:w="1570" w:type="dxa"/>
            <w:tcMar>
              <w:top w:w="0" w:type="dxa"/>
              <w:left w:w="100" w:type="dxa"/>
              <w:bottom w:w="0" w:type="dxa"/>
              <w:right w:w="100" w:type="dxa"/>
            </w:tcMar>
            <w:vAlign w:val="center"/>
          </w:tcPr>
          <w:p w14:paraId="27D4D006" w14:textId="77777777" w:rsidR="00451CC2" w:rsidRDefault="00451CC2" w:rsidP="00C72DDF">
            <w:pPr>
              <w:pStyle w:val="Tabletext"/>
              <w:spacing w:line="230" w:lineRule="exact"/>
              <w:rPr>
                <w:rFonts w:eastAsia="Calibri"/>
              </w:rPr>
            </w:pPr>
            <w:r>
              <w:rPr>
                <w:rFonts w:eastAsia="Calibri"/>
              </w:rPr>
              <w:t>On track</w:t>
            </w:r>
          </w:p>
        </w:tc>
      </w:tr>
      <w:tr w:rsidR="00451CC2" w14:paraId="76F207A8" w14:textId="77777777" w:rsidTr="00DA6F67">
        <w:trPr>
          <w:trHeight w:val="113"/>
          <w:jc w:val="center"/>
        </w:trPr>
        <w:tc>
          <w:tcPr>
            <w:tcW w:w="2827" w:type="dxa"/>
            <w:tcMar>
              <w:top w:w="40" w:type="dxa"/>
              <w:left w:w="40" w:type="dxa"/>
              <w:bottom w:w="40" w:type="dxa"/>
              <w:right w:w="40" w:type="dxa"/>
            </w:tcMar>
            <w:vAlign w:val="center"/>
          </w:tcPr>
          <w:p w14:paraId="0C678AAD" w14:textId="77777777" w:rsidR="00451CC2" w:rsidRPr="00451CC2" w:rsidRDefault="00540671" w:rsidP="00C72DDF">
            <w:pPr>
              <w:pStyle w:val="Tabletext"/>
              <w:spacing w:line="230" w:lineRule="exact"/>
              <w:rPr>
                <w:rFonts w:eastAsia="Calibri"/>
              </w:rPr>
            </w:pPr>
            <w:r w:rsidRPr="00540671">
              <w:rPr>
                <w:rFonts w:eastAsia="Calibri"/>
                <w:b/>
              </w:rPr>
              <w:t>INVESTMENT 5:</w:t>
            </w:r>
            <w:r w:rsidR="00451CC2" w:rsidRPr="00451CC2">
              <w:rPr>
                <w:rFonts w:eastAsia="Calibri"/>
              </w:rPr>
              <w:t xml:space="preserve"> Cretan Northern Highway (VOAK)</w:t>
            </w:r>
          </w:p>
        </w:tc>
        <w:tc>
          <w:tcPr>
            <w:tcW w:w="1276" w:type="dxa"/>
            <w:tcMar>
              <w:top w:w="40" w:type="dxa"/>
              <w:left w:w="40" w:type="dxa"/>
              <w:bottom w:w="40" w:type="dxa"/>
              <w:right w:w="40" w:type="dxa"/>
            </w:tcMar>
            <w:vAlign w:val="center"/>
          </w:tcPr>
          <w:p w14:paraId="7B3FB38F" w14:textId="77777777" w:rsidR="00451CC2" w:rsidRDefault="00451CC2" w:rsidP="00C72DDF">
            <w:pPr>
              <w:pStyle w:val="Tabletext"/>
              <w:spacing w:line="230" w:lineRule="exact"/>
              <w:rPr>
                <w:rFonts w:eastAsia="Calibri"/>
              </w:rPr>
            </w:pPr>
            <w:r>
              <w:rPr>
                <w:rFonts w:eastAsia="Calibri"/>
              </w:rPr>
              <w:t>RRF 16630</w:t>
            </w:r>
          </w:p>
        </w:tc>
        <w:tc>
          <w:tcPr>
            <w:tcW w:w="1453" w:type="dxa"/>
            <w:tcMar>
              <w:top w:w="40" w:type="dxa"/>
              <w:left w:w="40" w:type="dxa"/>
              <w:bottom w:w="40" w:type="dxa"/>
              <w:right w:w="40" w:type="dxa"/>
            </w:tcMar>
            <w:vAlign w:val="center"/>
          </w:tcPr>
          <w:p w14:paraId="55D8754D" w14:textId="77777777" w:rsidR="00451CC2" w:rsidRDefault="00451CC2" w:rsidP="00C72DDF">
            <w:pPr>
              <w:pStyle w:val="Tabletext"/>
              <w:spacing w:line="230" w:lineRule="exact"/>
              <w:rPr>
                <w:rFonts w:eastAsia="Calibri"/>
              </w:rPr>
            </w:pPr>
            <w:r>
              <w:rPr>
                <w:rFonts w:eastAsia="Calibri"/>
              </w:rPr>
              <w:t>2020.CSR3.4 2020.CSR3.3 2019.CSR2.1</w:t>
            </w:r>
          </w:p>
        </w:tc>
        <w:tc>
          <w:tcPr>
            <w:tcW w:w="1877" w:type="dxa"/>
            <w:tcMar>
              <w:top w:w="40" w:type="dxa"/>
              <w:left w:w="40" w:type="dxa"/>
              <w:bottom w:w="40" w:type="dxa"/>
              <w:right w:w="40" w:type="dxa"/>
            </w:tcMar>
            <w:vAlign w:val="center"/>
          </w:tcPr>
          <w:p w14:paraId="6C18EAA7" w14:textId="77777777" w:rsidR="00451CC2" w:rsidRDefault="00451CC2" w:rsidP="00C72DDF">
            <w:pPr>
              <w:pStyle w:val="Tabletext"/>
              <w:spacing w:line="230" w:lineRule="exact"/>
              <w:rPr>
                <w:rFonts w:eastAsia="Calibri"/>
              </w:rPr>
            </w:pPr>
            <w:r>
              <w:rPr>
                <w:rFonts w:eastAsia="Calibri"/>
              </w:rPr>
              <w:t xml:space="preserve"> </w:t>
            </w:r>
          </w:p>
        </w:tc>
        <w:tc>
          <w:tcPr>
            <w:tcW w:w="1570" w:type="dxa"/>
            <w:tcMar>
              <w:top w:w="0" w:type="dxa"/>
              <w:left w:w="100" w:type="dxa"/>
              <w:bottom w:w="0" w:type="dxa"/>
              <w:right w:w="100" w:type="dxa"/>
            </w:tcMar>
            <w:vAlign w:val="center"/>
          </w:tcPr>
          <w:p w14:paraId="12EF0726" w14:textId="77777777" w:rsidR="00451CC2" w:rsidRDefault="00451CC2" w:rsidP="00C72DDF">
            <w:pPr>
              <w:pStyle w:val="Tabletext"/>
              <w:spacing w:line="230" w:lineRule="exact"/>
              <w:rPr>
                <w:rFonts w:eastAsia="Calibri"/>
              </w:rPr>
            </w:pPr>
            <w:r>
              <w:rPr>
                <w:rFonts w:eastAsia="Calibri"/>
              </w:rPr>
              <w:t>On track</w:t>
            </w:r>
          </w:p>
        </w:tc>
      </w:tr>
      <w:tr w:rsidR="00451CC2" w14:paraId="7D2EB222" w14:textId="77777777" w:rsidTr="00DA6F67">
        <w:trPr>
          <w:trHeight w:val="113"/>
          <w:jc w:val="center"/>
        </w:trPr>
        <w:tc>
          <w:tcPr>
            <w:tcW w:w="2827" w:type="dxa"/>
            <w:tcMar>
              <w:top w:w="40" w:type="dxa"/>
              <w:left w:w="40" w:type="dxa"/>
              <w:bottom w:w="40" w:type="dxa"/>
              <w:right w:w="40" w:type="dxa"/>
            </w:tcMar>
            <w:vAlign w:val="center"/>
          </w:tcPr>
          <w:p w14:paraId="3E1CA37B" w14:textId="77777777" w:rsidR="00451CC2" w:rsidRPr="00451CC2" w:rsidRDefault="00540671" w:rsidP="00C72DDF">
            <w:pPr>
              <w:pStyle w:val="Tabletext"/>
              <w:spacing w:line="230" w:lineRule="exact"/>
              <w:rPr>
                <w:rFonts w:eastAsia="Calibri"/>
              </w:rPr>
            </w:pPr>
            <w:r w:rsidRPr="00540671">
              <w:rPr>
                <w:rFonts w:eastAsia="Calibri"/>
                <w:b/>
              </w:rPr>
              <w:t>INVESTMENT 6:</w:t>
            </w:r>
            <w:r w:rsidR="00451CC2" w:rsidRPr="00451CC2">
              <w:rPr>
                <w:rFonts w:eastAsia="Calibri"/>
              </w:rPr>
              <w:t xml:space="preserve"> Central Greece Highway E-65: Trikala- </w:t>
            </w:r>
            <w:proofErr w:type="spellStart"/>
            <w:r w:rsidR="00451CC2" w:rsidRPr="00451CC2">
              <w:rPr>
                <w:rFonts w:eastAsia="Calibri"/>
              </w:rPr>
              <w:t>Egnatia</w:t>
            </w:r>
            <w:proofErr w:type="spellEnd"/>
            <w:r w:rsidR="00451CC2" w:rsidRPr="00451CC2">
              <w:rPr>
                <w:rFonts w:eastAsia="Calibri"/>
              </w:rPr>
              <w:t xml:space="preserve"> Section</w:t>
            </w:r>
          </w:p>
        </w:tc>
        <w:tc>
          <w:tcPr>
            <w:tcW w:w="1276" w:type="dxa"/>
            <w:tcMar>
              <w:top w:w="40" w:type="dxa"/>
              <w:left w:w="40" w:type="dxa"/>
              <w:bottom w:w="40" w:type="dxa"/>
              <w:right w:w="40" w:type="dxa"/>
            </w:tcMar>
            <w:vAlign w:val="center"/>
          </w:tcPr>
          <w:p w14:paraId="6BB86B71" w14:textId="77777777" w:rsidR="00451CC2" w:rsidRDefault="00451CC2" w:rsidP="00C72DDF">
            <w:pPr>
              <w:pStyle w:val="Tabletext"/>
              <w:spacing w:line="230" w:lineRule="exact"/>
              <w:rPr>
                <w:rFonts w:eastAsia="Calibri"/>
              </w:rPr>
            </w:pPr>
            <w:r>
              <w:rPr>
                <w:rFonts w:eastAsia="Calibri"/>
              </w:rPr>
              <w:t>RRF 16628</w:t>
            </w:r>
          </w:p>
        </w:tc>
        <w:tc>
          <w:tcPr>
            <w:tcW w:w="1453" w:type="dxa"/>
            <w:tcMar>
              <w:top w:w="40" w:type="dxa"/>
              <w:left w:w="40" w:type="dxa"/>
              <w:bottom w:w="40" w:type="dxa"/>
              <w:right w:w="40" w:type="dxa"/>
            </w:tcMar>
            <w:vAlign w:val="center"/>
          </w:tcPr>
          <w:p w14:paraId="1CFEAC03" w14:textId="77777777" w:rsidR="00451CC2" w:rsidRDefault="00451CC2" w:rsidP="00C72DDF">
            <w:pPr>
              <w:pStyle w:val="Tabletext"/>
              <w:spacing w:line="230" w:lineRule="exact"/>
              <w:rPr>
                <w:rFonts w:eastAsia="Calibri"/>
              </w:rPr>
            </w:pPr>
            <w:r>
              <w:rPr>
                <w:rFonts w:eastAsia="Calibri"/>
              </w:rPr>
              <w:t>2020.CSR3.4 2020.CSR3.3 2019.CSR2.1</w:t>
            </w:r>
          </w:p>
        </w:tc>
        <w:tc>
          <w:tcPr>
            <w:tcW w:w="1877" w:type="dxa"/>
            <w:tcMar>
              <w:top w:w="40" w:type="dxa"/>
              <w:left w:w="40" w:type="dxa"/>
              <w:bottom w:w="40" w:type="dxa"/>
              <w:right w:w="40" w:type="dxa"/>
            </w:tcMar>
            <w:vAlign w:val="center"/>
          </w:tcPr>
          <w:p w14:paraId="7119C089" w14:textId="77777777" w:rsidR="00451CC2" w:rsidRDefault="00451CC2" w:rsidP="00C72DDF">
            <w:pPr>
              <w:pStyle w:val="Tabletext"/>
              <w:spacing w:line="230" w:lineRule="exact"/>
              <w:rPr>
                <w:rFonts w:eastAsia="Calibri"/>
              </w:rPr>
            </w:pPr>
            <w:r>
              <w:rPr>
                <w:rFonts w:eastAsia="Calibri"/>
              </w:rPr>
              <w:t xml:space="preserve"> </w:t>
            </w:r>
          </w:p>
        </w:tc>
        <w:tc>
          <w:tcPr>
            <w:tcW w:w="1570" w:type="dxa"/>
            <w:tcMar>
              <w:top w:w="0" w:type="dxa"/>
              <w:left w:w="100" w:type="dxa"/>
              <w:bottom w:w="0" w:type="dxa"/>
              <w:right w:w="100" w:type="dxa"/>
            </w:tcMar>
            <w:vAlign w:val="center"/>
          </w:tcPr>
          <w:p w14:paraId="03FC329F" w14:textId="77777777" w:rsidR="00451CC2" w:rsidRDefault="00451CC2" w:rsidP="00C72DDF">
            <w:pPr>
              <w:pStyle w:val="Tabletext"/>
              <w:spacing w:line="230" w:lineRule="exact"/>
              <w:rPr>
                <w:rFonts w:eastAsia="Calibri"/>
              </w:rPr>
            </w:pPr>
            <w:r>
              <w:rPr>
                <w:rFonts w:eastAsia="Calibri"/>
              </w:rPr>
              <w:t>On track</w:t>
            </w:r>
          </w:p>
        </w:tc>
      </w:tr>
      <w:tr w:rsidR="00451CC2" w14:paraId="68AD373A" w14:textId="77777777" w:rsidTr="00DA6F67">
        <w:trPr>
          <w:trHeight w:val="113"/>
          <w:jc w:val="center"/>
        </w:trPr>
        <w:tc>
          <w:tcPr>
            <w:tcW w:w="2827" w:type="dxa"/>
            <w:tcMar>
              <w:top w:w="40" w:type="dxa"/>
              <w:left w:w="40" w:type="dxa"/>
              <w:bottom w:w="40" w:type="dxa"/>
              <w:right w:w="40" w:type="dxa"/>
            </w:tcMar>
            <w:vAlign w:val="center"/>
          </w:tcPr>
          <w:p w14:paraId="0374C149" w14:textId="77777777" w:rsidR="00451CC2" w:rsidRPr="00451CC2" w:rsidRDefault="00540671" w:rsidP="00C72DDF">
            <w:pPr>
              <w:pStyle w:val="Tabletext"/>
              <w:spacing w:line="230" w:lineRule="exact"/>
              <w:rPr>
                <w:rFonts w:eastAsia="Calibri"/>
              </w:rPr>
            </w:pPr>
            <w:r w:rsidRPr="00540671">
              <w:rPr>
                <w:rFonts w:eastAsia="Calibri"/>
                <w:b/>
              </w:rPr>
              <w:t>INVESTMENT 7:</w:t>
            </w:r>
            <w:r w:rsidR="00451CC2" w:rsidRPr="00451CC2">
              <w:rPr>
                <w:rFonts w:eastAsia="Calibri"/>
              </w:rPr>
              <w:t xml:space="preserve"> Upgrade of the existing railway line </w:t>
            </w:r>
            <w:proofErr w:type="spellStart"/>
            <w:r w:rsidR="00451CC2" w:rsidRPr="00451CC2">
              <w:rPr>
                <w:rFonts w:eastAsia="Calibri"/>
              </w:rPr>
              <w:t>Alexandroupolis</w:t>
            </w:r>
            <w:proofErr w:type="spellEnd"/>
            <w:r w:rsidR="00451CC2" w:rsidRPr="00451CC2">
              <w:rPr>
                <w:rFonts w:eastAsia="Calibri"/>
              </w:rPr>
              <w:t xml:space="preserve"> – </w:t>
            </w:r>
            <w:proofErr w:type="spellStart"/>
            <w:r w:rsidR="00451CC2" w:rsidRPr="00451CC2">
              <w:rPr>
                <w:rFonts w:eastAsia="Calibri"/>
              </w:rPr>
              <w:t>Ormenio</w:t>
            </w:r>
            <w:proofErr w:type="spellEnd"/>
          </w:p>
        </w:tc>
        <w:tc>
          <w:tcPr>
            <w:tcW w:w="1276" w:type="dxa"/>
            <w:tcMar>
              <w:top w:w="40" w:type="dxa"/>
              <w:left w:w="40" w:type="dxa"/>
              <w:bottom w:w="40" w:type="dxa"/>
              <w:right w:w="40" w:type="dxa"/>
            </w:tcMar>
            <w:vAlign w:val="center"/>
          </w:tcPr>
          <w:p w14:paraId="3127B59B" w14:textId="77777777" w:rsidR="00451CC2" w:rsidRDefault="00451CC2" w:rsidP="00C72DDF">
            <w:pPr>
              <w:pStyle w:val="Tabletext"/>
              <w:spacing w:line="230" w:lineRule="exact"/>
              <w:rPr>
                <w:rFonts w:eastAsia="Calibri"/>
              </w:rPr>
            </w:pPr>
            <w:r>
              <w:rPr>
                <w:rFonts w:eastAsia="Calibri"/>
              </w:rPr>
              <w:t>MFF</w:t>
            </w:r>
          </w:p>
        </w:tc>
        <w:tc>
          <w:tcPr>
            <w:tcW w:w="1453" w:type="dxa"/>
            <w:tcMar>
              <w:top w:w="40" w:type="dxa"/>
              <w:left w:w="40" w:type="dxa"/>
              <w:bottom w:w="40" w:type="dxa"/>
              <w:right w:w="40" w:type="dxa"/>
            </w:tcMar>
            <w:vAlign w:val="center"/>
          </w:tcPr>
          <w:p w14:paraId="5B6EDBF7" w14:textId="77777777" w:rsidR="00451CC2" w:rsidRPr="00451CC2" w:rsidRDefault="00451CC2" w:rsidP="00C72DDF">
            <w:pPr>
              <w:pStyle w:val="Tabletext"/>
              <w:spacing w:line="230" w:lineRule="exact"/>
              <w:rPr>
                <w:rFonts w:eastAsia="Calibri"/>
              </w:rPr>
            </w:pPr>
            <w:r w:rsidRPr="00451CC2">
              <w:rPr>
                <w:rFonts w:eastAsia="Calibri"/>
              </w:rPr>
              <w:t>2023.CSR4.6</w:t>
            </w:r>
          </w:p>
          <w:p w14:paraId="46F978B5" w14:textId="77777777" w:rsidR="00451CC2" w:rsidRPr="00451CC2" w:rsidRDefault="00451CC2" w:rsidP="00C72DDF">
            <w:pPr>
              <w:pStyle w:val="Tabletext"/>
              <w:spacing w:line="230" w:lineRule="exact"/>
              <w:rPr>
                <w:rFonts w:eastAsia="Calibri"/>
              </w:rPr>
            </w:pPr>
            <w:r w:rsidRPr="00451CC2">
              <w:rPr>
                <w:rFonts w:eastAsia="Calibri"/>
              </w:rPr>
              <w:t>2022.CSR4.6</w:t>
            </w:r>
          </w:p>
          <w:p w14:paraId="6B9899C2" w14:textId="77777777" w:rsidR="00451CC2" w:rsidRPr="00451CC2" w:rsidRDefault="00451CC2" w:rsidP="00C72DDF">
            <w:pPr>
              <w:pStyle w:val="Tabletext"/>
              <w:spacing w:line="230" w:lineRule="exact"/>
              <w:rPr>
                <w:rFonts w:eastAsia="Calibri"/>
              </w:rPr>
            </w:pPr>
            <w:r w:rsidRPr="00451CC2">
              <w:rPr>
                <w:rFonts w:eastAsia="Calibri"/>
              </w:rPr>
              <w:t>2020.CSR3.4</w:t>
            </w:r>
          </w:p>
          <w:p w14:paraId="584F97CB" w14:textId="77777777" w:rsidR="00451CC2" w:rsidRPr="00451CC2" w:rsidRDefault="00451CC2" w:rsidP="00C72DDF">
            <w:pPr>
              <w:pStyle w:val="Tabletext"/>
              <w:spacing w:line="230" w:lineRule="exact"/>
              <w:rPr>
                <w:rFonts w:eastAsia="Calibri"/>
              </w:rPr>
            </w:pPr>
            <w:r w:rsidRPr="00451CC2">
              <w:rPr>
                <w:rFonts w:eastAsia="Calibri"/>
              </w:rPr>
              <w:t>2019.CSR2.1</w:t>
            </w:r>
          </w:p>
          <w:p w14:paraId="007F2B61" w14:textId="77777777" w:rsidR="00451CC2" w:rsidRPr="00451CC2" w:rsidRDefault="00451CC2" w:rsidP="00C72DDF">
            <w:pPr>
              <w:pStyle w:val="Tabletext"/>
              <w:spacing w:line="230" w:lineRule="exact"/>
              <w:rPr>
                <w:rFonts w:eastAsia="Calibri"/>
              </w:rPr>
            </w:pPr>
            <w:r w:rsidRPr="00451CC2">
              <w:rPr>
                <w:rFonts w:eastAsia="Calibri"/>
              </w:rPr>
              <w:t>2019.CSR2.9</w:t>
            </w:r>
          </w:p>
        </w:tc>
        <w:tc>
          <w:tcPr>
            <w:tcW w:w="1877" w:type="dxa"/>
            <w:tcMar>
              <w:top w:w="40" w:type="dxa"/>
              <w:left w:w="40" w:type="dxa"/>
              <w:bottom w:w="40" w:type="dxa"/>
              <w:right w:w="40" w:type="dxa"/>
            </w:tcMar>
            <w:vAlign w:val="center"/>
          </w:tcPr>
          <w:p w14:paraId="29AFD98B" w14:textId="77777777" w:rsidR="00451CC2" w:rsidRDefault="00451CC2" w:rsidP="00C72DDF">
            <w:pPr>
              <w:pStyle w:val="Tabletext"/>
              <w:spacing w:line="230" w:lineRule="exact"/>
              <w:rPr>
                <w:rFonts w:eastAsia="Calibri"/>
              </w:rPr>
            </w:pPr>
            <w:r>
              <w:rPr>
                <w:rFonts w:eastAsia="Calibri"/>
              </w:rPr>
              <w:t>Fair green &amp; digital transition</w:t>
            </w:r>
          </w:p>
        </w:tc>
        <w:tc>
          <w:tcPr>
            <w:tcW w:w="1570" w:type="dxa"/>
            <w:tcMar>
              <w:top w:w="0" w:type="dxa"/>
              <w:left w:w="100" w:type="dxa"/>
              <w:bottom w:w="0" w:type="dxa"/>
              <w:right w:w="100" w:type="dxa"/>
            </w:tcMar>
            <w:vAlign w:val="center"/>
          </w:tcPr>
          <w:p w14:paraId="5A3970E7" w14:textId="77777777" w:rsidR="00451CC2" w:rsidRDefault="00451CC2" w:rsidP="00C72DDF">
            <w:pPr>
              <w:pStyle w:val="Tabletext"/>
              <w:spacing w:line="230" w:lineRule="exact"/>
              <w:rPr>
                <w:rFonts w:eastAsia="Calibri"/>
              </w:rPr>
            </w:pPr>
            <w:r>
              <w:rPr>
                <w:rFonts w:eastAsia="Calibri"/>
              </w:rPr>
              <w:t>On track</w:t>
            </w:r>
          </w:p>
        </w:tc>
      </w:tr>
      <w:tr w:rsidR="00451CC2" w14:paraId="6E55FC38" w14:textId="77777777" w:rsidTr="00DA6F67">
        <w:trPr>
          <w:trHeight w:val="113"/>
          <w:jc w:val="center"/>
        </w:trPr>
        <w:tc>
          <w:tcPr>
            <w:tcW w:w="2827" w:type="dxa"/>
            <w:tcMar>
              <w:top w:w="40" w:type="dxa"/>
              <w:left w:w="40" w:type="dxa"/>
              <w:bottom w:w="40" w:type="dxa"/>
              <w:right w:w="40" w:type="dxa"/>
            </w:tcMar>
            <w:vAlign w:val="center"/>
          </w:tcPr>
          <w:p w14:paraId="582CA467" w14:textId="77777777" w:rsidR="00451CC2" w:rsidRPr="00451CC2" w:rsidRDefault="00540671" w:rsidP="00C72DDF">
            <w:pPr>
              <w:pStyle w:val="Tabletext"/>
              <w:spacing w:line="230" w:lineRule="exact"/>
              <w:rPr>
                <w:rFonts w:eastAsia="Calibri"/>
              </w:rPr>
            </w:pPr>
            <w:r w:rsidRPr="00540671">
              <w:rPr>
                <w:rFonts w:eastAsia="Calibri"/>
                <w:b/>
              </w:rPr>
              <w:t>INVESTMENT 8:</w:t>
            </w:r>
            <w:r w:rsidR="00451CC2" w:rsidRPr="00451CC2">
              <w:rPr>
                <w:rFonts w:eastAsia="Calibri"/>
              </w:rPr>
              <w:t xml:space="preserve"> New airport in </w:t>
            </w:r>
            <w:proofErr w:type="spellStart"/>
            <w:r w:rsidR="00451CC2" w:rsidRPr="00451CC2">
              <w:rPr>
                <w:rFonts w:eastAsia="Calibri"/>
              </w:rPr>
              <w:t>Kasteli</w:t>
            </w:r>
            <w:proofErr w:type="spellEnd"/>
          </w:p>
        </w:tc>
        <w:tc>
          <w:tcPr>
            <w:tcW w:w="1276" w:type="dxa"/>
            <w:tcMar>
              <w:top w:w="40" w:type="dxa"/>
              <w:left w:w="40" w:type="dxa"/>
              <w:bottom w:w="40" w:type="dxa"/>
              <w:right w:w="40" w:type="dxa"/>
            </w:tcMar>
            <w:vAlign w:val="center"/>
          </w:tcPr>
          <w:p w14:paraId="43ABF8AE" w14:textId="77777777" w:rsidR="00451CC2" w:rsidRDefault="00451CC2" w:rsidP="00C72DDF">
            <w:pPr>
              <w:pStyle w:val="Tabletext"/>
              <w:spacing w:line="230" w:lineRule="exact"/>
              <w:rPr>
                <w:rFonts w:eastAsia="Calibri"/>
              </w:rPr>
            </w:pPr>
            <w:r>
              <w:rPr>
                <w:rFonts w:eastAsia="Calibri"/>
              </w:rPr>
              <w:t>MFF</w:t>
            </w:r>
          </w:p>
        </w:tc>
        <w:tc>
          <w:tcPr>
            <w:tcW w:w="1453" w:type="dxa"/>
            <w:tcMar>
              <w:top w:w="40" w:type="dxa"/>
              <w:left w:w="40" w:type="dxa"/>
              <w:bottom w:w="40" w:type="dxa"/>
              <w:right w:w="40" w:type="dxa"/>
            </w:tcMar>
            <w:vAlign w:val="center"/>
          </w:tcPr>
          <w:p w14:paraId="37700F51" w14:textId="77777777" w:rsidR="00451CC2" w:rsidRDefault="00451CC2" w:rsidP="00C72DDF">
            <w:pPr>
              <w:pStyle w:val="Tabletext"/>
              <w:spacing w:line="230" w:lineRule="exact"/>
              <w:rPr>
                <w:rFonts w:eastAsia="Calibri"/>
              </w:rPr>
            </w:pPr>
            <w:r>
              <w:rPr>
                <w:rFonts w:eastAsia="Calibri"/>
              </w:rPr>
              <w:t>2020.CSR3.4</w:t>
            </w:r>
          </w:p>
          <w:p w14:paraId="610863AD" w14:textId="77777777" w:rsidR="00451CC2" w:rsidRDefault="00451CC2" w:rsidP="00C72DDF">
            <w:pPr>
              <w:pStyle w:val="Tabletext"/>
              <w:spacing w:line="230" w:lineRule="exact"/>
              <w:rPr>
                <w:rFonts w:eastAsia="Calibri"/>
              </w:rPr>
            </w:pPr>
            <w:r>
              <w:rPr>
                <w:rFonts w:eastAsia="Calibri"/>
              </w:rPr>
              <w:t>2019.CSR2.1</w:t>
            </w:r>
          </w:p>
          <w:p w14:paraId="19E4C81B" w14:textId="77777777" w:rsidR="00451CC2" w:rsidRDefault="00451CC2" w:rsidP="00C72DDF">
            <w:pPr>
              <w:pStyle w:val="Tabletext"/>
              <w:spacing w:line="230" w:lineRule="exact"/>
              <w:rPr>
                <w:rFonts w:eastAsia="Calibri"/>
              </w:rPr>
            </w:pPr>
            <w:r>
              <w:rPr>
                <w:rFonts w:eastAsia="Calibri"/>
              </w:rPr>
              <w:t>2019.CSR2.9</w:t>
            </w:r>
          </w:p>
        </w:tc>
        <w:tc>
          <w:tcPr>
            <w:tcW w:w="1877" w:type="dxa"/>
            <w:tcMar>
              <w:top w:w="40" w:type="dxa"/>
              <w:left w:w="40" w:type="dxa"/>
              <w:bottom w:w="40" w:type="dxa"/>
              <w:right w:w="40" w:type="dxa"/>
            </w:tcMar>
            <w:vAlign w:val="center"/>
          </w:tcPr>
          <w:p w14:paraId="78DD68A1" w14:textId="77777777" w:rsidR="00451CC2" w:rsidRDefault="00451CC2" w:rsidP="00C72DDF">
            <w:pPr>
              <w:pStyle w:val="Tabletext"/>
              <w:spacing w:line="230" w:lineRule="exact"/>
              <w:rPr>
                <w:rFonts w:eastAsia="Calibri"/>
              </w:rPr>
            </w:pPr>
            <w:r>
              <w:rPr>
                <w:rFonts w:eastAsia="Calibri"/>
              </w:rPr>
              <w:t xml:space="preserve"> </w:t>
            </w:r>
          </w:p>
        </w:tc>
        <w:tc>
          <w:tcPr>
            <w:tcW w:w="1570" w:type="dxa"/>
            <w:tcMar>
              <w:top w:w="0" w:type="dxa"/>
              <w:left w:w="100" w:type="dxa"/>
              <w:bottom w:w="0" w:type="dxa"/>
              <w:right w:w="100" w:type="dxa"/>
            </w:tcMar>
            <w:vAlign w:val="center"/>
          </w:tcPr>
          <w:p w14:paraId="6103EADD" w14:textId="77777777" w:rsidR="00451CC2" w:rsidRDefault="00451CC2" w:rsidP="00C72DDF">
            <w:pPr>
              <w:pStyle w:val="Tabletext"/>
              <w:spacing w:line="230" w:lineRule="exact"/>
              <w:rPr>
                <w:rFonts w:eastAsia="Calibri"/>
              </w:rPr>
            </w:pPr>
            <w:r>
              <w:rPr>
                <w:rFonts w:eastAsia="Calibri"/>
              </w:rPr>
              <w:t>On track</w:t>
            </w:r>
          </w:p>
        </w:tc>
      </w:tr>
      <w:tr w:rsidR="00451CC2" w14:paraId="1B00F81B" w14:textId="77777777" w:rsidTr="00DA6F67">
        <w:trPr>
          <w:trHeight w:val="113"/>
          <w:jc w:val="center"/>
        </w:trPr>
        <w:tc>
          <w:tcPr>
            <w:tcW w:w="2827" w:type="dxa"/>
            <w:tcMar>
              <w:top w:w="40" w:type="dxa"/>
              <w:left w:w="40" w:type="dxa"/>
              <w:bottom w:w="40" w:type="dxa"/>
              <w:right w:w="40" w:type="dxa"/>
            </w:tcMar>
            <w:vAlign w:val="center"/>
          </w:tcPr>
          <w:p w14:paraId="73B9EBAC" w14:textId="77777777" w:rsidR="00451CC2" w:rsidRDefault="00540671" w:rsidP="00C72DDF">
            <w:pPr>
              <w:pStyle w:val="Tabletext"/>
              <w:spacing w:line="230" w:lineRule="exact"/>
              <w:rPr>
                <w:rFonts w:eastAsia="Calibri"/>
              </w:rPr>
            </w:pPr>
            <w:r w:rsidRPr="00540671">
              <w:rPr>
                <w:rFonts w:eastAsia="Calibri"/>
                <w:b/>
              </w:rPr>
              <w:lastRenderedPageBreak/>
              <w:t>INVESTMENT 9:</w:t>
            </w:r>
            <w:r w:rsidR="00451CC2">
              <w:rPr>
                <w:rFonts w:eastAsia="Calibri"/>
              </w:rPr>
              <w:t xml:space="preserve"> Patras - </w:t>
            </w:r>
            <w:proofErr w:type="spellStart"/>
            <w:r w:rsidR="00451CC2">
              <w:rPr>
                <w:rFonts w:eastAsia="Calibri"/>
              </w:rPr>
              <w:t>Pyrgos</w:t>
            </w:r>
            <w:proofErr w:type="spellEnd"/>
            <w:r w:rsidR="00451CC2">
              <w:rPr>
                <w:rFonts w:eastAsia="Calibri"/>
              </w:rPr>
              <w:t xml:space="preserve"> highway</w:t>
            </w:r>
          </w:p>
        </w:tc>
        <w:tc>
          <w:tcPr>
            <w:tcW w:w="1276" w:type="dxa"/>
            <w:tcMar>
              <w:top w:w="40" w:type="dxa"/>
              <w:left w:w="40" w:type="dxa"/>
              <w:bottom w:w="40" w:type="dxa"/>
              <w:right w:w="40" w:type="dxa"/>
            </w:tcMar>
            <w:vAlign w:val="center"/>
          </w:tcPr>
          <w:p w14:paraId="3E932516" w14:textId="77777777" w:rsidR="00451CC2" w:rsidRDefault="00451CC2" w:rsidP="00C72DDF">
            <w:pPr>
              <w:pStyle w:val="Tabletext"/>
              <w:spacing w:line="230" w:lineRule="exact"/>
              <w:rPr>
                <w:rFonts w:eastAsia="Calibri"/>
              </w:rPr>
            </w:pPr>
            <w:r>
              <w:rPr>
                <w:rFonts w:eastAsia="Calibri"/>
              </w:rPr>
              <w:t>MFF</w:t>
            </w:r>
          </w:p>
        </w:tc>
        <w:tc>
          <w:tcPr>
            <w:tcW w:w="1453" w:type="dxa"/>
            <w:tcMar>
              <w:top w:w="40" w:type="dxa"/>
              <w:left w:w="40" w:type="dxa"/>
              <w:bottom w:w="40" w:type="dxa"/>
              <w:right w:w="40" w:type="dxa"/>
            </w:tcMar>
            <w:vAlign w:val="center"/>
          </w:tcPr>
          <w:p w14:paraId="2E02A3B8" w14:textId="77777777" w:rsidR="00451CC2" w:rsidRDefault="00451CC2" w:rsidP="00C72DDF">
            <w:pPr>
              <w:pStyle w:val="Tabletext"/>
              <w:spacing w:line="230" w:lineRule="exact"/>
              <w:rPr>
                <w:rFonts w:eastAsia="Calibri"/>
              </w:rPr>
            </w:pPr>
            <w:r>
              <w:rPr>
                <w:rFonts w:eastAsia="Calibri"/>
              </w:rPr>
              <w:t>2020.CSR3.4</w:t>
            </w:r>
          </w:p>
          <w:p w14:paraId="364FA4CF" w14:textId="77777777" w:rsidR="00451CC2" w:rsidRDefault="00451CC2" w:rsidP="00C72DDF">
            <w:pPr>
              <w:pStyle w:val="Tabletext"/>
              <w:spacing w:line="230" w:lineRule="exact"/>
              <w:rPr>
                <w:rFonts w:eastAsia="Calibri"/>
              </w:rPr>
            </w:pPr>
            <w:r>
              <w:rPr>
                <w:rFonts w:eastAsia="Calibri"/>
              </w:rPr>
              <w:t>2019.CSR2.1</w:t>
            </w:r>
          </w:p>
          <w:p w14:paraId="2872604F" w14:textId="77777777" w:rsidR="00451CC2" w:rsidRDefault="00451CC2" w:rsidP="00C72DDF">
            <w:pPr>
              <w:pStyle w:val="Tabletext"/>
              <w:spacing w:line="230" w:lineRule="exact"/>
              <w:rPr>
                <w:rFonts w:eastAsia="Calibri"/>
              </w:rPr>
            </w:pPr>
            <w:r>
              <w:rPr>
                <w:rFonts w:eastAsia="Calibri"/>
              </w:rPr>
              <w:t>2019.CSR2.9</w:t>
            </w:r>
          </w:p>
        </w:tc>
        <w:tc>
          <w:tcPr>
            <w:tcW w:w="1877" w:type="dxa"/>
            <w:tcMar>
              <w:top w:w="40" w:type="dxa"/>
              <w:left w:w="40" w:type="dxa"/>
              <w:bottom w:w="40" w:type="dxa"/>
              <w:right w:w="40" w:type="dxa"/>
            </w:tcMar>
            <w:vAlign w:val="center"/>
          </w:tcPr>
          <w:p w14:paraId="46E578A3" w14:textId="77777777" w:rsidR="00451CC2" w:rsidRDefault="00451CC2" w:rsidP="00C72DDF">
            <w:pPr>
              <w:pStyle w:val="Tabletext"/>
              <w:spacing w:line="230" w:lineRule="exact"/>
              <w:rPr>
                <w:rFonts w:eastAsia="Calibri"/>
              </w:rPr>
            </w:pPr>
            <w:r>
              <w:rPr>
                <w:rFonts w:eastAsia="Calibri"/>
              </w:rPr>
              <w:t xml:space="preserve"> </w:t>
            </w:r>
          </w:p>
        </w:tc>
        <w:tc>
          <w:tcPr>
            <w:tcW w:w="1570" w:type="dxa"/>
            <w:tcMar>
              <w:top w:w="0" w:type="dxa"/>
              <w:left w:w="100" w:type="dxa"/>
              <w:bottom w:w="0" w:type="dxa"/>
              <w:right w:w="100" w:type="dxa"/>
            </w:tcMar>
            <w:vAlign w:val="center"/>
          </w:tcPr>
          <w:p w14:paraId="6C51D90F" w14:textId="77777777" w:rsidR="00451CC2" w:rsidRDefault="00451CC2" w:rsidP="00C72DDF">
            <w:pPr>
              <w:pStyle w:val="Tabletext"/>
              <w:spacing w:line="230" w:lineRule="exact"/>
              <w:rPr>
                <w:rFonts w:eastAsia="Calibri"/>
              </w:rPr>
            </w:pPr>
            <w:r>
              <w:rPr>
                <w:rFonts w:eastAsia="Calibri"/>
              </w:rPr>
              <w:t>Completed</w:t>
            </w:r>
          </w:p>
        </w:tc>
      </w:tr>
      <w:tr w:rsidR="00451CC2" w14:paraId="7E05B039" w14:textId="77777777" w:rsidTr="00DA6F67">
        <w:trPr>
          <w:trHeight w:val="113"/>
          <w:jc w:val="center"/>
        </w:trPr>
        <w:tc>
          <w:tcPr>
            <w:tcW w:w="2827" w:type="dxa"/>
            <w:tcMar>
              <w:top w:w="40" w:type="dxa"/>
              <w:left w:w="40" w:type="dxa"/>
              <w:bottom w:w="40" w:type="dxa"/>
              <w:right w:w="40" w:type="dxa"/>
            </w:tcMar>
            <w:vAlign w:val="center"/>
          </w:tcPr>
          <w:p w14:paraId="0F3AEDC4" w14:textId="77777777" w:rsidR="00451CC2" w:rsidRPr="00451CC2" w:rsidRDefault="00540671" w:rsidP="00C72DDF">
            <w:pPr>
              <w:pStyle w:val="Tabletext"/>
              <w:spacing w:line="230" w:lineRule="exact"/>
              <w:rPr>
                <w:rFonts w:eastAsia="Calibri"/>
              </w:rPr>
            </w:pPr>
            <w:r w:rsidRPr="00540671">
              <w:rPr>
                <w:rFonts w:eastAsia="Calibri"/>
                <w:b/>
              </w:rPr>
              <w:t>INVESTMENT 10:</w:t>
            </w:r>
            <w:r w:rsidR="00451CC2" w:rsidRPr="00451CC2">
              <w:rPr>
                <w:rFonts w:eastAsia="Calibri"/>
              </w:rPr>
              <w:t xml:space="preserve"> Construction of new railway line </w:t>
            </w:r>
            <w:proofErr w:type="spellStart"/>
            <w:r w:rsidR="00451CC2" w:rsidRPr="00451CC2">
              <w:rPr>
                <w:rFonts w:eastAsia="Calibri"/>
              </w:rPr>
              <w:t>Nea</w:t>
            </w:r>
            <w:proofErr w:type="spellEnd"/>
            <w:r w:rsidR="00451CC2" w:rsidRPr="00451CC2">
              <w:rPr>
                <w:rFonts w:eastAsia="Calibri"/>
              </w:rPr>
              <w:t xml:space="preserve"> </w:t>
            </w:r>
            <w:proofErr w:type="spellStart"/>
            <w:r w:rsidR="00451CC2" w:rsidRPr="00451CC2">
              <w:rPr>
                <w:rFonts w:eastAsia="Calibri"/>
              </w:rPr>
              <w:t>Karvali</w:t>
            </w:r>
            <w:proofErr w:type="spellEnd"/>
            <w:r w:rsidR="00451CC2" w:rsidRPr="00451CC2">
              <w:rPr>
                <w:rFonts w:eastAsia="Calibri"/>
              </w:rPr>
              <w:t xml:space="preserve"> - </w:t>
            </w:r>
            <w:proofErr w:type="spellStart"/>
            <w:r w:rsidR="00451CC2" w:rsidRPr="00451CC2">
              <w:rPr>
                <w:rFonts w:eastAsia="Calibri"/>
              </w:rPr>
              <w:t>Toxotes</w:t>
            </w:r>
            <w:proofErr w:type="spellEnd"/>
          </w:p>
        </w:tc>
        <w:tc>
          <w:tcPr>
            <w:tcW w:w="1276" w:type="dxa"/>
            <w:tcMar>
              <w:top w:w="40" w:type="dxa"/>
              <w:left w:w="40" w:type="dxa"/>
              <w:bottom w:w="40" w:type="dxa"/>
              <w:right w:w="40" w:type="dxa"/>
            </w:tcMar>
            <w:vAlign w:val="center"/>
          </w:tcPr>
          <w:p w14:paraId="62C03664" w14:textId="77777777" w:rsidR="00451CC2" w:rsidRDefault="00451CC2" w:rsidP="00C72DDF">
            <w:pPr>
              <w:pStyle w:val="Tabletext"/>
              <w:spacing w:line="230" w:lineRule="exact"/>
              <w:rPr>
                <w:rFonts w:eastAsia="Calibri"/>
              </w:rPr>
            </w:pPr>
            <w:r>
              <w:rPr>
                <w:rFonts w:eastAsia="Calibri"/>
              </w:rPr>
              <w:t>MFF</w:t>
            </w:r>
          </w:p>
        </w:tc>
        <w:tc>
          <w:tcPr>
            <w:tcW w:w="1453" w:type="dxa"/>
            <w:tcMar>
              <w:top w:w="40" w:type="dxa"/>
              <w:left w:w="40" w:type="dxa"/>
              <w:bottom w:w="40" w:type="dxa"/>
              <w:right w:w="40" w:type="dxa"/>
            </w:tcMar>
            <w:vAlign w:val="center"/>
          </w:tcPr>
          <w:p w14:paraId="02F39165" w14:textId="77777777" w:rsidR="00451CC2" w:rsidRPr="00451CC2" w:rsidRDefault="00451CC2" w:rsidP="00C72DDF">
            <w:pPr>
              <w:pStyle w:val="Tabletext"/>
              <w:spacing w:line="230" w:lineRule="exact"/>
              <w:rPr>
                <w:rFonts w:eastAsia="Calibri"/>
              </w:rPr>
            </w:pPr>
            <w:r w:rsidRPr="00451CC2">
              <w:rPr>
                <w:rFonts w:eastAsia="Calibri"/>
              </w:rPr>
              <w:t>2023.CSR4.6</w:t>
            </w:r>
          </w:p>
          <w:p w14:paraId="551D74DB" w14:textId="77777777" w:rsidR="00451CC2" w:rsidRPr="00451CC2" w:rsidRDefault="00451CC2" w:rsidP="00C72DDF">
            <w:pPr>
              <w:pStyle w:val="Tabletext"/>
              <w:spacing w:line="230" w:lineRule="exact"/>
              <w:rPr>
                <w:rFonts w:eastAsia="Calibri"/>
              </w:rPr>
            </w:pPr>
            <w:r w:rsidRPr="00451CC2">
              <w:rPr>
                <w:rFonts w:eastAsia="Calibri"/>
              </w:rPr>
              <w:t>2022.CSR4.6</w:t>
            </w:r>
          </w:p>
          <w:p w14:paraId="6618D2FF" w14:textId="77777777" w:rsidR="00451CC2" w:rsidRPr="00451CC2" w:rsidRDefault="00451CC2" w:rsidP="00C72DDF">
            <w:pPr>
              <w:pStyle w:val="Tabletext"/>
              <w:spacing w:line="230" w:lineRule="exact"/>
              <w:rPr>
                <w:rFonts w:eastAsia="Calibri"/>
              </w:rPr>
            </w:pPr>
            <w:r w:rsidRPr="00451CC2">
              <w:rPr>
                <w:rFonts w:eastAsia="Calibri"/>
              </w:rPr>
              <w:t>2020.CSR3.4</w:t>
            </w:r>
          </w:p>
          <w:p w14:paraId="61635E85" w14:textId="77777777" w:rsidR="00451CC2" w:rsidRPr="00451CC2" w:rsidRDefault="00451CC2" w:rsidP="00C72DDF">
            <w:pPr>
              <w:pStyle w:val="Tabletext"/>
              <w:spacing w:line="230" w:lineRule="exact"/>
              <w:rPr>
                <w:rFonts w:eastAsia="Calibri"/>
              </w:rPr>
            </w:pPr>
            <w:r w:rsidRPr="00451CC2">
              <w:rPr>
                <w:rFonts w:eastAsia="Calibri"/>
              </w:rPr>
              <w:t>2019.CSR2.1</w:t>
            </w:r>
          </w:p>
          <w:p w14:paraId="3C2E0502" w14:textId="77777777" w:rsidR="00451CC2" w:rsidRPr="00451CC2" w:rsidRDefault="00451CC2" w:rsidP="00C72DDF">
            <w:pPr>
              <w:pStyle w:val="Tabletext"/>
              <w:spacing w:line="230" w:lineRule="exact"/>
              <w:rPr>
                <w:rFonts w:eastAsia="Calibri"/>
              </w:rPr>
            </w:pPr>
            <w:r w:rsidRPr="00451CC2">
              <w:rPr>
                <w:rFonts w:eastAsia="Calibri"/>
              </w:rPr>
              <w:t>2019.CSR2.9</w:t>
            </w:r>
          </w:p>
        </w:tc>
        <w:tc>
          <w:tcPr>
            <w:tcW w:w="1877" w:type="dxa"/>
            <w:tcMar>
              <w:top w:w="40" w:type="dxa"/>
              <w:left w:w="40" w:type="dxa"/>
              <w:bottom w:w="40" w:type="dxa"/>
              <w:right w:w="40" w:type="dxa"/>
            </w:tcMar>
            <w:vAlign w:val="center"/>
          </w:tcPr>
          <w:p w14:paraId="4C82FEC2" w14:textId="77777777" w:rsidR="00451CC2" w:rsidRDefault="00451CC2" w:rsidP="00C72DDF">
            <w:pPr>
              <w:pStyle w:val="Tabletext"/>
              <w:spacing w:line="230" w:lineRule="exact"/>
              <w:rPr>
                <w:rFonts w:eastAsia="Calibri"/>
              </w:rPr>
            </w:pPr>
            <w:r>
              <w:rPr>
                <w:rFonts w:eastAsia="Calibri"/>
              </w:rPr>
              <w:t>Fair green &amp; digital transition</w:t>
            </w:r>
          </w:p>
        </w:tc>
        <w:tc>
          <w:tcPr>
            <w:tcW w:w="1570" w:type="dxa"/>
            <w:tcMar>
              <w:top w:w="0" w:type="dxa"/>
              <w:left w:w="100" w:type="dxa"/>
              <w:bottom w:w="0" w:type="dxa"/>
              <w:right w:w="100" w:type="dxa"/>
            </w:tcMar>
            <w:vAlign w:val="center"/>
          </w:tcPr>
          <w:p w14:paraId="58743AEE" w14:textId="77777777" w:rsidR="00451CC2" w:rsidRDefault="00451CC2" w:rsidP="00C72DDF">
            <w:pPr>
              <w:pStyle w:val="Tabletext"/>
              <w:spacing w:line="230" w:lineRule="exact"/>
              <w:rPr>
                <w:rFonts w:eastAsia="Calibri"/>
              </w:rPr>
            </w:pPr>
            <w:r>
              <w:rPr>
                <w:rFonts w:eastAsia="Calibri"/>
              </w:rPr>
              <w:t>On track</w:t>
            </w:r>
          </w:p>
        </w:tc>
      </w:tr>
    </w:tbl>
    <w:p w14:paraId="3B466CE6" w14:textId="770454EC" w:rsidR="00451CC2" w:rsidRPr="00451CC2" w:rsidRDefault="00451CC2" w:rsidP="00D31D31">
      <w:pPr>
        <w:spacing w:before="120"/>
        <w:rPr>
          <w:rFonts w:eastAsia="Calibri"/>
          <w:color w:val="FF0000"/>
          <w:lang w:val="en-US"/>
        </w:rPr>
      </w:pPr>
      <w:r w:rsidRPr="00451CC2">
        <w:rPr>
          <w:rFonts w:eastAsia="Calibri"/>
          <w:lang w:val="en-US"/>
        </w:rPr>
        <w:t xml:space="preserve">An emblematic </w:t>
      </w:r>
      <w:r w:rsidRPr="00451CC2">
        <w:rPr>
          <w:rFonts w:eastAsia="Calibri"/>
          <w:b/>
          <w:lang w:val="en-US"/>
        </w:rPr>
        <w:t>RRF reform</w:t>
      </w:r>
      <w:r w:rsidRPr="00451CC2">
        <w:rPr>
          <w:rFonts w:eastAsia="Calibri"/>
          <w:lang w:val="en-US"/>
        </w:rPr>
        <w:t xml:space="preserve"> is the </w:t>
      </w:r>
      <w:r w:rsidRPr="00451CC2">
        <w:rPr>
          <w:rFonts w:eastAsia="Calibri"/>
          <w:b/>
          <w:lang w:val="en-US"/>
        </w:rPr>
        <w:t>“</w:t>
      </w:r>
      <w:r w:rsidRPr="00451CC2">
        <w:rPr>
          <w:rFonts w:eastAsia="Calibri"/>
          <w:b/>
          <w:bCs/>
          <w:lang w:val="en-US"/>
        </w:rPr>
        <w:t>Organisational reform in the railway sector”</w:t>
      </w:r>
      <w:r w:rsidRPr="00451CC2">
        <w:rPr>
          <w:rFonts w:eastAsia="Calibri"/>
          <w:lang w:val="en-US"/>
        </w:rPr>
        <w:t xml:space="preserve">. Parallel responsibilities across </w:t>
      </w:r>
      <w:r w:rsidRPr="00451CC2">
        <w:rPr>
          <w:rFonts w:eastAsia="Calibri"/>
          <w:strike/>
          <w:lang w:val="en-US"/>
        </w:rPr>
        <w:t>(</w:t>
      </w:r>
      <w:r w:rsidRPr="00451CC2">
        <w:rPr>
          <w:rFonts w:eastAsia="Calibri"/>
          <w:lang w:val="en-US"/>
        </w:rPr>
        <w:t xml:space="preserve">OSE, ERGOSE and GAIAOSE made integrated planning, coordination, development, maintenance, and management of the railway network overly complex. Therefore, a new unified public entity is established through Laws 5167/2024 and 5220/2025, which fully assumes the role, obligations and responsibilities of the railway Infrastructure Manager, as described in the European institutional framework (Directive 2016/798), while it also becomes solely responsible for all studies and projects carried out on the railway network and rolling stock. The new company is renamed to </w:t>
      </w:r>
      <w:r w:rsidRPr="00451CC2">
        <w:rPr>
          <w:rFonts w:eastAsia="Calibri"/>
          <w:b/>
          <w:bCs/>
          <w:lang w:val="en-US"/>
        </w:rPr>
        <w:t>“Hellenic Railways"</w:t>
      </w:r>
      <w:r w:rsidRPr="00451CC2">
        <w:rPr>
          <w:rFonts w:eastAsia="Calibri"/>
          <w:lang w:val="en-US"/>
        </w:rPr>
        <w:t xml:space="preserve"> and its responsibilities and operations fully cover those of the current OSE, ERGOSE and the management of the rolling stock of GAIAOSE. The Merger Agreement and the codified Articles of Association “</w:t>
      </w:r>
      <w:proofErr w:type="spellStart"/>
      <w:r w:rsidRPr="00451CC2">
        <w:rPr>
          <w:rFonts w:eastAsia="Calibri"/>
          <w:lang w:val="en-US"/>
        </w:rPr>
        <w:t>Katastatiko</w:t>
      </w:r>
      <w:proofErr w:type="spellEnd"/>
      <w:r w:rsidRPr="00451CC2">
        <w:rPr>
          <w:rFonts w:eastAsia="Calibri"/>
          <w:lang w:val="en-US"/>
        </w:rPr>
        <w:t xml:space="preserve">” of the new Infrastructure Manager “Hellenic Railways” were published on 01.09.2025 on the General Commercial Register (G.E.MI.), as required to legally formalize and publicize the merger under Greek company law. The composition of the new </w:t>
      </w:r>
      <w:proofErr w:type="spellStart"/>
      <w:r w:rsidRPr="00451CC2">
        <w:rPr>
          <w:rFonts w:eastAsia="Calibri"/>
          <w:lang w:val="en-US"/>
        </w:rPr>
        <w:t>BoD</w:t>
      </w:r>
      <w:proofErr w:type="spellEnd"/>
      <w:r w:rsidRPr="00451CC2">
        <w:rPr>
          <w:rFonts w:eastAsia="Calibri"/>
          <w:lang w:val="en-US"/>
        </w:rPr>
        <w:t xml:space="preserve"> was also officially registered and published in G.E.MI. on 05.09.2025, thus completing the legal standing of the new entity.</w:t>
      </w:r>
    </w:p>
    <w:p w14:paraId="17CC8681" w14:textId="77777777" w:rsidR="00451CC2" w:rsidRPr="00451CC2" w:rsidRDefault="00451CC2" w:rsidP="00D31D31">
      <w:pPr>
        <w:rPr>
          <w:rFonts w:eastAsia="Calibri"/>
          <w:lang w:val="en-US"/>
        </w:rPr>
      </w:pPr>
      <w:r w:rsidRPr="00451CC2">
        <w:rPr>
          <w:rFonts w:eastAsia="Calibri"/>
          <w:lang w:val="en-US"/>
        </w:rPr>
        <w:t>Following the merger of ERGOSE S.A. with OSE S.A., in accordance with Article 3 of Law 5167/2024 (as in force), the Joint ministerial decision of the Ministers of Economy and Finance and of Infrastructure and Transport was issued on 9 October 2025 (</w:t>
      </w:r>
      <w:r w:rsidRPr="00451CC2">
        <w:rPr>
          <w:rFonts w:eastAsia="Calibri"/>
          <w:b/>
          <w:bCs/>
          <w:lang w:val="en-US"/>
        </w:rPr>
        <w:t>JMD 160022/2025 – OJ 5383/</w:t>
      </w:r>
      <w:r>
        <w:rPr>
          <w:rFonts w:eastAsia="Calibri"/>
          <w:b/>
          <w:bCs/>
        </w:rPr>
        <w:t>Β</w:t>
      </w:r>
      <w:r w:rsidRPr="00451CC2">
        <w:rPr>
          <w:rFonts w:eastAsia="Calibri"/>
          <w:b/>
          <w:bCs/>
          <w:lang w:val="en-US"/>
        </w:rPr>
        <w:t>/9-10-2025</w:t>
      </w:r>
      <w:r w:rsidRPr="00451CC2">
        <w:rPr>
          <w:rFonts w:eastAsia="Calibri"/>
          <w:lang w:val="en-US"/>
        </w:rPr>
        <w:t xml:space="preserve">) according to </w:t>
      </w:r>
      <w:r w:rsidRPr="00451CC2">
        <w:rPr>
          <w:rFonts w:eastAsia="Calibri"/>
          <w:b/>
          <w:bCs/>
          <w:lang w:val="en-US"/>
        </w:rPr>
        <w:t>par. 1 Article 10 of Law 5167/2024</w:t>
      </w:r>
      <w:r w:rsidRPr="00451CC2">
        <w:rPr>
          <w:rFonts w:eastAsia="Calibri"/>
          <w:lang w:val="en-US"/>
        </w:rPr>
        <w:t>, specifying the precise terms, conditions, procedures, and timing for the assumption of management responsibilities, the procedures and timing for the completion of the technical evaluation of rolling stock following its handover, and any other matters related to the transfer of the railway rolling stock management activity from GAIAOSE S.A. to Hellenic Railways S.M.S.A.</w:t>
      </w:r>
    </w:p>
    <w:p w14:paraId="1C50B944" w14:textId="77777777" w:rsidR="00451CC2" w:rsidRPr="00451CC2" w:rsidRDefault="00451CC2" w:rsidP="00D31D31">
      <w:pPr>
        <w:rPr>
          <w:rFonts w:eastAsia="Calibri"/>
          <w:lang w:val="en-US"/>
        </w:rPr>
      </w:pPr>
      <w:r w:rsidRPr="00451CC2">
        <w:rPr>
          <w:rFonts w:eastAsia="Calibri"/>
          <w:lang w:val="en-US"/>
        </w:rPr>
        <w:t xml:space="preserve">Following the transfer of responsibility for infrastructure rail safety to the new company and its cooperation with railway undertakings on implementing risk control measures, a set of secondary legislative acts stemming from Law 5220/2025 (Articles 57) has entered into force (excluding the GTR and GTR-dependent acts). This secondary legislation aims to further </w:t>
      </w:r>
      <w:proofErr w:type="spellStart"/>
      <w:r w:rsidRPr="00451CC2">
        <w:rPr>
          <w:rFonts w:eastAsia="Calibri"/>
          <w:lang w:val="en-US"/>
        </w:rPr>
        <w:t>modernise</w:t>
      </w:r>
      <w:proofErr w:type="spellEnd"/>
      <w:r w:rsidRPr="00451CC2">
        <w:rPr>
          <w:rFonts w:eastAsia="Calibri"/>
          <w:lang w:val="en-US"/>
        </w:rPr>
        <w:t xml:space="preserve"> the sector by strengthening the structural and procedural framework for safety, </w:t>
      </w:r>
      <w:sdt>
        <w:sdtPr>
          <w:tag w:val="goog_rdk_5"/>
          <w:id w:val="1828862154"/>
        </w:sdtPr>
        <w:sdtEndPr/>
        <w:sdtContent/>
      </w:sdt>
      <w:r w:rsidRPr="00451CC2">
        <w:rPr>
          <w:rFonts w:eastAsia="Calibri"/>
          <w:lang w:val="en-US"/>
        </w:rPr>
        <w:t>thereby supporting a safer, more efficient, and future-ready rail system.</w:t>
      </w:r>
    </w:p>
    <w:p w14:paraId="5FE0143B" w14:textId="77777777" w:rsidR="00451CC2" w:rsidRPr="00451CC2" w:rsidRDefault="00451CC2" w:rsidP="00C513F7">
      <w:pPr>
        <w:spacing w:after="0"/>
        <w:rPr>
          <w:rFonts w:eastAsia="Calibri"/>
          <w:lang w:val="en-US"/>
        </w:rPr>
      </w:pPr>
      <w:r w:rsidRPr="00451CC2">
        <w:rPr>
          <w:rFonts w:eastAsia="Calibri"/>
          <w:lang w:val="en-US"/>
        </w:rPr>
        <w:t xml:space="preserve"> More specifically: </w:t>
      </w:r>
    </w:p>
    <w:p w14:paraId="327513EB" w14:textId="77777777" w:rsidR="00451CC2" w:rsidRPr="00451CC2" w:rsidRDefault="00451CC2" w:rsidP="00C513F7">
      <w:pPr>
        <w:spacing w:after="0"/>
        <w:rPr>
          <w:rFonts w:eastAsia="Calibri"/>
          <w:lang w:val="en-US"/>
        </w:rPr>
      </w:pPr>
      <w:r w:rsidRPr="00451CC2">
        <w:rPr>
          <w:rFonts w:eastAsia="Calibri"/>
          <w:lang w:val="en-US"/>
        </w:rPr>
        <w:t>(a) Board of Directors decision on the staffing and operation of the Unified Supervision Center (</w:t>
      </w:r>
      <w:r w:rsidRPr="00DF769E">
        <w:rPr>
          <w:rFonts w:eastAsia="Calibri"/>
        </w:rPr>
        <w:t>Ε</w:t>
      </w:r>
      <w:r w:rsidRPr="00451CC2">
        <w:rPr>
          <w:rFonts w:eastAsia="Calibri"/>
          <w:lang w:val="en-US"/>
        </w:rPr>
        <w:t>.</w:t>
      </w:r>
      <w:r w:rsidRPr="00DF769E">
        <w:rPr>
          <w:rFonts w:eastAsia="Calibri"/>
        </w:rPr>
        <w:t>Κ</w:t>
      </w:r>
      <w:r w:rsidRPr="00451CC2">
        <w:rPr>
          <w:rFonts w:eastAsia="Calibri"/>
          <w:lang w:val="en-US"/>
        </w:rPr>
        <w:t>.</w:t>
      </w:r>
      <w:r w:rsidRPr="00DF769E">
        <w:rPr>
          <w:rFonts w:eastAsia="Calibri"/>
        </w:rPr>
        <w:t>Ε</w:t>
      </w:r>
      <w:r w:rsidRPr="00451CC2">
        <w:rPr>
          <w:rFonts w:eastAsia="Calibri"/>
          <w:lang w:val="en-US"/>
        </w:rPr>
        <w:t>.)</w:t>
      </w:r>
    </w:p>
    <w:p w14:paraId="5089FB35" w14:textId="77777777" w:rsidR="00451CC2" w:rsidRPr="00451CC2" w:rsidRDefault="00451CC2" w:rsidP="00C513F7">
      <w:pPr>
        <w:spacing w:after="0"/>
        <w:rPr>
          <w:rFonts w:eastAsia="Calibri"/>
          <w:lang w:val="en-US"/>
        </w:rPr>
      </w:pPr>
      <w:r w:rsidRPr="00451CC2">
        <w:rPr>
          <w:rFonts w:eastAsia="Calibri"/>
          <w:lang w:val="en-US"/>
        </w:rPr>
        <w:t>(b) Board of Directors decision on the commencement of productive operation of the Railway Data Registry</w:t>
      </w:r>
    </w:p>
    <w:p w14:paraId="5876FC1D" w14:textId="77777777" w:rsidR="00451CC2" w:rsidRPr="00451CC2" w:rsidRDefault="00451CC2" w:rsidP="00C513F7">
      <w:pPr>
        <w:spacing w:after="0"/>
        <w:rPr>
          <w:rFonts w:eastAsia="Calibri"/>
          <w:lang w:val="en-US"/>
        </w:rPr>
      </w:pPr>
      <w:r w:rsidRPr="00451CC2">
        <w:rPr>
          <w:rFonts w:eastAsia="Calibri"/>
          <w:lang w:val="en-US"/>
        </w:rPr>
        <w:t>(c) Board of Directors decision on the commencement of productive operation of the Train Precise Geolocation System</w:t>
      </w:r>
    </w:p>
    <w:p w14:paraId="67B2D8E6" w14:textId="77777777" w:rsidR="00451CC2" w:rsidRDefault="00451CC2" w:rsidP="00C513F7">
      <w:pPr>
        <w:spacing w:after="0"/>
        <w:rPr>
          <w:rFonts w:eastAsia="Calibri"/>
          <w:lang w:val="en-US"/>
        </w:rPr>
      </w:pPr>
      <w:r w:rsidRPr="00451CC2">
        <w:rPr>
          <w:rFonts w:eastAsia="Calibri"/>
          <w:lang w:val="en-US"/>
        </w:rPr>
        <w:t>(d) Establishment of a Single Emergency Report and Rail Accident Management Plan</w:t>
      </w:r>
    </w:p>
    <w:p w14:paraId="5337CCC4" w14:textId="77777777" w:rsidR="00C513F7" w:rsidRPr="00451CC2" w:rsidRDefault="00C513F7" w:rsidP="00C513F7">
      <w:pPr>
        <w:spacing w:after="0"/>
        <w:rPr>
          <w:rFonts w:eastAsia="Calibri"/>
          <w:lang w:val="en-US"/>
        </w:rPr>
      </w:pPr>
    </w:p>
    <w:p w14:paraId="1EB7538C" w14:textId="77777777" w:rsidR="00451CC2" w:rsidRPr="00451CC2" w:rsidRDefault="00451CC2" w:rsidP="00D31D31">
      <w:pPr>
        <w:rPr>
          <w:rFonts w:eastAsia="Calibri"/>
          <w:lang w:val="en-US"/>
        </w:rPr>
      </w:pPr>
      <w:r w:rsidRPr="00451CC2">
        <w:rPr>
          <w:rFonts w:eastAsia="Calibri"/>
          <w:lang w:val="en-US"/>
        </w:rPr>
        <w:t xml:space="preserve">As part of the sector </w:t>
      </w:r>
      <w:proofErr w:type="spellStart"/>
      <w:r w:rsidRPr="00451CC2">
        <w:rPr>
          <w:rFonts w:eastAsia="Calibri"/>
          <w:lang w:val="en-US"/>
        </w:rPr>
        <w:t>modernisation</w:t>
      </w:r>
      <w:proofErr w:type="spellEnd"/>
      <w:r w:rsidRPr="00451CC2">
        <w:rPr>
          <w:rFonts w:eastAsia="Calibri"/>
          <w:lang w:val="en-US"/>
        </w:rPr>
        <w:t xml:space="preserve"> programme, on 17 October 2025 Hellenic Railways (New OSE) and the supervising Ministries of Infrastructure and Transport and Finance concluded a contractual agreement, in line with Directive 2012/34/EU and the amended Law 4408/2016</w:t>
      </w:r>
      <w:r w:rsidR="00861977">
        <w:rPr>
          <w:rStyle w:val="FootnoteReference"/>
          <w:rFonts w:ascii="Calibri" w:eastAsia="Calibri" w:hAnsi="Calibri" w:cs="Calibri"/>
          <w:sz w:val="24"/>
          <w:szCs w:val="24"/>
          <w:lang w:val="en-US"/>
        </w:rPr>
        <w:footnoteReference w:id="1"/>
      </w:r>
      <w:r w:rsidRPr="00451CC2">
        <w:rPr>
          <w:rFonts w:eastAsia="Calibri"/>
          <w:lang w:val="en-US"/>
        </w:rPr>
        <w:t>. The agreement defines the strategic directions regarding the national railway network management policy and the strategy for the development of railway infrastructure. It entails performance targets, incentive structures and funding obligations designed to underpin a performance</w:t>
      </w:r>
      <w:r w:rsidRPr="00451CC2">
        <w:rPr>
          <w:rFonts w:ascii="Cambria Math" w:eastAsia="Calibri" w:hAnsi="Cambria Math" w:cs="Cambria Math"/>
          <w:lang w:val="en-US"/>
        </w:rPr>
        <w:t>‑</w:t>
      </w:r>
      <w:r w:rsidRPr="00451CC2">
        <w:rPr>
          <w:rFonts w:eastAsia="Calibri"/>
          <w:lang w:val="en-US"/>
        </w:rPr>
        <w:t>based management regime and to ensure the provision of efficient, reliable and high</w:t>
      </w:r>
      <w:r w:rsidRPr="00451CC2">
        <w:rPr>
          <w:rFonts w:ascii="Cambria Math" w:eastAsia="Calibri" w:hAnsi="Cambria Math" w:cs="Cambria Math"/>
          <w:lang w:val="en-US"/>
        </w:rPr>
        <w:t>‑</w:t>
      </w:r>
      <w:r w:rsidRPr="00451CC2">
        <w:rPr>
          <w:rFonts w:eastAsia="Calibri"/>
          <w:lang w:val="en-US"/>
        </w:rPr>
        <w:t>quality railway infrastructure services.</w:t>
      </w:r>
    </w:p>
    <w:p w14:paraId="7A0CDB40" w14:textId="77777777" w:rsidR="00451CC2" w:rsidRPr="00451CC2" w:rsidRDefault="00451CC2" w:rsidP="00D31D31">
      <w:pPr>
        <w:rPr>
          <w:rFonts w:eastAsia="Calibri"/>
          <w:lang w:val="en-US"/>
        </w:rPr>
      </w:pPr>
      <w:r w:rsidRPr="00451CC2">
        <w:rPr>
          <w:rFonts w:eastAsia="Calibri"/>
          <w:lang w:val="en-US"/>
        </w:rPr>
        <w:t>In the same vein, in October 2024, the Ministry of Infrastructure and Transport signed a contract with the European Investment Bank (</w:t>
      </w:r>
      <w:r w:rsidRPr="00DF769E">
        <w:rPr>
          <w:rFonts w:eastAsia="Calibri"/>
        </w:rPr>
        <w:t>ΕΙΒ</w:t>
      </w:r>
      <w:r w:rsidRPr="00451CC2">
        <w:rPr>
          <w:rFonts w:eastAsia="Calibri"/>
          <w:lang w:val="en-US"/>
        </w:rPr>
        <w:t>) (Advisory Agreement no 012155, AA-012155) for the preparation of the Railway Strategy and the Multiyear Investment Programme for the Railway sector.</w:t>
      </w:r>
    </w:p>
    <w:p w14:paraId="5A442BB2" w14:textId="77777777" w:rsidR="00451CC2" w:rsidRPr="00451CC2" w:rsidRDefault="00451CC2" w:rsidP="00D31D31">
      <w:pPr>
        <w:rPr>
          <w:rFonts w:eastAsia="Calibri"/>
          <w:lang w:val="en-US"/>
        </w:rPr>
      </w:pPr>
      <w:r w:rsidRPr="00451CC2">
        <w:rPr>
          <w:rFonts w:eastAsia="Calibri"/>
          <w:lang w:val="en-US"/>
        </w:rPr>
        <w:t xml:space="preserve">Under this contract, the EIB provides Greece with the technical expertise necessary to implement long-term strategies, advising on the planned major upgrade of the national railway network and assisting authorities in developing a long-term business plan for the newly established infrastructure management company (Hellenic Railways) and in outlining near-term network investments. </w:t>
      </w:r>
    </w:p>
    <w:p w14:paraId="044D38D7" w14:textId="77777777" w:rsidR="00451CC2" w:rsidRPr="00451CC2" w:rsidRDefault="00451CC2" w:rsidP="00D31D31">
      <w:pPr>
        <w:rPr>
          <w:rFonts w:eastAsia="Calibri"/>
          <w:lang w:val="en-US"/>
        </w:rPr>
      </w:pPr>
      <w:r w:rsidRPr="00451CC2">
        <w:rPr>
          <w:rFonts w:eastAsia="Calibri"/>
          <w:lang w:val="en-US"/>
        </w:rPr>
        <w:t>The scope of the assignment of the EIB is to deliver a coherent strategic and business plan around which the Beneficiary (Ministry of Infrastructure and Transport) together with the New Railway Company (Hellenic Railways) can deliver a pipeline of well-developed, robustly prepared, well-understood projects and in each case supported by a feasible financing strategy. The adoption of the Multiyear program with expected strategic investments and maintenance works by the Board of Directors of the Hellenic Railways, is expected to be completed by May 2026.</w:t>
      </w:r>
    </w:p>
    <w:p w14:paraId="218A362C" w14:textId="77777777" w:rsidR="00451CC2" w:rsidRPr="00451CC2" w:rsidRDefault="00451CC2" w:rsidP="00D31D31">
      <w:pPr>
        <w:rPr>
          <w:rFonts w:eastAsia="Calibri"/>
          <w:lang w:val="en-US"/>
        </w:rPr>
      </w:pPr>
      <w:r w:rsidRPr="00451CC2">
        <w:rPr>
          <w:rFonts w:eastAsia="Calibri"/>
          <w:lang w:val="en-US"/>
        </w:rPr>
        <w:t>As part of its efforts to improve railway safety, the Ministry is currently drafting the revised General Traffic Regulation</w:t>
      </w:r>
      <w:r w:rsidRPr="00DF769E">
        <w:rPr>
          <w:rFonts w:eastAsia="Calibri"/>
          <w:lang w:val="en-US"/>
        </w:rPr>
        <w:t xml:space="preserve"> (RRF)</w:t>
      </w:r>
      <w:r w:rsidRPr="00451CC2">
        <w:rPr>
          <w:rFonts w:eastAsia="Calibri"/>
          <w:lang w:val="en-US"/>
        </w:rPr>
        <w:t xml:space="preserve">. The proposed regulation introduces significant amendments to operational procedures and clarifies roles and responsibilities throughout the railway system. The Ministerial Decision adopting the revised GTR is expected to be published by May 2026  with specific provision indicating that the entry into force will be within 14 months from its publication. </w:t>
      </w:r>
    </w:p>
    <w:p w14:paraId="4E4CF3F3" w14:textId="1C46314C" w:rsidR="00451CC2" w:rsidRPr="00451CC2" w:rsidRDefault="00451CC2" w:rsidP="00D31D31">
      <w:pPr>
        <w:rPr>
          <w:rFonts w:eastAsia="Calibri"/>
          <w:lang w:val="en-US"/>
        </w:rPr>
      </w:pPr>
      <w:r w:rsidRPr="00451CC2">
        <w:rPr>
          <w:rFonts w:eastAsia="Calibri"/>
          <w:lang w:val="en-US"/>
        </w:rPr>
        <w:t xml:space="preserve">In the context of the technical support for the operational set up of "Hellenic Railways" and pursuant to Article 265 of Law 4412/2016, the Ministry has initiated a restricted procurement procedure for the provision of </w:t>
      </w:r>
      <w:proofErr w:type="spellStart"/>
      <w:r w:rsidRPr="00451CC2">
        <w:rPr>
          <w:rFonts w:eastAsia="Calibri"/>
          <w:lang w:val="en-US"/>
        </w:rPr>
        <w:t>specialised</w:t>
      </w:r>
      <w:proofErr w:type="spellEnd"/>
      <w:r w:rsidRPr="00451CC2">
        <w:rPr>
          <w:rFonts w:eastAsia="Calibri"/>
          <w:lang w:val="en-US"/>
        </w:rPr>
        <w:t xml:space="preserve"> technical services to support the operational establishment of Hellenic Railways S.A. The Phase </w:t>
      </w:r>
      <w:proofErr w:type="spellStart"/>
      <w:r w:rsidRPr="00451CC2">
        <w:rPr>
          <w:rFonts w:eastAsia="Calibri"/>
          <w:lang w:val="en-US"/>
        </w:rPr>
        <w:t>A</w:t>
      </w:r>
      <w:proofErr w:type="spellEnd"/>
      <w:r w:rsidRPr="00451CC2">
        <w:rPr>
          <w:rFonts w:eastAsia="Calibri"/>
          <w:lang w:val="en-US"/>
        </w:rPr>
        <w:t xml:space="preserve"> invitation was published on 13 January 2026 (26002/2026). The closed tender — B phase, regarding the invitation to submit offers, has been published on TED (</w:t>
      </w:r>
      <w:hyperlink r:id="rId15" w:history="1">
        <w:r w:rsidR="0040288A" w:rsidRPr="00DD1073">
          <w:rPr>
            <w:rStyle w:val="Hyperlink"/>
            <w:rFonts w:eastAsia="Calibri"/>
            <w:lang w:val="en-US"/>
          </w:rPr>
          <w:t>https://ted.europa.eu/en/notice/-/detail/271163-2026</w:t>
        </w:r>
      </w:hyperlink>
      <w:r w:rsidRPr="00451CC2">
        <w:rPr>
          <w:rFonts w:eastAsia="Calibri"/>
          <w:lang w:val="en-US"/>
        </w:rPr>
        <w:t xml:space="preserve">) on 21 April. The </w:t>
      </w:r>
      <w:r w:rsidRPr="00451CC2">
        <w:rPr>
          <w:rFonts w:eastAsia="Calibri"/>
          <w:lang w:val="en-US"/>
        </w:rPr>
        <w:lastRenderedPageBreak/>
        <w:t xml:space="preserve">contract is expected to be signed in June 2026. The overall measure is currently under revision process. </w:t>
      </w:r>
    </w:p>
    <w:p w14:paraId="7937936E" w14:textId="77777777" w:rsidR="00451CC2" w:rsidRPr="00451CC2" w:rsidRDefault="00451CC2" w:rsidP="00D31D31">
      <w:pPr>
        <w:rPr>
          <w:rFonts w:eastAsia="Calibri"/>
          <w:lang w:val="en-US"/>
        </w:rPr>
      </w:pPr>
      <w:r w:rsidRPr="00451CC2">
        <w:rPr>
          <w:rFonts w:eastAsia="Calibri"/>
          <w:lang w:val="en-US"/>
        </w:rPr>
        <w:t xml:space="preserve">The electrification of the Greek transport system and the development of sustainable means of transportation, by replacing old buses and taxis with new electric ones, as well as providing support for the development of publicly accessible charging infrastructure across the country is promoted through the </w:t>
      </w:r>
      <w:r w:rsidRPr="00451CC2">
        <w:rPr>
          <w:rFonts w:eastAsia="Calibri"/>
          <w:b/>
          <w:lang w:val="en-US"/>
        </w:rPr>
        <w:t>“</w:t>
      </w:r>
      <w:r w:rsidRPr="00451CC2">
        <w:rPr>
          <w:rFonts w:eastAsia="Calibri"/>
          <w:b/>
          <w:bCs/>
          <w:lang w:val="en-US"/>
        </w:rPr>
        <w:t>Electromobility”</w:t>
      </w:r>
      <w:r w:rsidRPr="00451CC2">
        <w:rPr>
          <w:rFonts w:eastAsia="Calibri"/>
          <w:lang w:val="en-US"/>
        </w:rPr>
        <w:t xml:space="preserve"> investment. In the context of achieving the targets of the revised National Energy and Climate Plan 2020-2030 and the National Climate Law, various policies and measures were in place within 2025 and will continue to run within 2026, such as:</w:t>
      </w:r>
    </w:p>
    <w:p w14:paraId="641FE137" w14:textId="77777777" w:rsidR="00451CC2" w:rsidRPr="00451CC2" w:rsidRDefault="00451CC2" w:rsidP="00D31D31">
      <w:pPr>
        <w:rPr>
          <w:rFonts w:eastAsia="Calibri"/>
          <w:lang w:val="en-US"/>
        </w:rPr>
      </w:pPr>
      <w:r w:rsidRPr="00451CC2">
        <w:rPr>
          <w:rFonts w:eastAsia="Calibri"/>
          <w:lang w:val="en-US"/>
        </w:rPr>
        <w:t xml:space="preserve">The nationwide subsidy scheme </w:t>
      </w:r>
      <w:r w:rsidRPr="00451CC2">
        <w:rPr>
          <w:rFonts w:eastAsia="Calibri"/>
          <w:b/>
          <w:bCs/>
          <w:lang w:val="en-US"/>
        </w:rPr>
        <w:t>“Go Electric”,</w:t>
      </w:r>
      <w:r w:rsidRPr="00451CC2">
        <w:rPr>
          <w:rFonts w:eastAsia="Calibri"/>
          <w:lang w:val="en-US"/>
        </w:rPr>
        <w:t xml:space="preserve"> which provides subsidies to individuals and enterprises for buying or leasing a zero-emission EV vehicle (light passenger and professional car, e-</w:t>
      </w:r>
      <w:proofErr w:type="spellStart"/>
      <w:r w:rsidRPr="00451CC2">
        <w:rPr>
          <w:rFonts w:eastAsia="Calibri"/>
          <w:lang w:val="en-US"/>
        </w:rPr>
        <w:t>motos</w:t>
      </w:r>
      <w:proofErr w:type="spellEnd"/>
      <w:r w:rsidRPr="00451CC2">
        <w:rPr>
          <w:rFonts w:eastAsia="Calibri"/>
          <w:lang w:val="en-US"/>
        </w:rPr>
        <w:t>, e-bikes) and a private charger for use at home or at enterprise premises. An additional ecologic bonus is provided to those who withdraw and scrap the old car. Both individuals and legal entities are eligible to apply. The first cycle of the program concluded with €11 million in subsidies distributed to 10,000 applicants. The second cycle, offering enhanced incentives, began in July 2022 and ended on June 30, 2025. In the second cycle, approximately €65 million in subsidies had been allocated to 16.700 applicants. The third cycle, launched in June 2024, is still ongoing with a budget of €66 million and till end of January 2026 has disbursed around €47 million to 11.000 applicants.</w:t>
      </w:r>
    </w:p>
    <w:p w14:paraId="360FD75E" w14:textId="77777777" w:rsidR="00451CC2" w:rsidRPr="00451CC2" w:rsidRDefault="00451CC2" w:rsidP="00D31D31">
      <w:pPr>
        <w:rPr>
          <w:rFonts w:eastAsia="Calibri"/>
          <w:lang w:val="en-US"/>
        </w:rPr>
      </w:pPr>
      <w:r w:rsidRPr="00451CC2">
        <w:rPr>
          <w:rFonts w:eastAsia="Calibri"/>
          <w:lang w:val="en-US"/>
        </w:rPr>
        <w:t xml:space="preserve">The subsidy scheme </w:t>
      </w:r>
      <w:r w:rsidRPr="00451CC2">
        <w:rPr>
          <w:rFonts w:eastAsia="Calibri"/>
          <w:b/>
          <w:bCs/>
          <w:lang w:val="en-US"/>
        </w:rPr>
        <w:t>“Green Taxis</w:t>
      </w:r>
      <w:r w:rsidRPr="00451CC2">
        <w:rPr>
          <w:rFonts w:eastAsia="Calibri"/>
          <w:b/>
          <w:lang w:val="en-US"/>
        </w:rPr>
        <w:t>”</w:t>
      </w:r>
      <w:r w:rsidRPr="00451CC2">
        <w:rPr>
          <w:rFonts w:eastAsia="Calibri"/>
          <w:lang w:val="en-US"/>
        </w:rPr>
        <w:t xml:space="preserve"> which subsidizes the purchase of a zero-emission electric taxi. Withdrawal and scrappage of the old car is mandatory. Some 160 electric taxis have been already </w:t>
      </w:r>
      <w:proofErr w:type="spellStart"/>
      <w:r w:rsidRPr="00451CC2">
        <w:rPr>
          <w:rFonts w:eastAsia="Calibri"/>
          <w:lang w:val="en-US"/>
        </w:rPr>
        <w:t>subsidised</w:t>
      </w:r>
      <w:proofErr w:type="spellEnd"/>
      <w:r w:rsidRPr="00451CC2">
        <w:rPr>
          <w:rFonts w:eastAsia="Calibri"/>
          <w:lang w:val="en-US"/>
        </w:rPr>
        <w:t>.</w:t>
      </w:r>
    </w:p>
    <w:p w14:paraId="18C60991" w14:textId="77777777" w:rsidR="00451CC2" w:rsidRPr="00451CC2" w:rsidRDefault="00451CC2" w:rsidP="00D31D31">
      <w:pPr>
        <w:rPr>
          <w:rFonts w:eastAsia="Calibri"/>
          <w:lang w:val="en-US"/>
        </w:rPr>
      </w:pPr>
      <w:r w:rsidRPr="00451CC2">
        <w:rPr>
          <w:rFonts w:eastAsia="Calibri"/>
          <w:lang w:val="en-US"/>
        </w:rPr>
        <w:t xml:space="preserve">The nationwide subsidy scheme </w:t>
      </w:r>
      <w:r w:rsidRPr="00451CC2">
        <w:rPr>
          <w:rFonts w:eastAsia="Calibri"/>
          <w:b/>
          <w:bCs/>
          <w:lang w:val="en-US"/>
        </w:rPr>
        <w:t>“Charge Everywhere”</w:t>
      </w:r>
      <w:r w:rsidRPr="00451CC2">
        <w:rPr>
          <w:rFonts w:eastAsia="Calibri"/>
          <w:lang w:val="en-US"/>
        </w:rPr>
        <w:t xml:space="preserve"> subsidies the installation of publicly available charging points along the TEN-T network, to fulfill the AFIR requirements, as well as in other areas of interest such as municipalities (implementing the EV Charging Plans), harbors, parking stations, regional roads etc.  Till the end of 2025, approximately €26 million in subsidies have been approved.</w:t>
      </w:r>
    </w:p>
    <w:p w14:paraId="0069C00B" w14:textId="77777777" w:rsidR="00451CC2" w:rsidRPr="00451CC2" w:rsidRDefault="00451CC2" w:rsidP="00D31D31">
      <w:pPr>
        <w:rPr>
          <w:lang w:val="en-US"/>
        </w:rPr>
      </w:pPr>
      <w:r w:rsidRPr="00451CC2">
        <w:rPr>
          <w:rFonts w:eastAsia="Calibri"/>
          <w:lang w:val="en-US"/>
        </w:rPr>
        <w:t>Moreover, other EV car use measures are in place, such as free parking in municipalities’ parking areas, free entrance into Athens’ city center, no road tax and tax incentives for buying or leasing an EV vehicle or public charger.</w:t>
      </w:r>
    </w:p>
    <w:p w14:paraId="73F91A98" w14:textId="77777777" w:rsidR="00451CC2" w:rsidRPr="00451CC2" w:rsidRDefault="00451CC2" w:rsidP="00D31D31">
      <w:pPr>
        <w:rPr>
          <w:rFonts w:eastAsia="Calibri"/>
          <w:strike/>
          <w:lang w:val="en-US"/>
        </w:rPr>
      </w:pPr>
      <w:r w:rsidRPr="00451CC2">
        <w:rPr>
          <w:rFonts w:eastAsia="Calibri"/>
          <w:lang w:val="en-US"/>
        </w:rPr>
        <w:t>Following the completion of the “Electromobility – Acquisition of 250 electric buses” in Q1 2024 the contract for the 125 simple electric buses for the city of Athens was signed on 03/12/2025. On 3 April 2026, 125 twelve</w:t>
      </w:r>
      <w:r w:rsidRPr="00451CC2">
        <w:rPr>
          <w:rFonts w:ascii="Cambria Math" w:eastAsia="Calibri" w:hAnsi="Cambria Math" w:cs="Cambria Math"/>
          <w:lang w:val="en-US"/>
        </w:rPr>
        <w:t>‑</w:t>
      </w:r>
      <w:r w:rsidRPr="00451CC2">
        <w:rPr>
          <w:rFonts w:eastAsia="Calibri"/>
          <w:lang w:val="en-US"/>
        </w:rPr>
        <w:t>meter buses were delivered for integration into the Athens public transport network, the final acceptance is envisaged to be achieved by mid-June 2026. On 2 April 2026</w:t>
      </w:r>
      <w:r w:rsidRPr="00450031">
        <w:rPr>
          <w:rFonts w:eastAsia="Calibri"/>
          <w:lang w:val="en-US"/>
        </w:rPr>
        <w:t>,</w:t>
      </w:r>
      <w:r w:rsidRPr="00451CC2">
        <w:rPr>
          <w:rFonts w:eastAsia="Calibri"/>
          <w:lang w:val="en-US"/>
        </w:rPr>
        <w:t xml:space="preserve"> the supply contract for 50 eighteen-meter electric buses, together with their ancillary equipment, was signed to strengthen the public transport fleet of Thessaloniki. The vehicles are scheduled for delivery in July 2026,  the final acceptance is envisaged to be achieved by end of August 2026.</w:t>
      </w:r>
    </w:p>
    <w:p w14:paraId="367E26B1" w14:textId="77777777" w:rsidR="00451CC2" w:rsidRPr="00451CC2" w:rsidRDefault="00451CC2" w:rsidP="00D31D31">
      <w:pPr>
        <w:rPr>
          <w:rFonts w:eastAsia="Calibri"/>
          <w:lang w:val="en-US"/>
        </w:rPr>
      </w:pPr>
      <w:r w:rsidRPr="00451CC2">
        <w:rPr>
          <w:rFonts w:eastAsia="Calibri"/>
          <w:lang w:val="en-US"/>
        </w:rPr>
        <w:t xml:space="preserve">As part of the </w:t>
      </w:r>
      <w:proofErr w:type="spellStart"/>
      <w:r w:rsidRPr="00451CC2">
        <w:rPr>
          <w:rFonts w:eastAsia="Calibri"/>
          <w:lang w:val="en-US"/>
        </w:rPr>
        <w:t>modernisation</w:t>
      </w:r>
      <w:proofErr w:type="spellEnd"/>
      <w:r w:rsidRPr="00451CC2">
        <w:rPr>
          <w:rFonts w:eastAsia="Calibri"/>
          <w:lang w:val="en-US"/>
        </w:rPr>
        <w:t xml:space="preserve"> of the country’s urban and intercity transport network and pursuant to Articles 9 and 10 of Law 4974/2022, studies to define the bus networks for regular long</w:t>
      </w:r>
      <w:r w:rsidRPr="00451CC2">
        <w:rPr>
          <w:rFonts w:ascii="Cambria Math" w:eastAsia="Calibri" w:hAnsi="Cambria Math" w:cs="Cambria Math"/>
          <w:lang w:val="en-US"/>
        </w:rPr>
        <w:t>‑</w:t>
      </w:r>
      <w:r w:rsidRPr="00451CC2">
        <w:rPr>
          <w:rFonts w:eastAsia="Calibri"/>
          <w:lang w:val="en-US"/>
        </w:rPr>
        <w:t xml:space="preserve">distance and urban public road passenger services in the 13 regions were carried out by </w:t>
      </w:r>
      <w:r w:rsidRPr="00451CC2">
        <w:rPr>
          <w:rFonts w:eastAsia="Calibri"/>
          <w:lang w:val="en-US"/>
        </w:rPr>
        <w:lastRenderedPageBreak/>
        <w:t xml:space="preserve">the respective Regional Authorities and were completed by February 2025. A public consultation procedure took place on a model tender document from 7 October up to 6 November 2025. Following consultations between the Ministry and the Regions and on the proposal of the competent authority (General Directorate of Transport, Ministry of Infrastructure and Transport), each regional network will be determined by a Ministerial Decision of the Alternate Minister of Infrastructure and Transport. To date, four Ministerial Decisions have been issued and the corresponding tenders calls have been notified in TED for the Regions of Central Greece, Crete, Western Greece and the Ionian Islands. The tender calls for the remaining regions are expected to be launched by May 2026. </w:t>
      </w:r>
    </w:p>
    <w:p w14:paraId="209F24B3" w14:textId="77777777" w:rsidR="00451CC2" w:rsidRPr="00451CC2" w:rsidRDefault="00451CC2" w:rsidP="00D31D31">
      <w:pPr>
        <w:rPr>
          <w:rFonts w:eastAsia="Calibri"/>
          <w:color w:val="FF0000"/>
          <w:lang w:val="en-US"/>
        </w:rPr>
      </w:pPr>
      <w:r>
        <w:rPr>
          <w:rFonts w:eastAsia="Calibri"/>
          <w:lang w:val="en-US"/>
        </w:rPr>
        <w:t>In this regard</w:t>
      </w:r>
      <w:r w:rsidRPr="00450031">
        <w:rPr>
          <w:rFonts w:eastAsia="Calibri"/>
          <w:lang w:val="en-US"/>
        </w:rPr>
        <w:t xml:space="preserve">, </w:t>
      </w:r>
      <w:r w:rsidRPr="00451CC2">
        <w:rPr>
          <w:rFonts w:eastAsia="Calibri"/>
          <w:b/>
          <w:lang w:val="en-US"/>
        </w:rPr>
        <w:t>“</w:t>
      </w:r>
      <w:r w:rsidRPr="00451CC2">
        <w:rPr>
          <w:rFonts w:eastAsia="Calibri"/>
          <w:b/>
          <w:bCs/>
          <w:lang w:val="en-US"/>
        </w:rPr>
        <w:t>Upgrading suburban railway of West Attica</w:t>
      </w:r>
      <w:r w:rsidRPr="00451CC2">
        <w:rPr>
          <w:rFonts w:eastAsia="Calibri"/>
          <w:b/>
          <w:lang w:val="en-US"/>
        </w:rPr>
        <w:t>”</w:t>
      </w:r>
      <w:r w:rsidRPr="00451CC2">
        <w:rPr>
          <w:rFonts w:eastAsia="Calibri"/>
          <w:lang w:val="en-US"/>
        </w:rPr>
        <w:t xml:space="preserve"> aims at the construction of a new branch in the Suburban Railway from </w:t>
      </w:r>
      <w:proofErr w:type="spellStart"/>
      <w:r w:rsidRPr="00451CC2">
        <w:rPr>
          <w:rFonts w:eastAsia="Calibri"/>
          <w:lang w:val="en-US"/>
        </w:rPr>
        <w:t>Ano</w:t>
      </w:r>
      <w:proofErr w:type="spellEnd"/>
      <w:r w:rsidRPr="00451CC2">
        <w:rPr>
          <w:rFonts w:eastAsia="Calibri"/>
          <w:lang w:val="en-US"/>
        </w:rPr>
        <w:t xml:space="preserve"> </w:t>
      </w:r>
      <w:proofErr w:type="spellStart"/>
      <w:r w:rsidRPr="00451CC2">
        <w:rPr>
          <w:rFonts w:eastAsia="Calibri"/>
          <w:lang w:val="en-US"/>
        </w:rPr>
        <w:t>Liosia</w:t>
      </w:r>
      <w:proofErr w:type="spellEnd"/>
      <w:r w:rsidRPr="00451CC2">
        <w:rPr>
          <w:rFonts w:eastAsia="Calibri"/>
          <w:lang w:val="en-US"/>
        </w:rPr>
        <w:t xml:space="preserve"> to Megara, within the existing railway corridor of the old railway line towards the Peloponnese. The total length of the new Suburban Railway branch will be 36 km. The extension of the railway shall contribute to economic, social and territorial cohesion, promoting connectivity in an area where the logistics sector has significant potential. The project contract has been signed since December 2023, and as of April 2026 the completion rate of the works has reached 55%, while the RRF funded part is under revision.</w:t>
      </w:r>
    </w:p>
    <w:p w14:paraId="144FBD0C" w14:textId="77777777" w:rsidR="00451CC2" w:rsidRPr="00451CC2" w:rsidRDefault="00451CC2" w:rsidP="00D31D31">
      <w:pPr>
        <w:rPr>
          <w:rFonts w:eastAsia="Calibri"/>
          <w:lang w:val="en-US"/>
        </w:rPr>
      </w:pPr>
      <w:r w:rsidRPr="00451CC2">
        <w:rPr>
          <w:rFonts w:eastAsia="Calibri"/>
          <w:lang w:val="en-US"/>
        </w:rPr>
        <w:t>Additionally, the "</w:t>
      </w:r>
      <w:r w:rsidRPr="00451CC2">
        <w:rPr>
          <w:rFonts w:eastAsia="Calibri"/>
          <w:b/>
          <w:bCs/>
          <w:lang w:val="en-US"/>
        </w:rPr>
        <w:t>Digital Transformation of the Hellenic Railways Organization"</w:t>
      </w:r>
      <w:r w:rsidRPr="00451CC2">
        <w:rPr>
          <w:rFonts w:eastAsia="Calibri"/>
          <w:lang w:val="en-US"/>
        </w:rPr>
        <w:t xml:space="preserve"> constitutes a significant investment related to telecommunications infrastructure by installing special infrastructure technology and antennas for signal transmission and continuity throughout the network, enabling open telecommunication access, meeting the operational needs for better serving the flows of trains as well as passengers. The installation of infrastructure for high-speed internet access, as well as telematic services and smart ticketing in the train stations are among the project's objectives. The public contract for sub-project 1 was signed in February 2026. The RRF funded works are expected to be completed by August 2026. The overall measure is currently under revision process. </w:t>
      </w:r>
    </w:p>
    <w:p w14:paraId="52143CEA" w14:textId="77777777" w:rsidR="00451CC2" w:rsidRPr="00451CC2" w:rsidRDefault="00451CC2" w:rsidP="00D31D31">
      <w:pPr>
        <w:rPr>
          <w:rFonts w:eastAsia="Calibri"/>
          <w:color w:val="FF0000"/>
          <w:lang w:val="en-US"/>
        </w:rPr>
      </w:pPr>
      <w:r w:rsidRPr="00451CC2">
        <w:rPr>
          <w:rFonts w:eastAsia="Calibri"/>
          <w:lang w:val="en-US"/>
        </w:rPr>
        <w:t xml:space="preserve">The </w:t>
      </w:r>
      <w:r w:rsidRPr="00451CC2">
        <w:rPr>
          <w:rFonts w:eastAsia="Calibri"/>
          <w:b/>
          <w:lang w:val="en-US"/>
        </w:rPr>
        <w:t>RRP investment</w:t>
      </w:r>
      <w:r w:rsidRPr="00451CC2">
        <w:rPr>
          <w:rFonts w:eastAsia="Calibri"/>
          <w:b/>
          <w:bCs/>
          <w:lang w:val="en-US"/>
        </w:rPr>
        <w:t xml:space="preserve"> “Smart bridges”</w:t>
      </w:r>
      <w:r w:rsidRPr="00451CC2">
        <w:rPr>
          <w:rFonts w:eastAsia="Calibri"/>
          <w:lang w:val="en-US"/>
        </w:rPr>
        <w:t xml:space="preserve"> contribute</w:t>
      </w:r>
      <w:r>
        <w:rPr>
          <w:rFonts w:eastAsia="Calibri"/>
          <w:lang w:val="en-US"/>
        </w:rPr>
        <w:t>s</w:t>
      </w:r>
      <w:r w:rsidRPr="00451CC2">
        <w:rPr>
          <w:rFonts w:eastAsia="Calibri"/>
          <w:lang w:val="en-US"/>
        </w:rPr>
        <w:t xml:space="preserve"> to the “smart” and preventive maintenance for bridges across the country. The purpose of the project is to equip the bridges with special systems for measuring the displacement of the bridges in real time and with wireless sensors powered by solar panels, with the consequent improvement of the safety level of the bridges and the prevention of future accidents caused either by the passage of heavy vehicles or by climate change. The investment is structured in three sub</w:t>
      </w:r>
      <w:r w:rsidRPr="00451CC2">
        <w:rPr>
          <w:rFonts w:ascii="Cambria Math" w:eastAsia="Calibri" w:hAnsi="Cambria Math" w:cs="Cambria Math"/>
          <w:lang w:val="en-US"/>
        </w:rPr>
        <w:t>‑</w:t>
      </w:r>
      <w:r w:rsidRPr="00451CC2">
        <w:rPr>
          <w:rFonts w:eastAsia="Calibri"/>
          <w:lang w:val="en-US"/>
        </w:rPr>
        <w:t>projects: Sub-project I (intelligent preventive maintenance covering 225 bridges), Sub-project II (equipping 234 bridges with wireless, solar</w:t>
      </w:r>
      <w:r w:rsidRPr="00451CC2">
        <w:rPr>
          <w:rFonts w:ascii="Cambria Math" w:eastAsia="Calibri" w:hAnsi="Cambria Math" w:cs="Cambria Math"/>
          <w:lang w:val="en-US"/>
        </w:rPr>
        <w:t>‑</w:t>
      </w:r>
      <w:r w:rsidRPr="00451CC2">
        <w:rPr>
          <w:rFonts w:eastAsia="Calibri"/>
          <w:lang w:val="en-US"/>
        </w:rPr>
        <w:t>powered sensors) and Sub-project III (installing advanced load</w:t>
      </w:r>
      <w:r w:rsidRPr="00451CC2">
        <w:rPr>
          <w:rFonts w:ascii="Cambria Math" w:eastAsia="Calibri" w:hAnsi="Cambria Math" w:cs="Cambria Math"/>
          <w:lang w:val="en-US"/>
        </w:rPr>
        <w:t>‑</w:t>
      </w:r>
      <w:r w:rsidRPr="00451CC2">
        <w:rPr>
          <w:rFonts w:eastAsia="Calibri"/>
          <w:lang w:val="en-US"/>
        </w:rPr>
        <w:t>measuring systems and real</w:t>
      </w:r>
      <w:r w:rsidRPr="00451CC2">
        <w:rPr>
          <w:rFonts w:ascii="Cambria Math" w:eastAsia="Calibri" w:hAnsi="Cambria Math" w:cs="Cambria Math"/>
          <w:lang w:val="en-US"/>
        </w:rPr>
        <w:t>‑</w:t>
      </w:r>
      <w:r w:rsidRPr="00451CC2">
        <w:rPr>
          <w:rFonts w:eastAsia="Calibri"/>
          <w:lang w:val="en-US"/>
        </w:rPr>
        <w:t xml:space="preserve">time displacement sensors or optical </w:t>
      </w:r>
      <w:proofErr w:type="spellStart"/>
      <w:r w:rsidRPr="00451CC2">
        <w:rPr>
          <w:rFonts w:eastAsia="Calibri"/>
          <w:lang w:val="en-US"/>
        </w:rPr>
        <w:t>fibres</w:t>
      </w:r>
      <w:proofErr w:type="spellEnd"/>
      <w:r w:rsidRPr="00451CC2">
        <w:rPr>
          <w:rFonts w:eastAsia="Calibri"/>
          <w:lang w:val="en-US"/>
        </w:rPr>
        <w:t xml:space="preserve"> on 19 bridges and wireless solar sensors on 117 bridges). The Sub-project I contract was signed on 18 December 2023; primary and secondary inspections, SBN system development and installation works have been completed; non</w:t>
      </w:r>
      <w:r w:rsidRPr="00451CC2">
        <w:rPr>
          <w:rFonts w:ascii="Cambria Math" w:eastAsia="Calibri" w:hAnsi="Cambria Math" w:cs="Cambria Math"/>
          <w:lang w:val="en-US"/>
        </w:rPr>
        <w:t>‑</w:t>
      </w:r>
      <w:r w:rsidRPr="00451CC2">
        <w:rPr>
          <w:rFonts w:eastAsia="Calibri"/>
          <w:lang w:val="en-US"/>
        </w:rPr>
        <w:t xml:space="preserve">destructive testing and pilot operation are in the final stages of completion. The Sub-project II Framework Agreement was signed on 26 April 2024 with three counterparties; all six specific contracts under the framework are signed and in implementation, with inspections and SBN development </w:t>
      </w:r>
      <w:proofErr w:type="spellStart"/>
      <w:r w:rsidRPr="00451CC2">
        <w:rPr>
          <w:rFonts w:eastAsia="Calibri"/>
          <w:lang w:val="en-US"/>
        </w:rPr>
        <w:t>finalised</w:t>
      </w:r>
      <w:proofErr w:type="spellEnd"/>
      <w:r w:rsidRPr="00451CC2">
        <w:rPr>
          <w:rFonts w:eastAsia="Calibri"/>
          <w:lang w:val="en-US"/>
        </w:rPr>
        <w:t xml:space="preserve">; installation, NDT and pilot operation are in the final stages of completion. For Sub-project III, options for the six contracts linked to Milestone 272a were signed between 18 February 2026 and 27 February 2026, and the option for the contract linked to Milestone 272 was signed on 20 March 2026. The execution of all three </w:t>
      </w:r>
      <w:r w:rsidRPr="00451CC2">
        <w:rPr>
          <w:rFonts w:eastAsia="Calibri"/>
          <w:lang w:val="en-US"/>
        </w:rPr>
        <w:lastRenderedPageBreak/>
        <w:t xml:space="preserve">phases is scheduled to conclude by August 2026. The overall measure is currently under revision process. </w:t>
      </w:r>
    </w:p>
    <w:p w14:paraId="6D71C8C1" w14:textId="77777777" w:rsidR="00451CC2" w:rsidRPr="00451CC2" w:rsidRDefault="00451CC2" w:rsidP="00D31D31">
      <w:pPr>
        <w:rPr>
          <w:rFonts w:eastAsia="Calibri"/>
          <w:color w:val="FF0000"/>
          <w:lang w:val="en-US"/>
        </w:rPr>
      </w:pPr>
      <w:r w:rsidRPr="00451CC2">
        <w:rPr>
          <w:rFonts w:eastAsia="Calibri"/>
          <w:b/>
          <w:lang w:val="en-US"/>
        </w:rPr>
        <w:t>The RRP investment</w:t>
      </w:r>
      <w:r w:rsidRPr="00451CC2">
        <w:rPr>
          <w:rFonts w:eastAsia="Calibri"/>
          <w:lang w:val="en-US"/>
        </w:rPr>
        <w:t xml:space="preserve"> in the </w:t>
      </w:r>
      <w:r w:rsidRPr="00451CC2">
        <w:rPr>
          <w:rFonts w:eastAsia="Calibri"/>
          <w:b/>
          <w:lang w:val="en-US"/>
        </w:rPr>
        <w:t>“</w:t>
      </w:r>
      <w:r w:rsidRPr="00451CC2">
        <w:rPr>
          <w:rFonts w:eastAsia="Calibri"/>
          <w:b/>
          <w:bCs/>
          <w:lang w:val="en-US"/>
        </w:rPr>
        <w:t>Cretan Northern Highway (BOAK)”,</w:t>
      </w:r>
      <w:r w:rsidRPr="00451CC2">
        <w:rPr>
          <w:rFonts w:eastAsia="Calibri"/>
          <w:color w:val="FF0000"/>
          <w:lang w:val="en-US"/>
        </w:rPr>
        <w:t xml:space="preserve"> </w:t>
      </w:r>
      <w:r w:rsidRPr="00451CC2">
        <w:rPr>
          <w:rFonts w:eastAsia="Calibri"/>
          <w:lang w:val="en-US"/>
        </w:rPr>
        <w:t xml:space="preserve">links </w:t>
      </w:r>
      <w:proofErr w:type="spellStart"/>
      <w:r w:rsidRPr="00451CC2">
        <w:rPr>
          <w:rFonts w:eastAsia="Calibri"/>
          <w:lang w:val="en-US"/>
        </w:rPr>
        <w:t>Kissamos</w:t>
      </w:r>
      <w:proofErr w:type="spellEnd"/>
      <w:r w:rsidRPr="00451CC2">
        <w:rPr>
          <w:rFonts w:eastAsia="Calibri"/>
          <w:lang w:val="en-US"/>
        </w:rPr>
        <w:t xml:space="preserve">, Chania, </w:t>
      </w:r>
      <w:proofErr w:type="spellStart"/>
      <w:r w:rsidRPr="00451CC2">
        <w:rPr>
          <w:rFonts w:eastAsia="Calibri"/>
          <w:lang w:val="en-US"/>
        </w:rPr>
        <w:t>Rethymnon</w:t>
      </w:r>
      <w:proofErr w:type="spellEnd"/>
      <w:r w:rsidRPr="00451CC2">
        <w:rPr>
          <w:rFonts w:eastAsia="Calibri"/>
          <w:lang w:val="en-US"/>
        </w:rPr>
        <w:t xml:space="preserve">, Heraklion and </w:t>
      </w:r>
      <w:proofErr w:type="spellStart"/>
      <w:r w:rsidRPr="00451CC2">
        <w:rPr>
          <w:rFonts w:eastAsia="Calibri"/>
          <w:lang w:val="en-US"/>
        </w:rPr>
        <w:t>Agios</w:t>
      </w:r>
      <w:proofErr w:type="spellEnd"/>
      <w:r w:rsidRPr="00451CC2">
        <w:rPr>
          <w:rFonts w:eastAsia="Calibri"/>
          <w:lang w:val="en-US"/>
        </w:rPr>
        <w:t xml:space="preserve"> Nikolaos and forms part of the TEN</w:t>
      </w:r>
      <w:r w:rsidRPr="00451CC2">
        <w:rPr>
          <w:rFonts w:ascii="Cambria Math" w:eastAsia="Calibri" w:hAnsi="Cambria Math" w:cs="Cambria Math"/>
          <w:lang w:val="en-US"/>
        </w:rPr>
        <w:t>‑</w:t>
      </w:r>
      <w:r w:rsidRPr="00451CC2">
        <w:rPr>
          <w:rFonts w:eastAsia="Calibri"/>
          <w:lang w:val="en-US"/>
        </w:rPr>
        <w:t>T network, and comprises three sub</w:t>
      </w:r>
      <w:r w:rsidRPr="00451CC2">
        <w:rPr>
          <w:rFonts w:ascii="Cambria Math" w:eastAsia="Calibri" w:hAnsi="Cambria Math" w:cs="Cambria Math"/>
          <w:lang w:val="en-US"/>
        </w:rPr>
        <w:t>‑</w:t>
      </w:r>
      <w:r w:rsidRPr="00451CC2">
        <w:rPr>
          <w:rFonts w:eastAsia="Calibri"/>
          <w:lang w:val="en-US"/>
        </w:rPr>
        <w:t>projects</w:t>
      </w:r>
      <w:r w:rsidRPr="00451CC2">
        <w:rPr>
          <w:rFonts w:eastAsia="Calibri"/>
          <w:b/>
          <w:bCs/>
          <w:lang w:val="en-US"/>
        </w:rPr>
        <w:t xml:space="preserve">. </w:t>
      </w:r>
      <w:r w:rsidRPr="00451CC2">
        <w:rPr>
          <w:rFonts w:eastAsia="Calibri"/>
          <w:lang w:val="en-US"/>
        </w:rPr>
        <w:t xml:space="preserve"> Part of the investment is financed by RRF. Sub-project 1 comprises the segment from </w:t>
      </w:r>
      <w:proofErr w:type="spellStart"/>
      <w:r w:rsidRPr="00451CC2">
        <w:rPr>
          <w:rFonts w:eastAsia="Calibri"/>
          <w:lang w:val="en-US"/>
        </w:rPr>
        <w:t>Kissamos</w:t>
      </w:r>
      <w:proofErr w:type="spellEnd"/>
      <w:r w:rsidRPr="00451CC2">
        <w:rPr>
          <w:rFonts w:eastAsia="Calibri"/>
          <w:lang w:val="en-US"/>
        </w:rPr>
        <w:t xml:space="preserve">-Chania-Heraklion, is a tolled motorway of approximately 188 km length that shall be built and operated under a concession agreement. Sub-project 2, comprises the segment from Hersonissos-Neapoli of approximately 22.4 km length that shall be built under a Public Private Partnership agreement and sub-project 3 comprises the segment Neapolis – </w:t>
      </w:r>
      <w:proofErr w:type="spellStart"/>
      <w:r w:rsidRPr="00451CC2">
        <w:rPr>
          <w:rFonts w:eastAsia="Calibri"/>
          <w:lang w:val="en-US"/>
        </w:rPr>
        <w:t>Agios</w:t>
      </w:r>
      <w:proofErr w:type="spellEnd"/>
      <w:r w:rsidRPr="00451CC2">
        <w:rPr>
          <w:rFonts w:eastAsia="Calibri"/>
          <w:lang w:val="en-US"/>
        </w:rPr>
        <w:t xml:space="preserve"> Nikolaos of approximately 14.5 km length that shall be built as a public works project. The motorway aims at improving accessibility between major cities of Crete and all major ports and airports of the island, reducing travel times, increasing level of service and road safety and enhancing regional transport activities, both for passenger and freight traffic. For the 1</w:t>
      </w:r>
      <w:r w:rsidRPr="00451CC2">
        <w:rPr>
          <w:rFonts w:eastAsia="Calibri"/>
          <w:vertAlign w:val="superscript"/>
          <w:lang w:val="en-US"/>
        </w:rPr>
        <w:t>st</w:t>
      </w:r>
      <w:r w:rsidRPr="00451CC2">
        <w:rPr>
          <w:rFonts w:eastAsia="Calibri"/>
          <w:lang w:val="en-US"/>
        </w:rPr>
        <w:t xml:space="preserve"> sub-project, the concession agreement was signed on 09/05/2025 and ratified by Law 5204 in June 2025. The Commencement Date of the Concession Agreement was set on 30/01/2026. Construction works are being carried out, as well as additional road safety works from </w:t>
      </w:r>
      <w:proofErr w:type="spellStart"/>
      <w:r w:rsidRPr="00451CC2">
        <w:rPr>
          <w:rFonts w:eastAsia="Calibri"/>
          <w:lang w:val="en-US"/>
        </w:rPr>
        <w:t>Kissamos</w:t>
      </w:r>
      <w:proofErr w:type="spellEnd"/>
      <w:r w:rsidRPr="00451CC2">
        <w:rPr>
          <w:rFonts w:eastAsia="Calibri"/>
          <w:lang w:val="en-US"/>
        </w:rPr>
        <w:t xml:space="preserve"> to Heraklion, while the second and third sub-projects are also being implemented. The overall measure is currently under revision process. </w:t>
      </w:r>
    </w:p>
    <w:p w14:paraId="412F7598" w14:textId="77777777" w:rsidR="00451CC2" w:rsidRPr="00451CC2" w:rsidRDefault="00451CC2" w:rsidP="00D31D31">
      <w:pPr>
        <w:rPr>
          <w:rFonts w:eastAsia="Calibri"/>
          <w:lang w:val="en-US"/>
        </w:rPr>
      </w:pPr>
      <w:r w:rsidRPr="00451CC2">
        <w:rPr>
          <w:rFonts w:eastAsia="Calibri"/>
          <w:lang w:val="en-US"/>
        </w:rPr>
        <w:t xml:space="preserve"> The predefined RRP works for all three sub-projects are expected to be completed by August 2026. </w:t>
      </w:r>
    </w:p>
    <w:p w14:paraId="54BF2E32" w14:textId="77777777" w:rsidR="00451CC2" w:rsidRPr="00451CC2" w:rsidRDefault="00451CC2" w:rsidP="00D31D31">
      <w:pPr>
        <w:rPr>
          <w:rFonts w:eastAsia="Calibri"/>
          <w:strike/>
          <w:lang w:val="en-US"/>
        </w:rPr>
      </w:pPr>
      <w:r w:rsidRPr="00451CC2">
        <w:rPr>
          <w:rFonts w:eastAsia="Calibri"/>
          <w:lang w:val="en-US"/>
        </w:rPr>
        <w:t xml:space="preserve">The </w:t>
      </w:r>
      <w:r w:rsidRPr="00451CC2">
        <w:rPr>
          <w:rFonts w:eastAsia="Calibri"/>
          <w:b/>
          <w:lang w:val="en-US"/>
        </w:rPr>
        <w:t>RRF investment</w:t>
      </w:r>
      <w:r w:rsidRPr="00451CC2">
        <w:rPr>
          <w:rFonts w:eastAsia="Calibri"/>
          <w:lang w:val="en-US"/>
        </w:rPr>
        <w:t xml:space="preserve"> </w:t>
      </w:r>
      <w:r w:rsidRPr="00451CC2">
        <w:rPr>
          <w:rFonts w:eastAsia="Calibri"/>
          <w:b/>
          <w:bCs/>
          <w:lang w:val="en-US"/>
        </w:rPr>
        <w:t>“E65 Motorway Northern Section”</w:t>
      </w:r>
      <w:r w:rsidRPr="00451CC2">
        <w:rPr>
          <w:rFonts w:eastAsia="Calibri"/>
          <w:lang w:val="en-US"/>
        </w:rPr>
        <w:t xml:space="preserve"> aims at the completion of the construction (main Axis, service roads/connecting roads and ancillary works) of a 70.47 km highway connecting Trikala to </w:t>
      </w:r>
      <w:proofErr w:type="spellStart"/>
      <w:r w:rsidRPr="00451CC2">
        <w:rPr>
          <w:rFonts w:eastAsia="Calibri"/>
          <w:lang w:val="en-US"/>
        </w:rPr>
        <w:t>Egnatia</w:t>
      </w:r>
      <w:proofErr w:type="spellEnd"/>
      <w:r w:rsidRPr="00451CC2">
        <w:rPr>
          <w:rFonts w:eastAsia="Calibri"/>
          <w:lang w:val="en-US"/>
        </w:rPr>
        <w:t xml:space="preserve"> highway. The construction is divided into two subprojects: Section Trikala I/C - </w:t>
      </w:r>
      <w:proofErr w:type="spellStart"/>
      <w:r w:rsidRPr="00451CC2">
        <w:rPr>
          <w:rFonts w:eastAsia="Calibri"/>
          <w:lang w:val="en-US"/>
        </w:rPr>
        <w:t>Grevena</w:t>
      </w:r>
      <w:proofErr w:type="spellEnd"/>
      <w:r w:rsidRPr="00451CC2">
        <w:rPr>
          <w:rFonts w:eastAsia="Calibri"/>
          <w:lang w:val="en-US"/>
        </w:rPr>
        <w:t xml:space="preserve"> I/C and Section </w:t>
      </w:r>
      <w:proofErr w:type="spellStart"/>
      <w:r w:rsidRPr="00451CC2">
        <w:rPr>
          <w:rFonts w:eastAsia="Calibri"/>
          <w:lang w:val="en-US"/>
        </w:rPr>
        <w:t>Grevena</w:t>
      </w:r>
      <w:proofErr w:type="spellEnd"/>
      <w:r w:rsidRPr="00451CC2">
        <w:rPr>
          <w:rFonts w:eastAsia="Calibri"/>
          <w:lang w:val="en-US"/>
        </w:rPr>
        <w:t xml:space="preserve"> I/C - </w:t>
      </w:r>
      <w:proofErr w:type="spellStart"/>
      <w:r w:rsidRPr="00451CC2">
        <w:rPr>
          <w:rFonts w:eastAsia="Calibri"/>
          <w:lang w:val="en-US"/>
        </w:rPr>
        <w:t>Egnatia</w:t>
      </w:r>
      <w:proofErr w:type="spellEnd"/>
      <w:r w:rsidRPr="00451CC2">
        <w:rPr>
          <w:rFonts w:eastAsia="Calibri"/>
          <w:lang w:val="en-US"/>
        </w:rPr>
        <w:t xml:space="preserve"> I/C. The motorway, which shall improve connectivity between Southern Greece, Thessaly and Western Macedonia, on the one hand, and the Western Balkans and the rest of Europe (through the port of </w:t>
      </w:r>
      <w:proofErr w:type="spellStart"/>
      <w:r w:rsidRPr="00451CC2">
        <w:rPr>
          <w:rFonts w:eastAsia="Calibri"/>
          <w:lang w:val="en-US"/>
        </w:rPr>
        <w:t>Igoumenitsa</w:t>
      </w:r>
      <w:proofErr w:type="spellEnd"/>
      <w:r w:rsidRPr="00451CC2">
        <w:rPr>
          <w:rFonts w:eastAsia="Calibri"/>
          <w:lang w:val="en-US"/>
        </w:rPr>
        <w:t xml:space="preserve">), on the other, is part of the Trans-European Transport Network (TEN-T). The section of the northern part of the E-65 highway Trikala - </w:t>
      </w:r>
      <w:proofErr w:type="spellStart"/>
      <w:r w:rsidRPr="00451CC2">
        <w:rPr>
          <w:rFonts w:eastAsia="Calibri"/>
          <w:lang w:val="en-US"/>
        </w:rPr>
        <w:t>Kalampaka</w:t>
      </w:r>
      <w:proofErr w:type="spellEnd"/>
      <w:r w:rsidRPr="00451CC2">
        <w:rPr>
          <w:rFonts w:eastAsia="Calibri"/>
          <w:lang w:val="en-US"/>
        </w:rPr>
        <w:t xml:space="preserve"> is functional since 23/04/2024. The total progress of the project exceeds 90%. The project is expected to be completed by August 2026.</w:t>
      </w:r>
    </w:p>
    <w:p w14:paraId="455C162C" w14:textId="596AC3F4" w:rsidR="00451CC2" w:rsidRPr="00451CC2" w:rsidRDefault="00451CC2" w:rsidP="00D31D31">
      <w:pPr>
        <w:rPr>
          <w:rFonts w:eastAsia="Calibri"/>
          <w:lang w:val="en-US"/>
        </w:rPr>
      </w:pPr>
      <w:r w:rsidRPr="00451CC2">
        <w:rPr>
          <w:rFonts w:eastAsia="Calibri"/>
          <w:lang w:val="en-US"/>
        </w:rPr>
        <w:t xml:space="preserve">To strengthen and improve Greece's railway network as well as to reinforce Greece's role in the logistics’ sector, the </w:t>
      </w:r>
      <w:r w:rsidRPr="00451CC2">
        <w:rPr>
          <w:rFonts w:eastAsia="Calibri"/>
          <w:b/>
          <w:bCs/>
          <w:lang w:val="en-US"/>
        </w:rPr>
        <w:t xml:space="preserve">upgrade of the existing railway line </w:t>
      </w:r>
      <w:proofErr w:type="spellStart"/>
      <w:r w:rsidRPr="00451CC2">
        <w:rPr>
          <w:rFonts w:eastAsia="Calibri"/>
          <w:b/>
          <w:bCs/>
          <w:lang w:val="en-US"/>
        </w:rPr>
        <w:t>Alexandroupolis</w:t>
      </w:r>
      <w:proofErr w:type="spellEnd"/>
      <w:r w:rsidRPr="00451CC2">
        <w:rPr>
          <w:rFonts w:eastAsia="Calibri"/>
          <w:b/>
          <w:bCs/>
          <w:lang w:val="en-US"/>
        </w:rPr>
        <w:t xml:space="preserve"> - </w:t>
      </w:r>
      <w:proofErr w:type="spellStart"/>
      <w:r w:rsidRPr="00451CC2">
        <w:rPr>
          <w:rFonts w:eastAsia="Calibri"/>
          <w:b/>
          <w:bCs/>
          <w:lang w:val="en-US"/>
        </w:rPr>
        <w:t>Ormenio</w:t>
      </w:r>
      <w:proofErr w:type="spellEnd"/>
      <w:r w:rsidRPr="00451CC2">
        <w:rPr>
          <w:rFonts w:eastAsia="Calibri"/>
          <w:b/>
          <w:bCs/>
          <w:lang w:val="en-US"/>
        </w:rPr>
        <w:t xml:space="preserve"> - Greek-Bulgarian Border</w:t>
      </w:r>
      <w:r w:rsidRPr="00451CC2">
        <w:rPr>
          <w:rFonts w:eastAsia="Calibri"/>
          <w:lang w:val="en-US"/>
        </w:rPr>
        <w:t xml:space="preserve">, length 175 km, to a double railway line with the installation of signaling systems with ETCS Level 1 and electrification as well as the upgrade of existing stations/stops and the construction of new ones, is being promoted. The investment will be implemented in construction phases, the 1st of which will include the works for the implementation of the single line that will be put into operation. For the </w:t>
      </w:r>
      <w:proofErr w:type="spellStart"/>
      <w:r w:rsidRPr="00451CC2">
        <w:rPr>
          <w:rFonts w:eastAsia="Calibri"/>
          <w:lang w:val="en-US"/>
        </w:rPr>
        <w:t>Alexandroupoli-Pythio</w:t>
      </w:r>
      <w:proofErr w:type="spellEnd"/>
      <w:r w:rsidRPr="00451CC2">
        <w:rPr>
          <w:rFonts w:eastAsia="Calibri"/>
          <w:lang w:val="en-US"/>
        </w:rPr>
        <w:t xml:space="preserve"> section, a request for funding from CEF2 was submitted in January 2025.</w:t>
      </w:r>
    </w:p>
    <w:p w14:paraId="78CB5FEF" w14:textId="77777777" w:rsidR="00451CC2" w:rsidRPr="00451CC2" w:rsidRDefault="000B61F1" w:rsidP="00D31D31">
      <w:pPr>
        <w:rPr>
          <w:rFonts w:eastAsia="Calibri"/>
          <w:lang w:val="en-US"/>
        </w:rPr>
      </w:pPr>
      <w:sdt>
        <w:sdtPr>
          <w:tag w:val="goog_rdk_6"/>
          <w:id w:val="284969183"/>
        </w:sdtPr>
        <w:sdtEndPr/>
        <w:sdtContent/>
      </w:sdt>
      <w:r w:rsidR="00451CC2" w:rsidRPr="00451CC2">
        <w:rPr>
          <w:rFonts w:eastAsia="Calibri"/>
          <w:lang w:val="en-US"/>
        </w:rPr>
        <w:t xml:space="preserve">Also related to Road Safety, the investment </w:t>
      </w:r>
      <w:r w:rsidR="00451CC2" w:rsidRPr="00451CC2">
        <w:rPr>
          <w:rFonts w:eastAsia="Calibri"/>
          <w:b/>
          <w:lang w:val="en-US"/>
        </w:rPr>
        <w:t>“E</w:t>
      </w:r>
      <w:r w:rsidR="00451CC2" w:rsidRPr="00451CC2">
        <w:rPr>
          <w:rFonts w:eastAsia="Calibri"/>
          <w:b/>
          <w:bCs/>
          <w:lang w:val="en-US"/>
        </w:rPr>
        <w:t>stablishment of a Metropolitan Agency for Mobility in the Region of Attica</w:t>
      </w:r>
      <w:r w:rsidR="00451CC2" w:rsidRPr="00451CC2">
        <w:rPr>
          <w:rFonts w:eastAsia="Calibri"/>
          <w:b/>
          <w:lang w:val="en-US"/>
        </w:rPr>
        <w:t>”</w:t>
      </w:r>
      <w:r w:rsidR="00451CC2" w:rsidRPr="00451CC2">
        <w:rPr>
          <w:rFonts w:eastAsia="Calibri"/>
          <w:lang w:val="en-US"/>
        </w:rPr>
        <w:t xml:space="preserve"> (new title: </w:t>
      </w:r>
      <w:r w:rsidR="00451CC2" w:rsidRPr="00451CC2">
        <w:rPr>
          <w:rFonts w:eastAsia="Calibri"/>
          <w:b/>
          <w:lang w:val="en-US"/>
        </w:rPr>
        <w:t>“</w:t>
      </w:r>
      <w:r w:rsidR="00451CC2" w:rsidRPr="00451CC2">
        <w:rPr>
          <w:rFonts w:eastAsia="Calibri"/>
          <w:b/>
          <w:bCs/>
          <w:lang w:val="en-US"/>
        </w:rPr>
        <w:t>Unified Traffic Regulatory Center of Attica</w:t>
      </w:r>
      <w:r w:rsidR="00451CC2" w:rsidRPr="00451CC2">
        <w:rPr>
          <w:rFonts w:eastAsia="Calibri"/>
          <w:b/>
          <w:lang w:val="en-US"/>
        </w:rPr>
        <w:t>”)</w:t>
      </w:r>
      <w:r w:rsidR="00451CC2" w:rsidRPr="00451CC2">
        <w:rPr>
          <w:rFonts w:eastAsia="Calibri"/>
          <w:lang w:val="en-US"/>
        </w:rPr>
        <w:t xml:space="preserve"> has a coordinating role, covering the Attica Region geographically and involving all relevant entities, </w:t>
      </w:r>
      <w:r w:rsidR="00451CC2" w:rsidRPr="00451CC2">
        <w:rPr>
          <w:rFonts w:eastAsia="Calibri"/>
          <w:lang w:val="en-US"/>
        </w:rPr>
        <w:lastRenderedPageBreak/>
        <w:t>with the aim of comprehensively addressing traffic. The project envisages the provision of technical support to the Ministry of Infrastructure and Transport for the set up and the start of its operation. Currently, the Ministry is in process of formulating the legislative and regulatory provisions for its establishment. The implementation of this project is under further consideration.</w:t>
      </w:r>
    </w:p>
    <w:p w14:paraId="2D2C5EBE" w14:textId="55FA98F5" w:rsidR="00451CC2" w:rsidRPr="00451CC2" w:rsidRDefault="00451CC2" w:rsidP="00D31D31">
      <w:pPr>
        <w:rPr>
          <w:rFonts w:eastAsia="Calibri"/>
          <w:lang w:val="en-US"/>
        </w:rPr>
      </w:pPr>
      <w:r w:rsidRPr="00451CC2">
        <w:rPr>
          <w:rFonts w:eastAsia="Calibri"/>
          <w:lang w:val="en-US"/>
        </w:rPr>
        <w:t>The proposed reform measure concerning the establishment of a “Unified Traffic Regulatory Center of Attica” has, in practice, already been addressed</w:t>
      </w:r>
      <w:r w:rsidR="00496B6C">
        <w:rPr>
          <w:rFonts w:eastAsia="Calibri"/>
          <w:lang w:val="en-US"/>
        </w:rPr>
        <w:t xml:space="preserve"> </w:t>
      </w:r>
      <w:r w:rsidRPr="00451CC2">
        <w:rPr>
          <w:rFonts w:eastAsia="Calibri"/>
          <w:lang w:val="en-US"/>
        </w:rPr>
        <w:t>—both institutionally and operationally—</w:t>
      </w:r>
      <w:r w:rsidR="00496B6C">
        <w:rPr>
          <w:rFonts w:eastAsia="Calibri"/>
          <w:lang w:val="en-US"/>
        </w:rPr>
        <w:t xml:space="preserve"> </w:t>
      </w:r>
      <w:r w:rsidRPr="00451CC2">
        <w:rPr>
          <w:rFonts w:eastAsia="Calibri"/>
          <w:lang w:val="en-US"/>
        </w:rPr>
        <w:t>through recent developments in the governance framework for mobility and road safety in the Attica Region.</w:t>
      </w:r>
    </w:p>
    <w:p w14:paraId="1A3B6FE0" w14:textId="77777777" w:rsidR="00451CC2" w:rsidRPr="00451CC2" w:rsidRDefault="00451CC2" w:rsidP="00D31D31">
      <w:pPr>
        <w:rPr>
          <w:rFonts w:eastAsia="Calibri"/>
          <w:lang w:val="en-US"/>
        </w:rPr>
      </w:pPr>
      <w:r w:rsidRPr="00451CC2">
        <w:rPr>
          <w:rFonts w:eastAsia="Calibri"/>
          <w:lang w:val="en-US"/>
        </w:rPr>
        <w:t>In particular, the central coordination role for traffic management and integrated mobility planning has been assumed by the Athens Urban Transport Organization (OASA), in close cooperation with the newly established autonomous service Road Safety Supervision and Monitoring Systems Service (ODYSEAS). These entities now encompass the key responsibilities that were initially envisaged for the Unified Traffic Regulatory Center.</w:t>
      </w:r>
    </w:p>
    <w:p w14:paraId="753F9779" w14:textId="457641E6" w:rsidR="00451CC2" w:rsidRPr="00451CC2" w:rsidRDefault="00451CC2" w:rsidP="00D31D31">
      <w:pPr>
        <w:rPr>
          <w:rFonts w:eastAsia="Calibri"/>
          <w:lang w:val="en-US"/>
        </w:rPr>
      </w:pPr>
      <w:r w:rsidRPr="00451CC2">
        <w:rPr>
          <w:rFonts w:eastAsia="Calibri"/>
          <w:lang w:val="en-US"/>
        </w:rPr>
        <w:t>Notably, ODYSEAS, as explicitly provided for under Law 5256/2025, already has a clearly defined organizational structure at the level of Directorates and Departments, ensuring the necessary institutional and operational capacity to coordinate road safety policies and supervise traffic systems. Of particular importance is the establishment of the Directorate of the National Road Safety Observatory (D4), whose responsibilities</w:t>
      </w:r>
      <w:r w:rsidR="00496B6C">
        <w:rPr>
          <w:rFonts w:eastAsia="Calibri"/>
          <w:lang w:val="en-US"/>
        </w:rPr>
        <w:t xml:space="preserve"> </w:t>
      </w:r>
      <w:r w:rsidRPr="00451CC2">
        <w:rPr>
          <w:rFonts w:eastAsia="Calibri"/>
          <w:lang w:val="en-US"/>
        </w:rPr>
        <w:t>—set out in detail in Article 19 of the law—</w:t>
      </w:r>
      <w:r w:rsidR="00496B6C">
        <w:rPr>
          <w:rFonts w:eastAsia="Calibri"/>
          <w:lang w:val="en-US"/>
        </w:rPr>
        <w:t xml:space="preserve"> </w:t>
      </w:r>
      <w:r w:rsidRPr="00451CC2">
        <w:rPr>
          <w:rFonts w:eastAsia="Calibri"/>
          <w:lang w:val="en-US"/>
        </w:rPr>
        <w:t>include the monitoring, analysis, and evaluation of road safety data at both national and regional levels.</w:t>
      </w:r>
    </w:p>
    <w:p w14:paraId="23A2F884" w14:textId="77777777" w:rsidR="00451CC2" w:rsidRPr="00451CC2" w:rsidRDefault="00451CC2" w:rsidP="00D31D31">
      <w:pPr>
        <w:rPr>
          <w:rFonts w:eastAsia="Calibri"/>
          <w:lang w:val="en-US"/>
        </w:rPr>
      </w:pPr>
      <w:r w:rsidRPr="00451CC2">
        <w:rPr>
          <w:rFonts w:eastAsia="Calibri"/>
          <w:lang w:val="en-US"/>
        </w:rPr>
        <w:t>In this context, the original proposal for the creation of a new metropolitan agency or unified center appears largely redundant, as</w:t>
      </w:r>
      <w:r w:rsidRPr="009C40A1">
        <w:rPr>
          <w:rFonts w:eastAsia="Calibri"/>
          <w:lang w:val="en-US"/>
        </w:rPr>
        <w:t xml:space="preserve"> </w:t>
      </w:r>
      <w:r w:rsidRPr="00451CC2">
        <w:rPr>
          <w:rFonts w:eastAsia="Calibri"/>
          <w:lang w:val="en-US"/>
        </w:rPr>
        <w:t>the core functions of coordination, supervision, and traffic management have already been integrated into the existing institutional framework</w:t>
      </w:r>
      <w:r w:rsidRPr="009C40A1">
        <w:rPr>
          <w:rFonts w:eastAsia="Calibri"/>
          <w:lang w:val="en-US"/>
        </w:rPr>
        <w:t xml:space="preserve">, </w:t>
      </w:r>
      <w:r w:rsidRPr="00451CC2">
        <w:rPr>
          <w:rFonts w:eastAsia="Calibri"/>
          <w:lang w:val="en-US"/>
        </w:rPr>
        <w:t>a clear legislative basis defining roles and organizational structures is already in place, and</w:t>
      </w:r>
      <w:r w:rsidRPr="009C40A1">
        <w:rPr>
          <w:rFonts w:eastAsia="Calibri"/>
          <w:lang w:val="en-US"/>
        </w:rPr>
        <w:t xml:space="preserve"> </w:t>
      </w:r>
      <w:r w:rsidRPr="00451CC2">
        <w:rPr>
          <w:rFonts w:eastAsia="Calibri"/>
          <w:lang w:val="en-US"/>
        </w:rPr>
        <w:t>the risk of administrative fragmentation and overlapping competences is effectively mitigated.</w:t>
      </w:r>
    </w:p>
    <w:p w14:paraId="3E24A7A9" w14:textId="77777777" w:rsidR="00451CC2" w:rsidRPr="00451CC2" w:rsidRDefault="00451CC2" w:rsidP="00D31D31">
      <w:pPr>
        <w:rPr>
          <w:rFonts w:eastAsia="Calibri"/>
          <w:lang w:val="en-US"/>
        </w:rPr>
      </w:pPr>
      <w:r w:rsidRPr="00451CC2">
        <w:rPr>
          <w:rFonts w:eastAsia="Calibri"/>
          <w:lang w:val="en-US"/>
        </w:rPr>
        <w:t>Therefore, priority is given to strengthening and fully operationalizing the existing bodies (OASA and ODYSEAS). This approach would ensure a more efficient, coherent, and readily implementable solution for improving road safety and urban mobility in Attica.</w:t>
      </w:r>
    </w:p>
    <w:p w14:paraId="1F40D1B8" w14:textId="77777777" w:rsidR="00451CC2" w:rsidRPr="00451CC2" w:rsidRDefault="00451CC2" w:rsidP="00D31D31">
      <w:pPr>
        <w:rPr>
          <w:rFonts w:eastAsia="Calibri"/>
          <w:lang w:val="en-US"/>
        </w:rPr>
      </w:pPr>
      <w:r w:rsidRPr="00451CC2">
        <w:rPr>
          <w:rFonts w:eastAsia="Calibri"/>
          <w:lang w:val="en-US"/>
        </w:rPr>
        <w:t xml:space="preserve">Accordingly, the establishment of a </w:t>
      </w:r>
      <w:r w:rsidRPr="00451CC2">
        <w:rPr>
          <w:rFonts w:eastAsia="Calibri"/>
          <w:b/>
          <w:bCs/>
          <w:lang w:val="en-US"/>
        </w:rPr>
        <w:t>Metropolitan Agency for Mobility in the Region of Thessaloniki,</w:t>
      </w:r>
      <w:r w:rsidRPr="00451CC2">
        <w:rPr>
          <w:rFonts w:eastAsia="Calibri"/>
          <w:lang w:val="en-US"/>
        </w:rPr>
        <w:t xml:space="preserve"> was envisaged. The implementation of this project is under further consideration. </w:t>
      </w:r>
    </w:p>
    <w:p w14:paraId="14BA32B9" w14:textId="2E1B3DA4" w:rsidR="00451CC2" w:rsidRPr="00451CC2" w:rsidRDefault="00451CC2" w:rsidP="00D31D31">
      <w:pPr>
        <w:rPr>
          <w:rFonts w:eastAsia="Calibri"/>
          <w:lang w:val="en-US"/>
        </w:rPr>
      </w:pPr>
      <w:r w:rsidRPr="00451CC2">
        <w:rPr>
          <w:rFonts w:eastAsia="Calibri"/>
          <w:lang w:val="en-US"/>
        </w:rPr>
        <w:t xml:space="preserve">The construction of </w:t>
      </w:r>
      <w:r w:rsidRPr="00451CC2">
        <w:rPr>
          <w:rFonts w:eastAsia="Calibri"/>
          <w:b/>
          <w:bCs/>
          <w:lang w:val="en-US"/>
        </w:rPr>
        <w:t xml:space="preserve">the new single railway line between </w:t>
      </w:r>
      <w:proofErr w:type="spellStart"/>
      <w:r w:rsidRPr="00451CC2">
        <w:rPr>
          <w:rFonts w:eastAsia="Calibri"/>
          <w:b/>
          <w:bCs/>
          <w:lang w:val="en-US"/>
        </w:rPr>
        <w:t>Nea</w:t>
      </w:r>
      <w:proofErr w:type="spellEnd"/>
      <w:r w:rsidRPr="00451CC2">
        <w:rPr>
          <w:rFonts w:eastAsia="Calibri"/>
          <w:b/>
          <w:bCs/>
          <w:lang w:val="en-US"/>
        </w:rPr>
        <w:t xml:space="preserve"> </w:t>
      </w:r>
      <w:proofErr w:type="spellStart"/>
      <w:r w:rsidRPr="00451CC2">
        <w:rPr>
          <w:rFonts w:eastAsia="Calibri"/>
          <w:b/>
          <w:bCs/>
          <w:lang w:val="en-US"/>
        </w:rPr>
        <w:t>Karvali</w:t>
      </w:r>
      <w:proofErr w:type="spellEnd"/>
      <w:r w:rsidRPr="00451CC2">
        <w:rPr>
          <w:rFonts w:eastAsia="Calibri"/>
          <w:b/>
          <w:bCs/>
          <w:lang w:val="en-US"/>
        </w:rPr>
        <w:t xml:space="preserve"> and </w:t>
      </w:r>
      <w:proofErr w:type="spellStart"/>
      <w:r w:rsidRPr="00451CC2">
        <w:rPr>
          <w:rFonts w:eastAsia="Calibri"/>
          <w:b/>
          <w:bCs/>
          <w:lang w:val="en-US"/>
        </w:rPr>
        <w:t>Toxotes</w:t>
      </w:r>
      <w:proofErr w:type="spellEnd"/>
      <w:r w:rsidRPr="00451CC2">
        <w:rPr>
          <w:rFonts w:eastAsia="Calibri"/>
          <w:b/>
          <w:bCs/>
          <w:lang w:val="en-US"/>
        </w:rPr>
        <w:t xml:space="preserve"> and the connection of </w:t>
      </w:r>
      <w:proofErr w:type="spellStart"/>
      <w:r w:rsidRPr="00451CC2">
        <w:rPr>
          <w:rFonts w:eastAsia="Calibri"/>
          <w:b/>
          <w:bCs/>
          <w:lang w:val="en-US"/>
        </w:rPr>
        <w:t>Nea</w:t>
      </w:r>
      <w:proofErr w:type="spellEnd"/>
      <w:r w:rsidRPr="00451CC2">
        <w:rPr>
          <w:rFonts w:eastAsia="Calibri"/>
          <w:b/>
          <w:bCs/>
          <w:lang w:val="en-US"/>
        </w:rPr>
        <w:t xml:space="preserve"> </w:t>
      </w:r>
      <w:proofErr w:type="spellStart"/>
      <w:r w:rsidRPr="00451CC2">
        <w:rPr>
          <w:rFonts w:eastAsia="Calibri"/>
          <w:b/>
          <w:bCs/>
          <w:lang w:val="en-US"/>
        </w:rPr>
        <w:t>Karvali</w:t>
      </w:r>
      <w:proofErr w:type="spellEnd"/>
      <w:r w:rsidRPr="00451CC2">
        <w:rPr>
          <w:rFonts w:eastAsia="Calibri"/>
          <w:b/>
          <w:bCs/>
          <w:lang w:val="en-US"/>
        </w:rPr>
        <w:t xml:space="preserve"> Railway Stop to Kavala Freight Port (Filippos)</w:t>
      </w:r>
      <w:r w:rsidRPr="00451CC2">
        <w:rPr>
          <w:rFonts w:eastAsia="Calibri"/>
          <w:lang w:val="en-US"/>
        </w:rPr>
        <w:t xml:space="preserve"> will complete part of the Thessaloniki</w:t>
      </w:r>
      <w:r w:rsidR="00496B6C">
        <w:rPr>
          <w:rFonts w:eastAsia="Calibri"/>
          <w:lang w:val="en-US"/>
        </w:rPr>
        <w:t>-</w:t>
      </w:r>
      <w:r w:rsidRPr="00451CC2">
        <w:rPr>
          <w:rFonts w:eastAsia="Calibri"/>
          <w:lang w:val="en-US"/>
        </w:rPr>
        <w:t>Kavala-</w:t>
      </w:r>
      <w:proofErr w:type="spellStart"/>
      <w:r w:rsidRPr="00451CC2">
        <w:rPr>
          <w:rFonts w:eastAsia="Calibri"/>
          <w:lang w:val="en-US"/>
        </w:rPr>
        <w:t>Alexandroupoli</w:t>
      </w:r>
      <w:proofErr w:type="spellEnd"/>
      <w:r w:rsidRPr="00451CC2">
        <w:rPr>
          <w:rFonts w:eastAsia="Calibri"/>
          <w:lang w:val="en-US"/>
        </w:rPr>
        <w:t xml:space="preserve"> rail missing link along the BBA (Baltic-Black-Aegean) and Sea2Sea corridors. The investment will be implemented in construction phases, the 1st of which includes the construction of 31.80 km single track railway line from </w:t>
      </w:r>
      <w:proofErr w:type="spellStart"/>
      <w:r w:rsidRPr="00451CC2">
        <w:rPr>
          <w:rFonts w:eastAsia="Calibri"/>
          <w:lang w:val="en-US"/>
        </w:rPr>
        <w:t>Nea</w:t>
      </w:r>
      <w:proofErr w:type="spellEnd"/>
      <w:r w:rsidRPr="00451CC2">
        <w:rPr>
          <w:rFonts w:eastAsia="Calibri"/>
          <w:lang w:val="en-US"/>
        </w:rPr>
        <w:t xml:space="preserve"> </w:t>
      </w:r>
      <w:proofErr w:type="spellStart"/>
      <w:r w:rsidRPr="00451CC2">
        <w:rPr>
          <w:rFonts w:eastAsia="Calibri"/>
          <w:lang w:val="en-US"/>
        </w:rPr>
        <w:t>Karvali</w:t>
      </w:r>
      <w:proofErr w:type="spellEnd"/>
      <w:r w:rsidRPr="00451CC2">
        <w:rPr>
          <w:rFonts w:eastAsia="Calibri"/>
          <w:lang w:val="en-US"/>
        </w:rPr>
        <w:t xml:space="preserve"> to </w:t>
      </w:r>
      <w:proofErr w:type="spellStart"/>
      <w:r w:rsidRPr="00451CC2">
        <w:rPr>
          <w:rFonts w:eastAsia="Calibri"/>
          <w:lang w:val="en-US"/>
        </w:rPr>
        <w:t>Toxotes</w:t>
      </w:r>
      <w:proofErr w:type="spellEnd"/>
      <w:r w:rsidRPr="00451CC2">
        <w:rPr>
          <w:rFonts w:eastAsia="Calibri"/>
          <w:lang w:val="en-US"/>
        </w:rPr>
        <w:t xml:space="preserve"> and 5.3 km single track railway line which will connect </w:t>
      </w:r>
      <w:proofErr w:type="spellStart"/>
      <w:r w:rsidRPr="00451CC2">
        <w:rPr>
          <w:rFonts w:eastAsia="Calibri"/>
          <w:lang w:val="en-US"/>
        </w:rPr>
        <w:t>Nea</w:t>
      </w:r>
      <w:proofErr w:type="spellEnd"/>
      <w:r w:rsidRPr="00451CC2">
        <w:rPr>
          <w:rFonts w:eastAsia="Calibri"/>
          <w:lang w:val="en-US"/>
        </w:rPr>
        <w:t xml:space="preserve"> </w:t>
      </w:r>
      <w:proofErr w:type="spellStart"/>
      <w:r w:rsidRPr="00451CC2">
        <w:rPr>
          <w:rFonts w:eastAsia="Calibri"/>
          <w:lang w:val="en-US"/>
        </w:rPr>
        <w:t>Karvali</w:t>
      </w:r>
      <w:proofErr w:type="spellEnd"/>
      <w:r w:rsidRPr="00451CC2">
        <w:rPr>
          <w:rFonts w:eastAsia="Calibri"/>
          <w:lang w:val="en-US"/>
        </w:rPr>
        <w:t xml:space="preserve"> Railway Stop to Kavala Freight Port, the construction of 5 railway stops/stations (2 for passengers, 2 for freight and one service station for OSE in </w:t>
      </w:r>
      <w:proofErr w:type="spellStart"/>
      <w:r w:rsidRPr="00451CC2">
        <w:rPr>
          <w:rFonts w:eastAsia="Calibri"/>
          <w:lang w:val="en-US"/>
        </w:rPr>
        <w:t>Toxotes</w:t>
      </w:r>
      <w:proofErr w:type="spellEnd"/>
      <w:r w:rsidRPr="00451CC2">
        <w:rPr>
          <w:rFonts w:eastAsia="Calibri"/>
          <w:lang w:val="en-US"/>
        </w:rPr>
        <w:t xml:space="preserve"> area). The Contract file of the project was submitted to the Hellenic Court of Audit in Jan 2025. A suspension request has been submitted to the Council of State </w:t>
      </w:r>
      <w:r w:rsidRPr="00451CC2">
        <w:rPr>
          <w:rFonts w:eastAsia="Calibri"/>
          <w:lang w:val="en-US"/>
        </w:rPr>
        <w:lastRenderedPageBreak/>
        <w:t>against the Decision declaring the expropriation, while the contract signing will take place in Q2 2026.</w:t>
      </w:r>
    </w:p>
    <w:p w14:paraId="4638A37F" w14:textId="77777777" w:rsidR="00451CC2" w:rsidRPr="00451CC2" w:rsidRDefault="00451CC2" w:rsidP="00D31D31">
      <w:pPr>
        <w:rPr>
          <w:rFonts w:eastAsia="Calibri"/>
          <w:lang w:val="en-US"/>
        </w:rPr>
      </w:pPr>
      <w:r w:rsidRPr="00451CC2">
        <w:rPr>
          <w:rFonts w:eastAsia="Calibri"/>
          <w:lang w:val="en-US"/>
        </w:rPr>
        <w:t xml:space="preserve">The project of the </w:t>
      </w:r>
      <w:r w:rsidRPr="00451CC2">
        <w:rPr>
          <w:rFonts w:eastAsia="Calibri"/>
          <w:b/>
          <w:bCs/>
          <w:lang w:val="en-US"/>
        </w:rPr>
        <w:t xml:space="preserve">Patras - </w:t>
      </w:r>
      <w:proofErr w:type="spellStart"/>
      <w:r w:rsidRPr="00451CC2">
        <w:rPr>
          <w:rFonts w:eastAsia="Calibri"/>
          <w:b/>
          <w:bCs/>
          <w:lang w:val="en-US"/>
        </w:rPr>
        <w:t>Pyrgos</w:t>
      </w:r>
      <w:proofErr w:type="spellEnd"/>
      <w:r w:rsidRPr="00451CC2">
        <w:rPr>
          <w:rFonts w:eastAsia="Calibri"/>
          <w:b/>
          <w:bCs/>
          <w:lang w:val="en-US"/>
        </w:rPr>
        <w:t xml:space="preserve"> highway</w:t>
      </w:r>
      <w:r w:rsidRPr="00451CC2">
        <w:rPr>
          <w:rFonts w:eastAsia="Calibri"/>
          <w:lang w:val="en-US"/>
        </w:rPr>
        <w:t xml:space="preserve"> concerns the financing - design - construction – operation and maintenance of the 74.5 km long Patras-</w:t>
      </w:r>
      <w:proofErr w:type="spellStart"/>
      <w:r w:rsidRPr="00451CC2">
        <w:rPr>
          <w:rFonts w:eastAsia="Calibri"/>
          <w:lang w:val="en-US"/>
        </w:rPr>
        <w:t>Pyrgos</w:t>
      </w:r>
      <w:proofErr w:type="spellEnd"/>
      <w:r w:rsidRPr="00451CC2">
        <w:rPr>
          <w:rFonts w:eastAsia="Calibri"/>
          <w:lang w:val="en-US"/>
        </w:rPr>
        <w:t xml:space="preserve"> Road section (Concession Agreement) which will be done by lengthening the existing National Road (NEO) for the first 13 km while the remaining 61.5 km will be a new road construction. The project is a high standard construction which includes a design speed of 120 km/h aiming for smooth traffic flow and at the improvement of road safety. The new motorway opened to traffic within 2025. </w:t>
      </w:r>
    </w:p>
    <w:p w14:paraId="05E51323" w14:textId="6026F5B8" w:rsidR="00451CC2" w:rsidRDefault="00451CC2" w:rsidP="00D31D31">
      <w:pPr>
        <w:rPr>
          <w:rFonts w:eastAsia="Calibri"/>
          <w:lang w:val="en-US"/>
        </w:rPr>
      </w:pPr>
      <w:r w:rsidRPr="00451CC2">
        <w:rPr>
          <w:rFonts w:eastAsia="Calibri"/>
          <w:lang w:val="en-US"/>
        </w:rPr>
        <w:t xml:space="preserve">The project of the </w:t>
      </w:r>
      <w:r w:rsidRPr="00451CC2">
        <w:rPr>
          <w:rFonts w:eastAsia="Calibri"/>
          <w:b/>
          <w:bCs/>
          <w:lang w:val="en-US"/>
        </w:rPr>
        <w:t xml:space="preserve">New Airport in </w:t>
      </w:r>
      <w:proofErr w:type="spellStart"/>
      <w:r w:rsidRPr="00451CC2">
        <w:rPr>
          <w:rFonts w:eastAsia="Calibri"/>
          <w:b/>
          <w:bCs/>
          <w:lang w:val="en-US"/>
        </w:rPr>
        <w:t>Kasteli</w:t>
      </w:r>
      <w:proofErr w:type="spellEnd"/>
      <w:r w:rsidRPr="00451CC2">
        <w:rPr>
          <w:rFonts w:eastAsia="Calibri"/>
          <w:lang w:val="en-US"/>
        </w:rPr>
        <w:t xml:space="preserve"> concerns the financing</w:t>
      </w:r>
      <w:r w:rsidR="007575FD">
        <w:rPr>
          <w:rFonts w:eastAsia="Calibri"/>
          <w:lang w:val="en-US"/>
        </w:rPr>
        <w:t xml:space="preserve"> </w:t>
      </w:r>
      <w:r w:rsidRPr="00451CC2">
        <w:rPr>
          <w:rFonts w:eastAsia="Calibri"/>
          <w:lang w:val="en-US"/>
        </w:rPr>
        <w:t xml:space="preserve">- design </w:t>
      </w:r>
      <w:r w:rsidR="007575FD">
        <w:rPr>
          <w:rFonts w:eastAsia="Calibri"/>
          <w:lang w:val="en-US"/>
        </w:rPr>
        <w:t>-</w:t>
      </w:r>
      <w:r w:rsidRPr="00451CC2">
        <w:rPr>
          <w:rFonts w:eastAsia="Calibri"/>
          <w:lang w:val="en-US"/>
        </w:rPr>
        <w:t xml:space="preserve"> construction - operation and maintenance of the New International Airport of Heraklion in Crete (Concession Agreement) which will be constructed in </w:t>
      </w:r>
      <w:proofErr w:type="spellStart"/>
      <w:r w:rsidRPr="00451CC2">
        <w:rPr>
          <w:rFonts w:eastAsia="Calibri"/>
          <w:lang w:val="en-US"/>
        </w:rPr>
        <w:t>Kasteli</w:t>
      </w:r>
      <w:proofErr w:type="spellEnd"/>
      <w:r w:rsidRPr="00451CC2">
        <w:rPr>
          <w:rFonts w:eastAsia="Calibri"/>
          <w:lang w:val="en-US"/>
        </w:rPr>
        <w:t xml:space="preserve">, in the Municipality of Minoa </w:t>
      </w:r>
      <w:proofErr w:type="spellStart"/>
      <w:r w:rsidRPr="00451CC2">
        <w:rPr>
          <w:rFonts w:eastAsia="Calibri"/>
          <w:lang w:val="en-US"/>
        </w:rPr>
        <w:t>Pediados</w:t>
      </w:r>
      <w:proofErr w:type="spellEnd"/>
      <w:r w:rsidRPr="00451CC2">
        <w:rPr>
          <w:rFonts w:eastAsia="Calibri"/>
          <w:lang w:val="en-US"/>
        </w:rPr>
        <w:t xml:space="preserve"> of Crete. According to the Concession Agreement it contains buildings, infrastructures, equipment, facilities and systems, including the road connection network within the property. The project includes the design - construction and financing of the access roads connecting the Airport to the Northern Cretan Highway (BOAK) and Southern Road Axis or Crete (NOAK). The Airport, when it opens, will replace the current operational Heraklion International Airport "N. Kazantzakis" located in the area of </w:t>
      </w:r>
      <w:proofErr w:type="spellStart"/>
      <w:r w:rsidRPr="00451CC2">
        <w:rPr>
          <w:rFonts w:eastAsia="Calibri"/>
          <w:lang w:val="en-US"/>
        </w:rPr>
        <w:t>Alikarnassos</w:t>
      </w:r>
      <w:proofErr w:type="spellEnd"/>
      <w:r w:rsidRPr="00451CC2">
        <w:rPr>
          <w:rFonts w:eastAsia="Calibri"/>
          <w:lang w:val="en-US"/>
        </w:rPr>
        <w:t xml:space="preserve">. </w:t>
      </w:r>
      <w:r>
        <w:rPr>
          <w:rFonts w:eastAsia="Calibri"/>
        </w:rPr>
        <w:t>Τ</w:t>
      </w:r>
      <w:r w:rsidRPr="00451CC2">
        <w:rPr>
          <w:rFonts w:eastAsia="Calibri"/>
          <w:lang w:val="en-US"/>
        </w:rPr>
        <w:t xml:space="preserve">he new terminal will be 93.572 square meters, almost 32% larger than originally planned. It is estimated that by 2030 the airport will be able to serve 10 million passengers annually, eventually reaching 14 million. The total progress of the project reaches 70% in March 2026. The project is expected to be completed within 2028. </w:t>
      </w:r>
    </w:p>
    <w:p w14:paraId="401BCA94" w14:textId="77777777" w:rsidR="0038201C" w:rsidRPr="00C91BE7" w:rsidRDefault="0038201C" w:rsidP="00D31D31">
      <w:pPr>
        <w:rPr>
          <w:rFonts w:eastAsia="Calibri"/>
          <w:color w:val="FF0000"/>
          <w:lang w:val="en-US"/>
        </w:rPr>
      </w:pPr>
    </w:p>
    <w:p w14:paraId="053777B2" w14:textId="77777777" w:rsidR="00451CC2" w:rsidRPr="009D64B1" w:rsidRDefault="009D64B1" w:rsidP="0038201C">
      <w:pPr>
        <w:pStyle w:val="Heading2"/>
        <w:pBdr>
          <w:bottom w:val="single" w:sz="4" w:space="1" w:color="4F81BD" w:themeColor="accent1"/>
        </w:pBdr>
        <w:spacing w:before="1920"/>
        <w:rPr>
          <w:rFonts w:eastAsia="Calibri"/>
          <w:sz w:val="36"/>
          <w:lang w:val="en-US"/>
        </w:rPr>
      </w:pPr>
      <w:bookmarkStart w:id="60" w:name="_Toc227932500"/>
      <w:bookmarkStart w:id="61" w:name="_Toc228279093"/>
      <w:r>
        <w:rPr>
          <w:rFonts w:eastAsia="Calibri"/>
          <w:sz w:val="36"/>
          <w:lang w:val="en-US"/>
        </w:rPr>
        <w:t>M</w:t>
      </w:r>
      <w:r w:rsidRPr="009D64B1">
        <w:rPr>
          <w:rFonts w:eastAsia="Calibri"/>
          <w:sz w:val="36"/>
          <w:lang w:val="en-US"/>
        </w:rPr>
        <w:t xml:space="preserve">inistry of </w:t>
      </w:r>
      <w:r>
        <w:rPr>
          <w:rFonts w:eastAsia="Calibri"/>
          <w:sz w:val="36"/>
          <w:lang w:val="en-US"/>
        </w:rPr>
        <w:t>E</w:t>
      </w:r>
      <w:r w:rsidRPr="009D64B1">
        <w:rPr>
          <w:rFonts w:eastAsia="Calibri"/>
          <w:sz w:val="36"/>
          <w:lang w:val="en-US"/>
        </w:rPr>
        <w:t xml:space="preserve">nvironment and </w:t>
      </w:r>
      <w:r>
        <w:rPr>
          <w:rFonts w:eastAsia="Calibri"/>
          <w:sz w:val="36"/>
          <w:lang w:val="en-US"/>
        </w:rPr>
        <w:t>E</w:t>
      </w:r>
      <w:r w:rsidRPr="009D64B1">
        <w:rPr>
          <w:rFonts w:eastAsia="Calibri"/>
          <w:sz w:val="36"/>
          <w:lang w:val="en-US"/>
        </w:rPr>
        <w:t>nergy</w:t>
      </w:r>
      <w:bookmarkEnd w:id="60"/>
      <w:bookmarkEnd w:id="61"/>
      <w:r w:rsidRPr="009D64B1">
        <w:rPr>
          <w:rFonts w:eastAsia="Calibri"/>
          <w:sz w:val="36"/>
          <w:lang w:val="en-US"/>
        </w:rPr>
        <w:t xml:space="preserve"> </w:t>
      </w:r>
    </w:p>
    <w:tbl>
      <w:tblPr>
        <w:tblW w:w="8933" w:type="dxa"/>
        <w:jc w:val="center"/>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Layout w:type="fixed"/>
        <w:tblLook w:val="0600" w:firstRow="0" w:lastRow="0" w:firstColumn="0" w:lastColumn="0" w:noHBand="1" w:noVBand="1"/>
      </w:tblPr>
      <w:tblGrid>
        <w:gridCol w:w="3541"/>
        <w:gridCol w:w="1423"/>
        <w:gridCol w:w="1605"/>
        <w:gridCol w:w="1224"/>
        <w:gridCol w:w="1140"/>
      </w:tblGrid>
      <w:tr w:rsidR="00451CC2" w:rsidRPr="008A7CB8" w14:paraId="78D1454A" w14:textId="77777777" w:rsidTr="00DA620A">
        <w:trPr>
          <w:trHeight w:val="170"/>
          <w:jc w:val="center"/>
        </w:trPr>
        <w:tc>
          <w:tcPr>
            <w:tcW w:w="3541" w:type="dxa"/>
            <w:shd w:val="clear" w:color="auto" w:fill="CFE2F3"/>
            <w:tcMar>
              <w:top w:w="0" w:type="dxa"/>
              <w:left w:w="100" w:type="dxa"/>
              <w:bottom w:w="0" w:type="dxa"/>
              <w:right w:w="100" w:type="dxa"/>
            </w:tcMar>
            <w:vAlign w:val="center"/>
          </w:tcPr>
          <w:p w14:paraId="3BF798AB" w14:textId="77777777" w:rsidR="00451CC2" w:rsidRPr="008A7CB8" w:rsidRDefault="00451CC2" w:rsidP="008A7CB8">
            <w:pPr>
              <w:pStyle w:val="Tabletext"/>
              <w:rPr>
                <w:rFonts w:eastAsia="Calibri"/>
                <w:b/>
              </w:rPr>
            </w:pPr>
            <w:r w:rsidRPr="008A7CB8">
              <w:rPr>
                <w:rFonts w:eastAsia="Calibri"/>
                <w:b/>
              </w:rPr>
              <w:t>REFORM/ INVESTMENT</w:t>
            </w:r>
          </w:p>
        </w:tc>
        <w:tc>
          <w:tcPr>
            <w:tcW w:w="1423" w:type="dxa"/>
            <w:shd w:val="clear" w:color="auto" w:fill="CFE2F3"/>
            <w:tcMar>
              <w:top w:w="0" w:type="dxa"/>
              <w:left w:w="100" w:type="dxa"/>
              <w:bottom w:w="0" w:type="dxa"/>
              <w:right w:w="100" w:type="dxa"/>
            </w:tcMar>
            <w:vAlign w:val="center"/>
          </w:tcPr>
          <w:p w14:paraId="24A8AA05" w14:textId="77777777" w:rsidR="00451CC2" w:rsidRPr="008A7CB8" w:rsidRDefault="00451CC2" w:rsidP="008A7CB8">
            <w:pPr>
              <w:pStyle w:val="Tabletext"/>
              <w:rPr>
                <w:rFonts w:eastAsia="Calibri"/>
                <w:b/>
              </w:rPr>
            </w:pPr>
            <w:r w:rsidRPr="008A7CB8">
              <w:rPr>
                <w:rFonts w:eastAsia="Calibri"/>
                <w:b/>
              </w:rPr>
              <w:t>RRF/ FF</w:t>
            </w:r>
          </w:p>
        </w:tc>
        <w:tc>
          <w:tcPr>
            <w:tcW w:w="1605" w:type="dxa"/>
            <w:shd w:val="clear" w:color="auto" w:fill="CFE2F3"/>
            <w:tcMar>
              <w:top w:w="0" w:type="dxa"/>
              <w:left w:w="100" w:type="dxa"/>
              <w:bottom w:w="0" w:type="dxa"/>
              <w:right w:w="100" w:type="dxa"/>
            </w:tcMar>
            <w:vAlign w:val="center"/>
          </w:tcPr>
          <w:p w14:paraId="758F49BF" w14:textId="77777777" w:rsidR="00451CC2" w:rsidRPr="008A7CB8" w:rsidRDefault="00451CC2" w:rsidP="008A7CB8">
            <w:pPr>
              <w:pStyle w:val="Tabletext"/>
              <w:rPr>
                <w:rFonts w:eastAsia="Calibri"/>
                <w:b/>
              </w:rPr>
            </w:pPr>
            <w:r w:rsidRPr="008A7CB8">
              <w:rPr>
                <w:rFonts w:eastAsia="Calibri"/>
                <w:b/>
              </w:rPr>
              <w:t>CSR</w:t>
            </w:r>
          </w:p>
        </w:tc>
        <w:tc>
          <w:tcPr>
            <w:tcW w:w="1224" w:type="dxa"/>
            <w:shd w:val="clear" w:color="auto" w:fill="CFE2F3"/>
            <w:tcMar>
              <w:top w:w="0" w:type="dxa"/>
              <w:left w:w="100" w:type="dxa"/>
              <w:bottom w:w="0" w:type="dxa"/>
              <w:right w:w="100" w:type="dxa"/>
            </w:tcMar>
            <w:vAlign w:val="center"/>
          </w:tcPr>
          <w:p w14:paraId="150D0C9D" w14:textId="77777777" w:rsidR="00451CC2" w:rsidRPr="008A7CB8" w:rsidRDefault="00451CC2" w:rsidP="008A7CB8">
            <w:pPr>
              <w:pStyle w:val="Tabletext"/>
              <w:rPr>
                <w:rFonts w:eastAsia="Calibri"/>
                <w:b/>
              </w:rPr>
            </w:pPr>
            <w:r w:rsidRPr="008A7CB8">
              <w:rPr>
                <w:rFonts w:eastAsia="Calibri"/>
                <w:b/>
              </w:rPr>
              <w:t>COMMON PRIORITIES</w:t>
            </w:r>
          </w:p>
        </w:tc>
        <w:tc>
          <w:tcPr>
            <w:tcW w:w="1140" w:type="dxa"/>
            <w:shd w:val="clear" w:color="auto" w:fill="CFE2F3"/>
            <w:tcMar>
              <w:top w:w="0" w:type="dxa"/>
              <w:left w:w="100" w:type="dxa"/>
              <w:bottom w:w="0" w:type="dxa"/>
              <w:right w:w="100" w:type="dxa"/>
            </w:tcMar>
            <w:vAlign w:val="center"/>
          </w:tcPr>
          <w:p w14:paraId="30A9AFFD" w14:textId="77777777" w:rsidR="00451CC2" w:rsidRPr="008A7CB8" w:rsidRDefault="00451CC2" w:rsidP="008A7CB8">
            <w:pPr>
              <w:pStyle w:val="Tabletext"/>
              <w:rPr>
                <w:rFonts w:eastAsia="Calibri"/>
                <w:b/>
              </w:rPr>
            </w:pPr>
            <w:r w:rsidRPr="008A7CB8">
              <w:rPr>
                <w:rFonts w:eastAsia="Calibri"/>
                <w:b/>
              </w:rPr>
              <w:t>On track Status</w:t>
            </w:r>
          </w:p>
        </w:tc>
      </w:tr>
      <w:tr w:rsidR="00451CC2" w14:paraId="213E7461" w14:textId="77777777" w:rsidTr="00DA620A">
        <w:trPr>
          <w:trHeight w:val="170"/>
          <w:jc w:val="center"/>
        </w:trPr>
        <w:tc>
          <w:tcPr>
            <w:tcW w:w="3541" w:type="dxa"/>
            <w:tcMar>
              <w:top w:w="0" w:type="dxa"/>
              <w:left w:w="100" w:type="dxa"/>
              <w:bottom w:w="0" w:type="dxa"/>
              <w:right w:w="100" w:type="dxa"/>
            </w:tcMar>
            <w:vAlign w:val="center"/>
          </w:tcPr>
          <w:p w14:paraId="0F5C138F" w14:textId="77777777" w:rsidR="00451CC2" w:rsidRPr="00451CC2" w:rsidRDefault="00540671" w:rsidP="008A7CB8">
            <w:pPr>
              <w:pStyle w:val="Tabletext"/>
              <w:rPr>
                <w:rFonts w:eastAsia="Calibri"/>
              </w:rPr>
            </w:pPr>
            <w:r w:rsidRPr="00540671">
              <w:rPr>
                <w:rFonts w:eastAsia="Calibri"/>
                <w:b/>
              </w:rPr>
              <w:t>REFORM 1:</w:t>
            </w:r>
            <w:r w:rsidR="00451CC2" w:rsidRPr="00451CC2">
              <w:rPr>
                <w:rFonts w:eastAsia="Calibri"/>
              </w:rPr>
              <w:t xml:space="preserve"> Optimisation of land and sea space usage for the development of RES and offshore wind energy development</w:t>
            </w:r>
          </w:p>
        </w:tc>
        <w:tc>
          <w:tcPr>
            <w:tcW w:w="1423" w:type="dxa"/>
            <w:tcMar>
              <w:top w:w="0" w:type="dxa"/>
              <w:left w:w="100" w:type="dxa"/>
              <w:bottom w:w="0" w:type="dxa"/>
              <w:right w:w="100" w:type="dxa"/>
            </w:tcMar>
            <w:vAlign w:val="center"/>
          </w:tcPr>
          <w:p w14:paraId="5A67092C" w14:textId="77777777" w:rsidR="00451CC2" w:rsidRDefault="00451CC2" w:rsidP="008A7CB8">
            <w:pPr>
              <w:pStyle w:val="Tabletext"/>
              <w:rPr>
                <w:rFonts w:eastAsia="Calibri"/>
              </w:rPr>
            </w:pPr>
            <w:r>
              <w:rPr>
                <w:rFonts w:eastAsia="Calibri"/>
              </w:rPr>
              <w:t>RRF 16989</w:t>
            </w:r>
          </w:p>
        </w:tc>
        <w:tc>
          <w:tcPr>
            <w:tcW w:w="1605" w:type="dxa"/>
            <w:tcMar>
              <w:top w:w="0" w:type="dxa"/>
              <w:left w:w="100" w:type="dxa"/>
              <w:bottom w:w="0" w:type="dxa"/>
              <w:right w:w="100" w:type="dxa"/>
            </w:tcMar>
            <w:vAlign w:val="center"/>
          </w:tcPr>
          <w:p w14:paraId="3DD7CDFA" w14:textId="77777777" w:rsidR="00451CC2" w:rsidRPr="00451CC2" w:rsidRDefault="00451CC2" w:rsidP="008A7CB8">
            <w:pPr>
              <w:pStyle w:val="Tabletext"/>
              <w:rPr>
                <w:rFonts w:eastAsia="Calibri"/>
              </w:rPr>
            </w:pPr>
            <w:r w:rsidRPr="00451CC2">
              <w:rPr>
                <w:rFonts w:eastAsia="Calibri"/>
              </w:rPr>
              <w:t>2023 CSR 4.1</w:t>
            </w:r>
            <w:r w:rsidRPr="00451CC2">
              <w:rPr>
                <w:rFonts w:eastAsia="Calibri"/>
              </w:rPr>
              <w:br/>
              <w:t>2023 CSR 4.3</w:t>
            </w:r>
            <w:r w:rsidRPr="00451CC2">
              <w:rPr>
                <w:rFonts w:eastAsia="Calibri"/>
              </w:rPr>
              <w:br/>
              <w:t>2022 CSR 4.1</w:t>
            </w:r>
            <w:r w:rsidRPr="00451CC2">
              <w:rPr>
                <w:rFonts w:eastAsia="Calibri"/>
              </w:rPr>
              <w:br/>
              <w:t>2022 CSR 4.2</w:t>
            </w:r>
            <w:r w:rsidRPr="00451CC2">
              <w:rPr>
                <w:rFonts w:eastAsia="Calibri"/>
              </w:rPr>
              <w:br/>
              <w:t>2020 CSR 3.5</w:t>
            </w:r>
            <w:r w:rsidRPr="00451CC2">
              <w:rPr>
                <w:rFonts w:eastAsia="Calibri"/>
              </w:rPr>
              <w:br/>
              <w:t>2019 CSR 2.2</w:t>
            </w:r>
          </w:p>
        </w:tc>
        <w:tc>
          <w:tcPr>
            <w:tcW w:w="1224" w:type="dxa"/>
            <w:tcMar>
              <w:top w:w="0" w:type="dxa"/>
              <w:left w:w="100" w:type="dxa"/>
              <w:bottom w:w="0" w:type="dxa"/>
              <w:right w:w="100" w:type="dxa"/>
            </w:tcMar>
            <w:vAlign w:val="center"/>
          </w:tcPr>
          <w:p w14:paraId="1B05C65D" w14:textId="77777777" w:rsidR="00451CC2" w:rsidRDefault="00451CC2" w:rsidP="008A7CB8">
            <w:pPr>
              <w:pStyle w:val="Tabletext"/>
              <w:rPr>
                <w:rFonts w:eastAsia="Calibri"/>
              </w:rPr>
            </w:pPr>
            <w:r>
              <w:rPr>
                <w:rFonts w:eastAsia="Calibri"/>
              </w:rPr>
              <w:t>Fair green &amp; digital transition</w:t>
            </w:r>
          </w:p>
        </w:tc>
        <w:tc>
          <w:tcPr>
            <w:tcW w:w="1140" w:type="dxa"/>
            <w:tcMar>
              <w:top w:w="0" w:type="dxa"/>
              <w:left w:w="100" w:type="dxa"/>
              <w:bottom w:w="0" w:type="dxa"/>
              <w:right w:w="100" w:type="dxa"/>
            </w:tcMar>
            <w:vAlign w:val="center"/>
          </w:tcPr>
          <w:p w14:paraId="4797AFC2" w14:textId="77777777" w:rsidR="00451CC2" w:rsidRDefault="00451CC2" w:rsidP="008A7CB8">
            <w:pPr>
              <w:pStyle w:val="Tabletext"/>
              <w:rPr>
                <w:rFonts w:eastAsia="Calibri"/>
              </w:rPr>
            </w:pPr>
            <w:r>
              <w:rPr>
                <w:rFonts w:eastAsia="Calibri"/>
              </w:rPr>
              <w:t>On track</w:t>
            </w:r>
          </w:p>
        </w:tc>
      </w:tr>
      <w:tr w:rsidR="00451CC2" w14:paraId="368AD6A6" w14:textId="77777777" w:rsidTr="00DA620A">
        <w:trPr>
          <w:trHeight w:val="170"/>
          <w:jc w:val="center"/>
        </w:trPr>
        <w:tc>
          <w:tcPr>
            <w:tcW w:w="3541" w:type="dxa"/>
            <w:tcMar>
              <w:top w:w="0" w:type="dxa"/>
              <w:left w:w="100" w:type="dxa"/>
              <w:bottom w:w="0" w:type="dxa"/>
              <w:right w:w="100" w:type="dxa"/>
            </w:tcMar>
            <w:vAlign w:val="center"/>
          </w:tcPr>
          <w:p w14:paraId="74036AFA" w14:textId="77777777" w:rsidR="00451CC2" w:rsidRPr="00451CC2" w:rsidRDefault="00540671" w:rsidP="008A7CB8">
            <w:pPr>
              <w:pStyle w:val="Tabletext"/>
              <w:rPr>
                <w:rFonts w:eastAsia="Calibri"/>
              </w:rPr>
            </w:pPr>
            <w:r w:rsidRPr="00540671">
              <w:rPr>
                <w:rFonts w:eastAsia="Calibri"/>
                <w:b/>
              </w:rPr>
              <w:t>REFORM 2:</w:t>
            </w:r>
            <w:r w:rsidR="00451CC2" w:rsidRPr="00451CC2">
              <w:rPr>
                <w:rFonts w:eastAsia="Calibri"/>
              </w:rPr>
              <w:t xml:space="preserve"> Regulatory framework towards a smart grid</w:t>
            </w:r>
          </w:p>
        </w:tc>
        <w:tc>
          <w:tcPr>
            <w:tcW w:w="1423" w:type="dxa"/>
            <w:tcMar>
              <w:top w:w="0" w:type="dxa"/>
              <w:left w:w="100" w:type="dxa"/>
              <w:bottom w:w="0" w:type="dxa"/>
              <w:right w:w="100" w:type="dxa"/>
            </w:tcMar>
            <w:vAlign w:val="center"/>
          </w:tcPr>
          <w:p w14:paraId="422BEC6F" w14:textId="77777777" w:rsidR="00451CC2" w:rsidRDefault="00451CC2" w:rsidP="008A7CB8">
            <w:pPr>
              <w:pStyle w:val="Tabletext"/>
              <w:rPr>
                <w:rFonts w:eastAsia="Calibri"/>
              </w:rPr>
            </w:pPr>
            <w:r>
              <w:rPr>
                <w:rFonts w:eastAsia="Calibri"/>
              </w:rPr>
              <w:t>RRF 16991</w:t>
            </w:r>
          </w:p>
        </w:tc>
        <w:tc>
          <w:tcPr>
            <w:tcW w:w="1605" w:type="dxa"/>
            <w:tcMar>
              <w:top w:w="0" w:type="dxa"/>
              <w:left w:w="100" w:type="dxa"/>
              <w:bottom w:w="0" w:type="dxa"/>
              <w:right w:w="100" w:type="dxa"/>
            </w:tcMar>
            <w:vAlign w:val="center"/>
          </w:tcPr>
          <w:p w14:paraId="2A1A42A8" w14:textId="77777777" w:rsidR="00451CC2" w:rsidRPr="00451CC2" w:rsidRDefault="00451CC2" w:rsidP="008A7CB8">
            <w:pPr>
              <w:pStyle w:val="Tabletext"/>
              <w:rPr>
                <w:rFonts w:eastAsia="Calibri"/>
              </w:rPr>
            </w:pPr>
            <w:r w:rsidRPr="00451CC2">
              <w:rPr>
                <w:rFonts w:eastAsia="Calibri"/>
              </w:rPr>
              <w:t>2025 CSR 4.4</w:t>
            </w:r>
          </w:p>
          <w:p w14:paraId="4C7BE2D3" w14:textId="77777777" w:rsidR="00451CC2" w:rsidRPr="00451CC2" w:rsidRDefault="00451CC2" w:rsidP="008A7CB8">
            <w:pPr>
              <w:pStyle w:val="Tabletext"/>
              <w:rPr>
                <w:rFonts w:eastAsia="Calibri"/>
              </w:rPr>
            </w:pPr>
            <w:r w:rsidRPr="00451CC2">
              <w:rPr>
                <w:rFonts w:eastAsia="Calibri"/>
              </w:rPr>
              <w:t>2023 CSR 4.1 2023 CSR 4.3</w:t>
            </w:r>
            <w:r w:rsidRPr="00451CC2">
              <w:rPr>
                <w:rFonts w:eastAsia="Calibri"/>
              </w:rPr>
              <w:br/>
              <w:t>2023 CSR 4.4</w:t>
            </w:r>
            <w:r w:rsidRPr="00451CC2">
              <w:rPr>
                <w:rFonts w:eastAsia="Calibri"/>
              </w:rPr>
              <w:br/>
              <w:t>2022 CSR 4.1</w:t>
            </w:r>
            <w:r w:rsidRPr="00451CC2">
              <w:rPr>
                <w:rFonts w:eastAsia="Calibri"/>
              </w:rPr>
              <w:br/>
              <w:t>2022 CSR 4.2</w:t>
            </w:r>
            <w:r w:rsidRPr="00451CC2">
              <w:rPr>
                <w:rFonts w:eastAsia="Calibri"/>
              </w:rPr>
              <w:br/>
              <w:t>2022 CSR 4.4</w:t>
            </w:r>
            <w:r w:rsidRPr="00451CC2">
              <w:rPr>
                <w:rFonts w:eastAsia="Calibri"/>
              </w:rPr>
              <w:br/>
              <w:t>2020 CSR 3.5</w:t>
            </w:r>
            <w:r w:rsidRPr="00451CC2">
              <w:rPr>
                <w:rFonts w:eastAsia="Calibri"/>
              </w:rPr>
              <w:br/>
              <w:t>2019 CSR 2.2</w:t>
            </w:r>
          </w:p>
        </w:tc>
        <w:tc>
          <w:tcPr>
            <w:tcW w:w="1224" w:type="dxa"/>
            <w:tcMar>
              <w:top w:w="0" w:type="dxa"/>
              <w:left w:w="100" w:type="dxa"/>
              <w:bottom w:w="0" w:type="dxa"/>
              <w:right w:w="100" w:type="dxa"/>
            </w:tcMar>
            <w:vAlign w:val="center"/>
          </w:tcPr>
          <w:p w14:paraId="47B9908B" w14:textId="77777777" w:rsidR="00451CC2" w:rsidRDefault="00451CC2" w:rsidP="008A7CB8">
            <w:pPr>
              <w:pStyle w:val="Tabletext"/>
              <w:rPr>
                <w:rFonts w:eastAsia="Calibri"/>
              </w:rPr>
            </w:pPr>
            <w:r>
              <w:rPr>
                <w:rFonts w:eastAsia="Calibri"/>
              </w:rPr>
              <w:t>Energy Security</w:t>
            </w:r>
          </w:p>
        </w:tc>
        <w:tc>
          <w:tcPr>
            <w:tcW w:w="1140" w:type="dxa"/>
            <w:tcMar>
              <w:top w:w="0" w:type="dxa"/>
              <w:left w:w="100" w:type="dxa"/>
              <w:bottom w:w="0" w:type="dxa"/>
              <w:right w:w="100" w:type="dxa"/>
            </w:tcMar>
            <w:vAlign w:val="center"/>
          </w:tcPr>
          <w:p w14:paraId="34EB00CF" w14:textId="77777777" w:rsidR="00451CC2" w:rsidRDefault="00451CC2" w:rsidP="008A7CB8">
            <w:pPr>
              <w:pStyle w:val="Tabletext"/>
              <w:rPr>
                <w:rFonts w:eastAsia="Calibri"/>
              </w:rPr>
            </w:pPr>
            <w:r>
              <w:rPr>
                <w:rFonts w:eastAsia="Calibri"/>
              </w:rPr>
              <w:t>On track</w:t>
            </w:r>
          </w:p>
        </w:tc>
      </w:tr>
      <w:tr w:rsidR="00451CC2" w14:paraId="53B8DF12" w14:textId="77777777" w:rsidTr="00DA620A">
        <w:trPr>
          <w:trHeight w:val="170"/>
          <w:jc w:val="center"/>
        </w:trPr>
        <w:tc>
          <w:tcPr>
            <w:tcW w:w="3541" w:type="dxa"/>
            <w:tcMar>
              <w:top w:w="0" w:type="dxa"/>
              <w:left w:w="100" w:type="dxa"/>
              <w:bottom w:w="0" w:type="dxa"/>
              <w:right w:w="100" w:type="dxa"/>
            </w:tcMar>
            <w:vAlign w:val="center"/>
          </w:tcPr>
          <w:p w14:paraId="075962CB" w14:textId="77777777" w:rsidR="00451CC2" w:rsidRPr="00451CC2" w:rsidRDefault="00540671" w:rsidP="008A7CB8">
            <w:pPr>
              <w:pStyle w:val="Tabletext"/>
              <w:rPr>
                <w:rFonts w:eastAsia="Calibri"/>
              </w:rPr>
            </w:pPr>
            <w:r w:rsidRPr="00540671">
              <w:rPr>
                <w:rFonts w:eastAsia="Calibri"/>
                <w:b/>
              </w:rPr>
              <w:lastRenderedPageBreak/>
              <w:t>REFORM 3:</w:t>
            </w:r>
            <w:r w:rsidR="00451CC2" w:rsidRPr="00451CC2">
              <w:rPr>
                <w:rFonts w:eastAsia="Calibri"/>
              </w:rPr>
              <w:t xml:space="preserve"> Toolset to promote energy sharing, self-consumption and renewable Energy Communities</w:t>
            </w:r>
          </w:p>
        </w:tc>
        <w:tc>
          <w:tcPr>
            <w:tcW w:w="1423" w:type="dxa"/>
            <w:tcMar>
              <w:top w:w="0" w:type="dxa"/>
              <w:left w:w="100" w:type="dxa"/>
              <w:bottom w:w="0" w:type="dxa"/>
              <w:right w:w="100" w:type="dxa"/>
            </w:tcMar>
            <w:vAlign w:val="center"/>
          </w:tcPr>
          <w:p w14:paraId="0B2FB9FA" w14:textId="77777777" w:rsidR="00451CC2" w:rsidRDefault="00451CC2" w:rsidP="008A7CB8">
            <w:pPr>
              <w:pStyle w:val="Tabletext"/>
              <w:rPr>
                <w:rFonts w:eastAsia="Calibri"/>
              </w:rPr>
            </w:pPr>
            <w:r>
              <w:rPr>
                <w:rFonts w:eastAsia="Calibri"/>
              </w:rPr>
              <w:t>RRF 16992</w:t>
            </w:r>
          </w:p>
        </w:tc>
        <w:tc>
          <w:tcPr>
            <w:tcW w:w="1605" w:type="dxa"/>
            <w:tcMar>
              <w:top w:w="0" w:type="dxa"/>
              <w:left w:w="100" w:type="dxa"/>
              <w:bottom w:w="0" w:type="dxa"/>
              <w:right w:w="100" w:type="dxa"/>
            </w:tcMar>
            <w:vAlign w:val="center"/>
          </w:tcPr>
          <w:p w14:paraId="40FE5016" w14:textId="77777777" w:rsidR="00451CC2" w:rsidRPr="00451CC2" w:rsidRDefault="00451CC2" w:rsidP="008A7CB8">
            <w:pPr>
              <w:pStyle w:val="Tabletext"/>
              <w:rPr>
                <w:rFonts w:eastAsia="Calibri"/>
              </w:rPr>
            </w:pPr>
            <w:r w:rsidRPr="00451CC2">
              <w:rPr>
                <w:rFonts w:eastAsia="Calibri"/>
              </w:rPr>
              <w:t>2023 CSR 4.1</w:t>
            </w:r>
            <w:r w:rsidRPr="00451CC2">
              <w:rPr>
                <w:rFonts w:eastAsia="Calibri"/>
              </w:rPr>
              <w:br/>
              <w:t>2023 CSR 4.3</w:t>
            </w:r>
            <w:r w:rsidRPr="00451CC2">
              <w:rPr>
                <w:rFonts w:eastAsia="Calibri"/>
              </w:rPr>
              <w:br/>
              <w:t>2022 CSR 4.1</w:t>
            </w:r>
            <w:r w:rsidRPr="00451CC2">
              <w:rPr>
                <w:rFonts w:eastAsia="Calibri"/>
              </w:rPr>
              <w:br/>
              <w:t>2022 CSR 4.2</w:t>
            </w:r>
            <w:r w:rsidRPr="00451CC2">
              <w:rPr>
                <w:rFonts w:eastAsia="Calibri"/>
              </w:rPr>
              <w:br/>
              <w:t>2022 CSR 4.4</w:t>
            </w:r>
            <w:r w:rsidRPr="00451CC2">
              <w:rPr>
                <w:rFonts w:eastAsia="Calibri"/>
              </w:rPr>
              <w:br/>
              <w:t>2022 CSR 4.5</w:t>
            </w:r>
            <w:r w:rsidRPr="00451CC2">
              <w:rPr>
                <w:rFonts w:eastAsia="Calibri"/>
              </w:rPr>
              <w:br/>
              <w:t>2020 CSR 3.5</w:t>
            </w:r>
            <w:r w:rsidRPr="00451CC2">
              <w:rPr>
                <w:rFonts w:eastAsia="Calibri"/>
              </w:rPr>
              <w:br/>
              <w:t>2019 CSR 2.2</w:t>
            </w:r>
          </w:p>
        </w:tc>
        <w:tc>
          <w:tcPr>
            <w:tcW w:w="1224" w:type="dxa"/>
            <w:tcMar>
              <w:top w:w="0" w:type="dxa"/>
              <w:left w:w="100" w:type="dxa"/>
              <w:bottom w:w="0" w:type="dxa"/>
              <w:right w:w="100" w:type="dxa"/>
            </w:tcMar>
            <w:vAlign w:val="center"/>
          </w:tcPr>
          <w:p w14:paraId="77533288" w14:textId="77777777" w:rsidR="00451CC2" w:rsidRDefault="00451CC2" w:rsidP="008A7CB8">
            <w:pPr>
              <w:pStyle w:val="Tabletext"/>
              <w:rPr>
                <w:rFonts w:eastAsia="Calibri"/>
              </w:rPr>
            </w:pPr>
            <w:r>
              <w:rPr>
                <w:rFonts w:eastAsia="Calibri"/>
              </w:rPr>
              <w:t>Fair green &amp; digital transition</w:t>
            </w:r>
          </w:p>
        </w:tc>
        <w:tc>
          <w:tcPr>
            <w:tcW w:w="1140" w:type="dxa"/>
            <w:tcMar>
              <w:top w:w="0" w:type="dxa"/>
              <w:left w:w="100" w:type="dxa"/>
              <w:bottom w:w="0" w:type="dxa"/>
              <w:right w:w="100" w:type="dxa"/>
            </w:tcMar>
            <w:vAlign w:val="center"/>
          </w:tcPr>
          <w:p w14:paraId="4DC683BE" w14:textId="77777777" w:rsidR="00451CC2" w:rsidRDefault="00451CC2" w:rsidP="008A7CB8">
            <w:pPr>
              <w:pStyle w:val="Tabletext"/>
              <w:rPr>
                <w:rFonts w:eastAsia="Calibri"/>
              </w:rPr>
            </w:pPr>
            <w:r>
              <w:rPr>
                <w:rFonts w:eastAsia="Calibri"/>
              </w:rPr>
              <w:t>On track</w:t>
            </w:r>
          </w:p>
        </w:tc>
      </w:tr>
      <w:tr w:rsidR="00451CC2" w14:paraId="7A56A8C9" w14:textId="77777777" w:rsidTr="00DA620A">
        <w:trPr>
          <w:trHeight w:val="170"/>
          <w:jc w:val="center"/>
        </w:trPr>
        <w:tc>
          <w:tcPr>
            <w:tcW w:w="3541" w:type="dxa"/>
            <w:tcMar>
              <w:top w:w="0" w:type="dxa"/>
              <w:left w:w="100" w:type="dxa"/>
              <w:bottom w:w="0" w:type="dxa"/>
              <w:right w:w="100" w:type="dxa"/>
            </w:tcMar>
            <w:vAlign w:val="center"/>
          </w:tcPr>
          <w:p w14:paraId="7652A794" w14:textId="77777777" w:rsidR="00451CC2" w:rsidRPr="00451CC2" w:rsidRDefault="00540671" w:rsidP="008A7CB8">
            <w:pPr>
              <w:pStyle w:val="Tabletext"/>
              <w:rPr>
                <w:rFonts w:eastAsia="Calibri"/>
              </w:rPr>
            </w:pPr>
            <w:r w:rsidRPr="00540671">
              <w:rPr>
                <w:rFonts w:eastAsia="Calibri"/>
                <w:b/>
              </w:rPr>
              <w:t>REFORM 4:</w:t>
            </w:r>
            <w:r w:rsidR="00451CC2" w:rsidRPr="00451CC2">
              <w:rPr>
                <w:rFonts w:eastAsia="Calibri"/>
              </w:rPr>
              <w:t xml:space="preserve"> Roadmap for innovative energy efficiency interventions and identification of new financial instruments</w:t>
            </w:r>
          </w:p>
        </w:tc>
        <w:tc>
          <w:tcPr>
            <w:tcW w:w="1423" w:type="dxa"/>
            <w:tcMar>
              <w:top w:w="0" w:type="dxa"/>
              <w:left w:w="100" w:type="dxa"/>
              <w:bottom w:w="0" w:type="dxa"/>
              <w:right w:w="100" w:type="dxa"/>
            </w:tcMar>
            <w:vAlign w:val="center"/>
          </w:tcPr>
          <w:p w14:paraId="5BF3C423" w14:textId="77777777" w:rsidR="00451CC2" w:rsidRDefault="00451CC2" w:rsidP="008A7CB8">
            <w:pPr>
              <w:pStyle w:val="Tabletext"/>
              <w:rPr>
                <w:rFonts w:eastAsia="Calibri"/>
              </w:rPr>
            </w:pPr>
            <w:r>
              <w:rPr>
                <w:rFonts w:eastAsia="Calibri"/>
              </w:rPr>
              <w:t>RRF 16993</w:t>
            </w:r>
          </w:p>
        </w:tc>
        <w:tc>
          <w:tcPr>
            <w:tcW w:w="1605" w:type="dxa"/>
            <w:tcMar>
              <w:top w:w="0" w:type="dxa"/>
              <w:left w:w="100" w:type="dxa"/>
              <w:bottom w:w="0" w:type="dxa"/>
              <w:right w:w="100" w:type="dxa"/>
            </w:tcMar>
            <w:vAlign w:val="center"/>
          </w:tcPr>
          <w:p w14:paraId="31B857CB" w14:textId="77777777" w:rsidR="00451CC2" w:rsidRPr="00451CC2" w:rsidRDefault="00451CC2" w:rsidP="008A7CB8">
            <w:pPr>
              <w:pStyle w:val="Tabletext"/>
              <w:rPr>
                <w:rFonts w:eastAsia="Calibri"/>
              </w:rPr>
            </w:pPr>
            <w:r w:rsidRPr="00451CC2">
              <w:rPr>
                <w:rFonts w:eastAsia="Calibri"/>
              </w:rPr>
              <w:t>2023 CSR 4.1</w:t>
            </w:r>
            <w:r w:rsidRPr="00451CC2">
              <w:rPr>
                <w:rFonts w:eastAsia="Calibri"/>
              </w:rPr>
              <w:br/>
              <w:t>2023 CSR 4.4</w:t>
            </w:r>
            <w:r w:rsidRPr="00451CC2">
              <w:rPr>
                <w:rFonts w:eastAsia="Calibri"/>
              </w:rPr>
              <w:br/>
              <w:t>2022 CSR 4.1</w:t>
            </w:r>
            <w:r w:rsidRPr="00451CC2">
              <w:rPr>
                <w:rFonts w:eastAsia="Calibri"/>
              </w:rPr>
              <w:br/>
              <w:t>2022 CSR 4.4</w:t>
            </w:r>
            <w:r w:rsidRPr="00451CC2">
              <w:rPr>
                <w:rFonts w:eastAsia="Calibri"/>
              </w:rPr>
              <w:br/>
              <w:t>2022 CSR 4.5</w:t>
            </w:r>
            <w:r w:rsidRPr="00451CC2">
              <w:rPr>
                <w:rFonts w:eastAsia="Calibri"/>
              </w:rPr>
              <w:br/>
              <w:t>2020 CSR 3.4</w:t>
            </w:r>
            <w:r w:rsidRPr="00451CC2">
              <w:rPr>
                <w:rFonts w:eastAsia="Calibri"/>
              </w:rPr>
              <w:br/>
              <w:t>2019 CSR 2.2</w:t>
            </w:r>
          </w:p>
        </w:tc>
        <w:tc>
          <w:tcPr>
            <w:tcW w:w="1224" w:type="dxa"/>
            <w:tcMar>
              <w:top w:w="0" w:type="dxa"/>
              <w:left w:w="100" w:type="dxa"/>
              <w:bottom w:w="0" w:type="dxa"/>
              <w:right w:w="100" w:type="dxa"/>
            </w:tcMar>
            <w:vAlign w:val="center"/>
          </w:tcPr>
          <w:p w14:paraId="080CE1DD" w14:textId="77777777" w:rsidR="00451CC2" w:rsidRDefault="00451CC2" w:rsidP="008A7CB8">
            <w:pPr>
              <w:pStyle w:val="Tabletext"/>
              <w:rPr>
                <w:rFonts w:eastAsia="Calibri"/>
              </w:rPr>
            </w:pPr>
            <w:r>
              <w:rPr>
                <w:rFonts w:eastAsia="Calibri"/>
              </w:rPr>
              <w:t>Energy Security</w:t>
            </w:r>
          </w:p>
        </w:tc>
        <w:tc>
          <w:tcPr>
            <w:tcW w:w="1140" w:type="dxa"/>
            <w:tcMar>
              <w:top w:w="0" w:type="dxa"/>
              <w:left w:w="100" w:type="dxa"/>
              <w:bottom w:w="0" w:type="dxa"/>
              <w:right w:w="100" w:type="dxa"/>
            </w:tcMar>
            <w:vAlign w:val="center"/>
          </w:tcPr>
          <w:p w14:paraId="714189F6" w14:textId="77777777" w:rsidR="00451CC2" w:rsidRDefault="00451CC2" w:rsidP="008A7CB8">
            <w:pPr>
              <w:pStyle w:val="Tabletext"/>
              <w:rPr>
                <w:rFonts w:eastAsia="Calibri"/>
              </w:rPr>
            </w:pPr>
            <w:r>
              <w:rPr>
                <w:rFonts w:eastAsia="Calibri"/>
              </w:rPr>
              <w:t>On track</w:t>
            </w:r>
          </w:p>
        </w:tc>
      </w:tr>
      <w:tr w:rsidR="00451CC2" w14:paraId="21C6CD78" w14:textId="77777777" w:rsidTr="00DA620A">
        <w:trPr>
          <w:trHeight w:val="170"/>
          <w:jc w:val="center"/>
        </w:trPr>
        <w:tc>
          <w:tcPr>
            <w:tcW w:w="3541" w:type="dxa"/>
            <w:tcMar>
              <w:top w:w="0" w:type="dxa"/>
              <w:left w:w="100" w:type="dxa"/>
              <w:bottom w:w="0" w:type="dxa"/>
              <w:right w:w="100" w:type="dxa"/>
            </w:tcMar>
            <w:vAlign w:val="center"/>
          </w:tcPr>
          <w:p w14:paraId="69962220" w14:textId="77777777" w:rsidR="00451CC2" w:rsidRPr="00451CC2" w:rsidRDefault="00540671" w:rsidP="008A7CB8">
            <w:pPr>
              <w:pStyle w:val="Tabletext"/>
              <w:rPr>
                <w:rFonts w:eastAsia="Calibri"/>
              </w:rPr>
            </w:pPr>
            <w:r w:rsidRPr="00540671">
              <w:rPr>
                <w:rFonts w:eastAsia="Calibri"/>
                <w:b/>
              </w:rPr>
              <w:t>REFORM 5:</w:t>
            </w:r>
            <w:r w:rsidR="00451CC2" w:rsidRPr="00451CC2">
              <w:rPr>
                <w:rFonts w:eastAsia="Calibri"/>
              </w:rPr>
              <w:t xml:space="preserve"> Grid and storage capacity – fostering of storage investments</w:t>
            </w:r>
          </w:p>
        </w:tc>
        <w:tc>
          <w:tcPr>
            <w:tcW w:w="1423" w:type="dxa"/>
            <w:tcMar>
              <w:top w:w="0" w:type="dxa"/>
              <w:left w:w="100" w:type="dxa"/>
              <w:bottom w:w="0" w:type="dxa"/>
              <w:right w:w="100" w:type="dxa"/>
            </w:tcMar>
            <w:vAlign w:val="center"/>
          </w:tcPr>
          <w:p w14:paraId="3FA81040" w14:textId="77777777" w:rsidR="00451CC2" w:rsidRDefault="00451CC2" w:rsidP="008A7CB8">
            <w:pPr>
              <w:pStyle w:val="Tabletext"/>
              <w:rPr>
                <w:rFonts w:eastAsia="Calibri"/>
              </w:rPr>
            </w:pPr>
            <w:r>
              <w:rPr>
                <w:rFonts w:eastAsia="Calibri"/>
              </w:rPr>
              <w:t>RRF 16990</w:t>
            </w:r>
          </w:p>
        </w:tc>
        <w:tc>
          <w:tcPr>
            <w:tcW w:w="1605" w:type="dxa"/>
            <w:tcMar>
              <w:top w:w="0" w:type="dxa"/>
              <w:left w:w="100" w:type="dxa"/>
              <w:bottom w:w="0" w:type="dxa"/>
              <w:right w:w="100" w:type="dxa"/>
            </w:tcMar>
            <w:vAlign w:val="center"/>
          </w:tcPr>
          <w:p w14:paraId="2D842CEF" w14:textId="77777777" w:rsidR="00451CC2" w:rsidRPr="00451CC2" w:rsidRDefault="00451CC2" w:rsidP="008A7CB8">
            <w:pPr>
              <w:pStyle w:val="Tabletext"/>
              <w:rPr>
                <w:rFonts w:eastAsia="Calibri"/>
              </w:rPr>
            </w:pPr>
            <w:r w:rsidRPr="00451CC2">
              <w:rPr>
                <w:rFonts w:eastAsia="Calibri"/>
              </w:rPr>
              <w:t>2025 CSR 4.1</w:t>
            </w:r>
          </w:p>
          <w:p w14:paraId="42BCA3D1" w14:textId="77777777" w:rsidR="00451CC2" w:rsidRPr="00451CC2" w:rsidRDefault="00451CC2" w:rsidP="008A7CB8">
            <w:pPr>
              <w:pStyle w:val="Tabletext"/>
              <w:rPr>
                <w:rFonts w:eastAsia="Calibri"/>
              </w:rPr>
            </w:pPr>
            <w:r w:rsidRPr="00451CC2">
              <w:rPr>
                <w:rFonts w:eastAsia="Calibri"/>
              </w:rPr>
              <w:t>2025 CSR 4.4</w:t>
            </w:r>
          </w:p>
          <w:p w14:paraId="59E55E58" w14:textId="77777777" w:rsidR="00451CC2" w:rsidRPr="00451CC2" w:rsidRDefault="00451CC2" w:rsidP="008A7CB8">
            <w:pPr>
              <w:pStyle w:val="Tabletext"/>
              <w:rPr>
                <w:rFonts w:eastAsia="Calibri"/>
              </w:rPr>
            </w:pPr>
            <w:r w:rsidRPr="00451CC2">
              <w:rPr>
                <w:rFonts w:eastAsia="Calibri"/>
              </w:rPr>
              <w:t>2023 CSR 4.1</w:t>
            </w:r>
            <w:r w:rsidRPr="00451CC2">
              <w:rPr>
                <w:rFonts w:eastAsia="Calibri"/>
              </w:rPr>
              <w:br/>
              <w:t>2023 CSR 4.3</w:t>
            </w:r>
            <w:r w:rsidRPr="00451CC2">
              <w:rPr>
                <w:rFonts w:eastAsia="Calibri"/>
              </w:rPr>
              <w:br/>
              <w:t>2022 CSR 4.1</w:t>
            </w:r>
            <w:r w:rsidRPr="00451CC2">
              <w:rPr>
                <w:rFonts w:eastAsia="Calibri"/>
              </w:rPr>
              <w:br/>
              <w:t>2022 CSR 4.2</w:t>
            </w:r>
            <w:r w:rsidRPr="00451CC2">
              <w:rPr>
                <w:rFonts w:eastAsia="Calibri"/>
              </w:rPr>
              <w:br/>
              <w:t>2022 CSR 4.3</w:t>
            </w:r>
            <w:r w:rsidRPr="00451CC2">
              <w:rPr>
                <w:rFonts w:eastAsia="Calibri"/>
              </w:rPr>
              <w:br/>
              <w:t>2020 CSR 3.5</w:t>
            </w:r>
            <w:r w:rsidRPr="00451CC2">
              <w:rPr>
                <w:rFonts w:eastAsia="Calibri"/>
              </w:rPr>
              <w:br/>
              <w:t>2019 CSR 2.2</w:t>
            </w:r>
          </w:p>
        </w:tc>
        <w:tc>
          <w:tcPr>
            <w:tcW w:w="1224" w:type="dxa"/>
            <w:tcMar>
              <w:top w:w="0" w:type="dxa"/>
              <w:left w:w="100" w:type="dxa"/>
              <w:bottom w:w="0" w:type="dxa"/>
              <w:right w:w="100" w:type="dxa"/>
            </w:tcMar>
            <w:vAlign w:val="center"/>
          </w:tcPr>
          <w:p w14:paraId="4F613281" w14:textId="77777777" w:rsidR="00451CC2" w:rsidRDefault="00451CC2" w:rsidP="008A7CB8">
            <w:pPr>
              <w:pStyle w:val="Tabletext"/>
              <w:rPr>
                <w:rFonts w:eastAsia="Calibri"/>
              </w:rPr>
            </w:pPr>
            <w:r>
              <w:rPr>
                <w:rFonts w:eastAsia="Calibri"/>
              </w:rPr>
              <w:t>Energy Security</w:t>
            </w:r>
          </w:p>
        </w:tc>
        <w:tc>
          <w:tcPr>
            <w:tcW w:w="1140" w:type="dxa"/>
            <w:tcMar>
              <w:top w:w="0" w:type="dxa"/>
              <w:left w:w="100" w:type="dxa"/>
              <w:bottom w:w="0" w:type="dxa"/>
              <w:right w:w="100" w:type="dxa"/>
            </w:tcMar>
            <w:vAlign w:val="center"/>
          </w:tcPr>
          <w:p w14:paraId="5EDB6537" w14:textId="77777777" w:rsidR="00451CC2" w:rsidRDefault="00451CC2" w:rsidP="008A7CB8">
            <w:pPr>
              <w:pStyle w:val="Tabletext"/>
              <w:rPr>
                <w:rFonts w:eastAsia="Calibri"/>
              </w:rPr>
            </w:pPr>
            <w:r>
              <w:rPr>
                <w:rFonts w:eastAsia="Calibri"/>
              </w:rPr>
              <w:t>Completed</w:t>
            </w:r>
          </w:p>
        </w:tc>
      </w:tr>
      <w:tr w:rsidR="00451CC2" w14:paraId="778AAE46" w14:textId="77777777" w:rsidTr="00DA620A">
        <w:trPr>
          <w:trHeight w:val="170"/>
          <w:jc w:val="center"/>
        </w:trPr>
        <w:tc>
          <w:tcPr>
            <w:tcW w:w="3541" w:type="dxa"/>
            <w:tcMar>
              <w:top w:w="0" w:type="dxa"/>
              <w:left w:w="100" w:type="dxa"/>
              <w:bottom w:w="0" w:type="dxa"/>
              <w:right w:w="100" w:type="dxa"/>
            </w:tcMar>
            <w:vAlign w:val="center"/>
          </w:tcPr>
          <w:p w14:paraId="62C529F1" w14:textId="77777777" w:rsidR="00451CC2" w:rsidRPr="00451CC2" w:rsidRDefault="00540671" w:rsidP="008A7CB8">
            <w:pPr>
              <w:pStyle w:val="Tabletext"/>
              <w:rPr>
                <w:rFonts w:eastAsia="Calibri"/>
              </w:rPr>
            </w:pPr>
            <w:r w:rsidRPr="00540671">
              <w:rPr>
                <w:rFonts w:eastAsia="Calibri"/>
                <w:b/>
              </w:rPr>
              <w:t>REFORM 6:</w:t>
            </w:r>
            <w:r w:rsidR="00451CC2" w:rsidRPr="00451CC2">
              <w:rPr>
                <w:rFonts w:eastAsia="Calibri"/>
              </w:rPr>
              <w:t xml:space="preserve"> Restructuring and enhancement of the Renewable Energy Sources-Combined Heat and Power (RES-CHP) Account revenues</w:t>
            </w:r>
          </w:p>
        </w:tc>
        <w:tc>
          <w:tcPr>
            <w:tcW w:w="1423" w:type="dxa"/>
            <w:tcMar>
              <w:top w:w="0" w:type="dxa"/>
              <w:left w:w="100" w:type="dxa"/>
              <w:bottom w:w="0" w:type="dxa"/>
              <w:right w:w="100" w:type="dxa"/>
            </w:tcMar>
            <w:vAlign w:val="center"/>
          </w:tcPr>
          <w:p w14:paraId="40E6E8FA" w14:textId="77777777" w:rsidR="00451CC2" w:rsidRDefault="00451CC2" w:rsidP="008A7CB8">
            <w:pPr>
              <w:pStyle w:val="Tabletext"/>
              <w:rPr>
                <w:rFonts w:eastAsia="Calibri"/>
              </w:rPr>
            </w:pPr>
            <w:r>
              <w:rPr>
                <w:rFonts w:eastAsia="Calibri"/>
              </w:rPr>
              <w:t>RRF 16865</w:t>
            </w:r>
          </w:p>
        </w:tc>
        <w:tc>
          <w:tcPr>
            <w:tcW w:w="1605" w:type="dxa"/>
            <w:tcMar>
              <w:top w:w="0" w:type="dxa"/>
              <w:left w:w="100" w:type="dxa"/>
              <w:bottom w:w="0" w:type="dxa"/>
              <w:right w:w="100" w:type="dxa"/>
            </w:tcMar>
            <w:vAlign w:val="center"/>
          </w:tcPr>
          <w:p w14:paraId="7584A445" w14:textId="77777777" w:rsidR="00451CC2" w:rsidRPr="00451CC2" w:rsidRDefault="00451CC2" w:rsidP="008A7CB8">
            <w:pPr>
              <w:pStyle w:val="Tabletext"/>
              <w:rPr>
                <w:rFonts w:eastAsia="Calibri"/>
              </w:rPr>
            </w:pPr>
            <w:r w:rsidRPr="00451CC2">
              <w:rPr>
                <w:rFonts w:eastAsia="Calibri"/>
              </w:rPr>
              <w:t>2023 CSR 4.1</w:t>
            </w:r>
            <w:r w:rsidRPr="00451CC2">
              <w:rPr>
                <w:rFonts w:eastAsia="Calibri"/>
              </w:rPr>
              <w:br/>
              <w:t>2023 CSR 4.3</w:t>
            </w:r>
            <w:r w:rsidRPr="00451CC2">
              <w:rPr>
                <w:rFonts w:eastAsia="Calibri"/>
              </w:rPr>
              <w:br/>
              <w:t>2022 CSR 4.1</w:t>
            </w:r>
            <w:r w:rsidRPr="00451CC2">
              <w:rPr>
                <w:rFonts w:eastAsia="Calibri"/>
              </w:rPr>
              <w:br/>
              <w:t>2022 CSR 4.2</w:t>
            </w:r>
            <w:r w:rsidRPr="00451CC2">
              <w:rPr>
                <w:rFonts w:eastAsia="Calibri"/>
              </w:rPr>
              <w:br/>
              <w:t>2020 CSR 1.1</w:t>
            </w:r>
            <w:r w:rsidRPr="00451CC2">
              <w:rPr>
                <w:rFonts w:eastAsia="Calibri"/>
              </w:rPr>
              <w:br/>
              <w:t>2020 CSR 3.3</w:t>
            </w:r>
            <w:r w:rsidRPr="00451CC2">
              <w:rPr>
                <w:rFonts w:eastAsia="Calibri"/>
              </w:rPr>
              <w:br/>
              <w:t>2020 CSR 3.5</w:t>
            </w:r>
            <w:r w:rsidRPr="00451CC2">
              <w:rPr>
                <w:rFonts w:eastAsia="Calibri"/>
              </w:rPr>
              <w:br/>
              <w:t>2019 CSR 2.2</w:t>
            </w:r>
          </w:p>
        </w:tc>
        <w:tc>
          <w:tcPr>
            <w:tcW w:w="1224" w:type="dxa"/>
            <w:tcMar>
              <w:top w:w="0" w:type="dxa"/>
              <w:left w:w="100" w:type="dxa"/>
              <w:bottom w:w="0" w:type="dxa"/>
              <w:right w:w="100" w:type="dxa"/>
            </w:tcMar>
            <w:vAlign w:val="center"/>
          </w:tcPr>
          <w:p w14:paraId="7C9EE904" w14:textId="77777777" w:rsidR="00451CC2" w:rsidRDefault="00451CC2" w:rsidP="008A7CB8">
            <w:pPr>
              <w:pStyle w:val="Tabletext"/>
              <w:rPr>
                <w:rFonts w:eastAsia="Calibri"/>
              </w:rPr>
            </w:pPr>
            <w:r>
              <w:rPr>
                <w:rFonts w:eastAsia="Calibri"/>
              </w:rPr>
              <w:t>Energy Security</w:t>
            </w:r>
          </w:p>
        </w:tc>
        <w:tc>
          <w:tcPr>
            <w:tcW w:w="1140" w:type="dxa"/>
            <w:tcMar>
              <w:top w:w="0" w:type="dxa"/>
              <w:left w:w="100" w:type="dxa"/>
              <w:bottom w:w="0" w:type="dxa"/>
              <w:right w:w="100" w:type="dxa"/>
            </w:tcMar>
            <w:vAlign w:val="center"/>
          </w:tcPr>
          <w:p w14:paraId="775E4BB1" w14:textId="77777777" w:rsidR="00451CC2" w:rsidRDefault="00451CC2" w:rsidP="008A7CB8">
            <w:pPr>
              <w:pStyle w:val="Tabletext"/>
              <w:rPr>
                <w:rFonts w:eastAsia="Calibri"/>
              </w:rPr>
            </w:pPr>
            <w:r>
              <w:rPr>
                <w:rFonts w:eastAsia="Calibri"/>
              </w:rPr>
              <w:t>Completed</w:t>
            </w:r>
          </w:p>
        </w:tc>
      </w:tr>
      <w:tr w:rsidR="00451CC2" w14:paraId="44C48C3D" w14:textId="77777777" w:rsidTr="00DA620A">
        <w:trPr>
          <w:trHeight w:val="170"/>
          <w:jc w:val="center"/>
        </w:trPr>
        <w:tc>
          <w:tcPr>
            <w:tcW w:w="3541" w:type="dxa"/>
            <w:tcMar>
              <w:top w:w="0" w:type="dxa"/>
              <w:left w:w="100" w:type="dxa"/>
              <w:bottom w:w="0" w:type="dxa"/>
              <w:right w:w="100" w:type="dxa"/>
            </w:tcMar>
            <w:vAlign w:val="center"/>
          </w:tcPr>
          <w:p w14:paraId="1E4C9FB4" w14:textId="77777777" w:rsidR="00451CC2" w:rsidRPr="00451CC2" w:rsidRDefault="00540671" w:rsidP="008A7CB8">
            <w:pPr>
              <w:pStyle w:val="Tabletext"/>
              <w:rPr>
                <w:rFonts w:eastAsia="Calibri"/>
              </w:rPr>
            </w:pPr>
            <w:r w:rsidRPr="00540671">
              <w:rPr>
                <w:rFonts w:eastAsia="Calibri"/>
                <w:b/>
              </w:rPr>
              <w:t>REFORM 7:</w:t>
            </w:r>
            <w:r w:rsidR="00451CC2" w:rsidRPr="00451CC2">
              <w:rPr>
                <w:rFonts w:eastAsia="Calibri"/>
              </w:rPr>
              <w:t xml:space="preserve"> Establishment of new special spatial planning framework for renewable energy, industry, tourism and aquaculture</w:t>
            </w:r>
          </w:p>
        </w:tc>
        <w:tc>
          <w:tcPr>
            <w:tcW w:w="1423" w:type="dxa"/>
            <w:tcMar>
              <w:top w:w="0" w:type="dxa"/>
              <w:left w:w="100" w:type="dxa"/>
              <w:bottom w:w="0" w:type="dxa"/>
              <w:right w:w="100" w:type="dxa"/>
            </w:tcMar>
            <w:vAlign w:val="center"/>
          </w:tcPr>
          <w:p w14:paraId="7C9781FF" w14:textId="77777777" w:rsidR="00451CC2" w:rsidRDefault="00451CC2" w:rsidP="008A7CB8">
            <w:pPr>
              <w:pStyle w:val="Tabletext"/>
              <w:rPr>
                <w:rFonts w:eastAsia="Calibri"/>
              </w:rPr>
            </w:pPr>
            <w:r>
              <w:rPr>
                <w:rFonts w:eastAsia="Calibri"/>
              </w:rPr>
              <w:t>RRF 16894 /</w:t>
            </w:r>
            <w:r>
              <w:rPr>
                <w:rFonts w:eastAsia="Calibri"/>
              </w:rPr>
              <w:br/>
              <w:t xml:space="preserve">  MFF</w:t>
            </w:r>
          </w:p>
        </w:tc>
        <w:tc>
          <w:tcPr>
            <w:tcW w:w="1605" w:type="dxa"/>
            <w:tcMar>
              <w:top w:w="0" w:type="dxa"/>
              <w:left w:w="100" w:type="dxa"/>
              <w:bottom w:w="0" w:type="dxa"/>
              <w:right w:w="100" w:type="dxa"/>
            </w:tcMar>
            <w:vAlign w:val="center"/>
          </w:tcPr>
          <w:p w14:paraId="5B630A06" w14:textId="77777777" w:rsidR="00451CC2" w:rsidRPr="00451CC2" w:rsidRDefault="00451CC2" w:rsidP="008A7CB8">
            <w:pPr>
              <w:pStyle w:val="Tabletext"/>
              <w:rPr>
                <w:rFonts w:eastAsia="Calibri"/>
              </w:rPr>
            </w:pPr>
            <w:r w:rsidRPr="00451CC2">
              <w:rPr>
                <w:rFonts w:eastAsia="Calibri"/>
              </w:rPr>
              <w:t>2024 CSR 1.7</w:t>
            </w:r>
            <w:r w:rsidRPr="00451CC2">
              <w:rPr>
                <w:rFonts w:eastAsia="Calibri"/>
              </w:rPr>
              <w:br/>
              <w:t>2022 CSR 4.1</w:t>
            </w:r>
            <w:r w:rsidRPr="00451CC2">
              <w:rPr>
                <w:rFonts w:eastAsia="Calibri"/>
              </w:rPr>
              <w:br/>
              <w:t>2022 CSR 4.2</w:t>
            </w:r>
            <w:r w:rsidRPr="00451CC2">
              <w:rPr>
                <w:rFonts w:eastAsia="Calibri"/>
              </w:rPr>
              <w:br/>
              <w:t>2020 CSR 3.5</w:t>
            </w:r>
            <w:r w:rsidRPr="00451CC2">
              <w:rPr>
                <w:rFonts w:eastAsia="Calibri"/>
              </w:rPr>
              <w:br/>
              <w:t>2019 CSR 2.2</w:t>
            </w:r>
          </w:p>
        </w:tc>
        <w:tc>
          <w:tcPr>
            <w:tcW w:w="1224" w:type="dxa"/>
            <w:tcMar>
              <w:top w:w="0" w:type="dxa"/>
              <w:left w:w="100" w:type="dxa"/>
              <w:bottom w:w="0" w:type="dxa"/>
              <w:right w:w="100" w:type="dxa"/>
            </w:tcMar>
            <w:vAlign w:val="center"/>
          </w:tcPr>
          <w:p w14:paraId="018461B9" w14:textId="77777777" w:rsidR="00451CC2" w:rsidRDefault="00451CC2" w:rsidP="008A7CB8">
            <w:pPr>
              <w:pStyle w:val="Tabletext"/>
              <w:rPr>
                <w:rFonts w:eastAsia="Calibri"/>
              </w:rPr>
            </w:pPr>
            <w:r>
              <w:rPr>
                <w:rFonts w:eastAsia="Calibri"/>
              </w:rPr>
              <w:t>Fair green &amp; digital transition</w:t>
            </w:r>
          </w:p>
        </w:tc>
        <w:tc>
          <w:tcPr>
            <w:tcW w:w="1140" w:type="dxa"/>
            <w:tcMar>
              <w:top w:w="0" w:type="dxa"/>
              <w:left w:w="100" w:type="dxa"/>
              <w:bottom w:w="0" w:type="dxa"/>
              <w:right w:w="100" w:type="dxa"/>
            </w:tcMar>
            <w:vAlign w:val="center"/>
          </w:tcPr>
          <w:p w14:paraId="4EA5AC01" w14:textId="77777777" w:rsidR="00451CC2" w:rsidRDefault="00451CC2" w:rsidP="008A7CB8">
            <w:pPr>
              <w:pStyle w:val="Tabletext"/>
              <w:rPr>
                <w:rFonts w:eastAsia="Calibri"/>
              </w:rPr>
            </w:pPr>
            <w:r>
              <w:rPr>
                <w:rFonts w:eastAsia="Calibri"/>
              </w:rPr>
              <w:t>On track</w:t>
            </w:r>
          </w:p>
        </w:tc>
      </w:tr>
      <w:tr w:rsidR="00451CC2" w14:paraId="27680711" w14:textId="77777777" w:rsidTr="00DA620A">
        <w:trPr>
          <w:trHeight w:val="170"/>
          <w:jc w:val="center"/>
        </w:trPr>
        <w:tc>
          <w:tcPr>
            <w:tcW w:w="3541" w:type="dxa"/>
            <w:tcMar>
              <w:top w:w="0" w:type="dxa"/>
              <w:left w:w="100" w:type="dxa"/>
              <w:bottom w:w="0" w:type="dxa"/>
              <w:right w:w="100" w:type="dxa"/>
            </w:tcMar>
            <w:vAlign w:val="center"/>
          </w:tcPr>
          <w:p w14:paraId="4344D85A" w14:textId="77777777" w:rsidR="00451CC2" w:rsidRPr="00451CC2" w:rsidRDefault="00540671" w:rsidP="008A7CB8">
            <w:pPr>
              <w:pStyle w:val="Tabletext"/>
              <w:rPr>
                <w:rFonts w:eastAsia="Calibri"/>
              </w:rPr>
            </w:pPr>
            <w:r w:rsidRPr="00540671">
              <w:rPr>
                <w:rFonts w:eastAsia="Calibri"/>
                <w:b/>
              </w:rPr>
              <w:t>REFORM 8:</w:t>
            </w:r>
            <w:r w:rsidR="00451CC2" w:rsidRPr="00451CC2">
              <w:rPr>
                <w:rFonts w:eastAsia="Calibri"/>
              </w:rPr>
              <w:t xml:space="preserve"> Preparation of Urban Plans in implementation of the urban policy reform</w:t>
            </w:r>
          </w:p>
        </w:tc>
        <w:tc>
          <w:tcPr>
            <w:tcW w:w="1423" w:type="dxa"/>
            <w:tcMar>
              <w:top w:w="0" w:type="dxa"/>
              <w:left w:w="100" w:type="dxa"/>
              <w:bottom w:w="0" w:type="dxa"/>
              <w:right w:w="100" w:type="dxa"/>
            </w:tcMar>
            <w:vAlign w:val="center"/>
          </w:tcPr>
          <w:p w14:paraId="432CC684" w14:textId="77777777" w:rsidR="00451CC2" w:rsidRDefault="00451CC2" w:rsidP="008A7CB8">
            <w:pPr>
              <w:pStyle w:val="Tabletext"/>
              <w:rPr>
                <w:rFonts w:eastAsia="Calibri"/>
              </w:rPr>
            </w:pPr>
            <w:r>
              <w:rPr>
                <w:rFonts w:eastAsia="Calibri"/>
              </w:rPr>
              <w:t>RRF 16879</w:t>
            </w:r>
          </w:p>
        </w:tc>
        <w:tc>
          <w:tcPr>
            <w:tcW w:w="1605" w:type="dxa"/>
            <w:tcMar>
              <w:top w:w="0" w:type="dxa"/>
              <w:left w:w="100" w:type="dxa"/>
              <w:bottom w:w="0" w:type="dxa"/>
              <w:right w:w="100" w:type="dxa"/>
            </w:tcMar>
            <w:vAlign w:val="center"/>
          </w:tcPr>
          <w:p w14:paraId="27C89D48" w14:textId="77777777" w:rsidR="00451CC2" w:rsidRDefault="00451CC2" w:rsidP="008A7CB8">
            <w:pPr>
              <w:pStyle w:val="Tabletext"/>
              <w:rPr>
                <w:rFonts w:eastAsia="Calibri"/>
              </w:rPr>
            </w:pPr>
            <w:r>
              <w:rPr>
                <w:rFonts w:eastAsia="Calibri"/>
              </w:rPr>
              <w:t>2024 CSR 1.7</w:t>
            </w:r>
            <w:r>
              <w:rPr>
                <w:rFonts w:eastAsia="Calibri"/>
              </w:rPr>
              <w:br/>
              <w:t>2019 CSR 2.9</w:t>
            </w:r>
          </w:p>
        </w:tc>
        <w:tc>
          <w:tcPr>
            <w:tcW w:w="1224" w:type="dxa"/>
            <w:tcMar>
              <w:top w:w="0" w:type="dxa"/>
              <w:left w:w="100" w:type="dxa"/>
              <w:bottom w:w="0" w:type="dxa"/>
              <w:right w:w="100" w:type="dxa"/>
            </w:tcMar>
            <w:vAlign w:val="center"/>
          </w:tcPr>
          <w:p w14:paraId="56469923" w14:textId="77777777" w:rsidR="00451CC2" w:rsidRDefault="00451CC2" w:rsidP="008A7CB8">
            <w:pPr>
              <w:pStyle w:val="Tabletext"/>
              <w:rPr>
                <w:rFonts w:eastAsia="Calibri"/>
              </w:rPr>
            </w:pPr>
            <w:r>
              <w:rPr>
                <w:rFonts w:eastAsia="Calibri"/>
              </w:rPr>
              <w:t>Fair green &amp; digital transition</w:t>
            </w:r>
          </w:p>
        </w:tc>
        <w:tc>
          <w:tcPr>
            <w:tcW w:w="1140" w:type="dxa"/>
            <w:tcMar>
              <w:top w:w="0" w:type="dxa"/>
              <w:left w:w="100" w:type="dxa"/>
              <w:bottom w:w="0" w:type="dxa"/>
              <w:right w:w="100" w:type="dxa"/>
            </w:tcMar>
            <w:vAlign w:val="center"/>
          </w:tcPr>
          <w:p w14:paraId="6D6DC694" w14:textId="77777777" w:rsidR="00451CC2" w:rsidRDefault="00451CC2" w:rsidP="008A7CB8">
            <w:pPr>
              <w:pStyle w:val="Tabletext"/>
              <w:rPr>
                <w:rFonts w:eastAsia="Calibri"/>
              </w:rPr>
            </w:pPr>
            <w:r>
              <w:rPr>
                <w:rFonts w:eastAsia="Calibri"/>
              </w:rPr>
              <w:t>On track</w:t>
            </w:r>
          </w:p>
        </w:tc>
      </w:tr>
      <w:tr w:rsidR="00451CC2" w14:paraId="1FF1D860" w14:textId="77777777" w:rsidTr="00DA620A">
        <w:trPr>
          <w:trHeight w:val="170"/>
          <w:jc w:val="center"/>
        </w:trPr>
        <w:tc>
          <w:tcPr>
            <w:tcW w:w="3541" w:type="dxa"/>
            <w:tcMar>
              <w:top w:w="0" w:type="dxa"/>
              <w:left w:w="100" w:type="dxa"/>
              <w:bottom w:w="0" w:type="dxa"/>
              <w:right w:w="100" w:type="dxa"/>
            </w:tcMar>
            <w:vAlign w:val="center"/>
          </w:tcPr>
          <w:p w14:paraId="5CE3CED9" w14:textId="77777777" w:rsidR="00451CC2" w:rsidRPr="00451CC2" w:rsidRDefault="00540671" w:rsidP="008A7CB8">
            <w:pPr>
              <w:pStyle w:val="Tabletext"/>
              <w:rPr>
                <w:rFonts w:eastAsia="Calibri"/>
                <w:highlight w:val="white"/>
              </w:rPr>
            </w:pPr>
            <w:r w:rsidRPr="00540671">
              <w:rPr>
                <w:rFonts w:eastAsia="Calibri"/>
                <w:b/>
                <w:highlight w:val="white"/>
              </w:rPr>
              <w:t>REFORM 9:</w:t>
            </w:r>
            <w:r w:rsidR="00451CC2" w:rsidRPr="00451CC2">
              <w:rPr>
                <w:rFonts w:eastAsia="Calibri"/>
                <w:highlight w:val="white"/>
              </w:rPr>
              <w:t xml:space="preserve"> Establishment of Decarbonization Fund for the Greek islands and utilization of its resources.</w:t>
            </w:r>
          </w:p>
        </w:tc>
        <w:tc>
          <w:tcPr>
            <w:tcW w:w="1423" w:type="dxa"/>
            <w:tcMar>
              <w:top w:w="0" w:type="dxa"/>
              <w:left w:w="100" w:type="dxa"/>
              <w:bottom w:w="0" w:type="dxa"/>
              <w:right w:w="100" w:type="dxa"/>
            </w:tcMar>
            <w:vAlign w:val="center"/>
          </w:tcPr>
          <w:p w14:paraId="2A833319" w14:textId="77777777" w:rsidR="00451CC2" w:rsidRDefault="00451CC2" w:rsidP="008A7CB8">
            <w:pPr>
              <w:pStyle w:val="Tabletext"/>
              <w:rPr>
                <w:rFonts w:eastAsia="Calibri"/>
                <w:highlight w:val="white"/>
              </w:rPr>
            </w:pPr>
            <w:r>
              <w:rPr>
                <w:rFonts w:eastAsia="Calibri"/>
                <w:highlight w:val="white"/>
              </w:rPr>
              <w:t>-</w:t>
            </w:r>
          </w:p>
        </w:tc>
        <w:tc>
          <w:tcPr>
            <w:tcW w:w="1605" w:type="dxa"/>
            <w:tcMar>
              <w:top w:w="0" w:type="dxa"/>
              <w:left w:w="100" w:type="dxa"/>
              <w:bottom w:w="0" w:type="dxa"/>
              <w:right w:w="100" w:type="dxa"/>
            </w:tcMar>
            <w:vAlign w:val="center"/>
          </w:tcPr>
          <w:p w14:paraId="064C1EE0" w14:textId="77777777" w:rsidR="00451CC2" w:rsidRDefault="00451CC2" w:rsidP="008A7CB8">
            <w:pPr>
              <w:pStyle w:val="Tabletext"/>
              <w:rPr>
                <w:rFonts w:eastAsia="Calibri"/>
                <w:highlight w:val="white"/>
              </w:rPr>
            </w:pPr>
            <w:r>
              <w:rPr>
                <w:rFonts w:eastAsia="Calibri"/>
                <w:highlight w:val="white"/>
              </w:rPr>
              <w:t>2023 CSR 4.2</w:t>
            </w:r>
          </w:p>
        </w:tc>
        <w:tc>
          <w:tcPr>
            <w:tcW w:w="1224" w:type="dxa"/>
            <w:tcMar>
              <w:top w:w="0" w:type="dxa"/>
              <w:left w:w="100" w:type="dxa"/>
              <w:bottom w:w="0" w:type="dxa"/>
              <w:right w:w="100" w:type="dxa"/>
            </w:tcMar>
            <w:vAlign w:val="center"/>
          </w:tcPr>
          <w:p w14:paraId="31493438" w14:textId="77777777" w:rsidR="00451CC2" w:rsidRDefault="00451CC2" w:rsidP="008A7CB8">
            <w:pPr>
              <w:pStyle w:val="Tabletext"/>
              <w:rPr>
                <w:rFonts w:eastAsia="Calibri"/>
                <w:highlight w:val="white"/>
              </w:rPr>
            </w:pPr>
            <w:r>
              <w:rPr>
                <w:rFonts w:eastAsia="Calibri"/>
                <w:highlight w:val="white"/>
              </w:rPr>
              <w:t>Fair green &amp; digital transition</w:t>
            </w:r>
          </w:p>
        </w:tc>
        <w:tc>
          <w:tcPr>
            <w:tcW w:w="1140" w:type="dxa"/>
            <w:tcMar>
              <w:top w:w="0" w:type="dxa"/>
              <w:left w:w="100" w:type="dxa"/>
              <w:bottom w:w="0" w:type="dxa"/>
              <w:right w:w="100" w:type="dxa"/>
            </w:tcMar>
            <w:vAlign w:val="center"/>
          </w:tcPr>
          <w:p w14:paraId="60650EB3" w14:textId="77777777" w:rsidR="00451CC2" w:rsidRDefault="00451CC2" w:rsidP="008A7CB8">
            <w:pPr>
              <w:pStyle w:val="Tabletext"/>
              <w:rPr>
                <w:rFonts w:eastAsia="Calibri"/>
              </w:rPr>
            </w:pPr>
            <w:r>
              <w:rPr>
                <w:rFonts w:eastAsia="Calibri"/>
              </w:rPr>
              <w:t>On track</w:t>
            </w:r>
          </w:p>
        </w:tc>
      </w:tr>
      <w:tr w:rsidR="00451CC2" w14:paraId="377A9FA0" w14:textId="77777777" w:rsidTr="00DA620A">
        <w:trPr>
          <w:trHeight w:val="170"/>
          <w:jc w:val="center"/>
        </w:trPr>
        <w:tc>
          <w:tcPr>
            <w:tcW w:w="3541" w:type="dxa"/>
            <w:tcMar>
              <w:top w:w="0" w:type="dxa"/>
              <w:left w:w="100" w:type="dxa"/>
              <w:bottom w:w="0" w:type="dxa"/>
              <w:right w:w="100" w:type="dxa"/>
            </w:tcMar>
            <w:vAlign w:val="center"/>
          </w:tcPr>
          <w:p w14:paraId="1C068B35" w14:textId="77777777" w:rsidR="00451CC2" w:rsidRPr="00451CC2" w:rsidRDefault="00540671" w:rsidP="008A7CB8">
            <w:pPr>
              <w:pStyle w:val="Tabletext"/>
              <w:rPr>
                <w:rFonts w:eastAsia="Calibri"/>
                <w:highlight w:val="white"/>
              </w:rPr>
            </w:pPr>
            <w:r w:rsidRPr="00540671">
              <w:rPr>
                <w:rFonts w:eastAsia="Calibri"/>
                <w:b/>
                <w:highlight w:val="white"/>
              </w:rPr>
              <w:t>REFORM 10:</w:t>
            </w:r>
            <w:r w:rsidR="00451CC2" w:rsidRPr="00451CC2">
              <w:rPr>
                <w:rFonts w:eastAsia="Calibri"/>
                <w:highlight w:val="white"/>
              </w:rPr>
              <w:t xml:space="preserve"> Licensing framework for renewable hydrogen and sustainable biomethane</w:t>
            </w:r>
          </w:p>
          <w:p w14:paraId="421729CD" w14:textId="77777777" w:rsidR="00451CC2" w:rsidRPr="00451CC2" w:rsidRDefault="00451CC2" w:rsidP="008A7CB8">
            <w:pPr>
              <w:pStyle w:val="Tabletext"/>
              <w:rPr>
                <w:rFonts w:eastAsia="Calibri"/>
                <w:highlight w:val="white"/>
              </w:rPr>
            </w:pPr>
            <w:r w:rsidRPr="00451CC2">
              <w:rPr>
                <w:rFonts w:eastAsia="Calibri"/>
                <w:highlight w:val="white"/>
              </w:rPr>
              <w:t xml:space="preserve"> </w:t>
            </w:r>
          </w:p>
        </w:tc>
        <w:tc>
          <w:tcPr>
            <w:tcW w:w="1423" w:type="dxa"/>
            <w:tcMar>
              <w:top w:w="0" w:type="dxa"/>
              <w:left w:w="100" w:type="dxa"/>
              <w:bottom w:w="0" w:type="dxa"/>
              <w:right w:w="100" w:type="dxa"/>
            </w:tcMar>
            <w:vAlign w:val="center"/>
          </w:tcPr>
          <w:p w14:paraId="0DAB6422" w14:textId="77777777" w:rsidR="00451CC2" w:rsidRDefault="00451CC2" w:rsidP="008A7CB8">
            <w:pPr>
              <w:pStyle w:val="Tabletext"/>
              <w:rPr>
                <w:rFonts w:eastAsia="Calibri"/>
                <w:highlight w:val="white"/>
              </w:rPr>
            </w:pPr>
            <w:r>
              <w:rPr>
                <w:rFonts w:eastAsia="Calibri"/>
                <w:highlight w:val="white"/>
              </w:rPr>
              <w:t>RRF 16987</w:t>
            </w:r>
          </w:p>
        </w:tc>
        <w:tc>
          <w:tcPr>
            <w:tcW w:w="1605" w:type="dxa"/>
            <w:tcMar>
              <w:top w:w="0" w:type="dxa"/>
              <w:left w:w="100" w:type="dxa"/>
              <w:bottom w:w="0" w:type="dxa"/>
              <w:right w:w="100" w:type="dxa"/>
            </w:tcMar>
            <w:vAlign w:val="center"/>
          </w:tcPr>
          <w:p w14:paraId="032D2AD9" w14:textId="77777777" w:rsidR="00451CC2" w:rsidRPr="00451CC2" w:rsidRDefault="00451CC2" w:rsidP="008A7CB8">
            <w:pPr>
              <w:pStyle w:val="Tabletext"/>
              <w:rPr>
                <w:rFonts w:eastAsia="Calibri"/>
                <w:highlight w:val="white"/>
              </w:rPr>
            </w:pPr>
            <w:r w:rsidRPr="00451CC2">
              <w:rPr>
                <w:rFonts w:eastAsia="Calibri"/>
                <w:highlight w:val="white"/>
              </w:rPr>
              <w:t>2023 CSR4.1</w:t>
            </w:r>
            <w:r w:rsidRPr="00451CC2">
              <w:rPr>
                <w:rFonts w:eastAsia="Calibri"/>
                <w:highlight w:val="white"/>
              </w:rPr>
              <w:br/>
              <w:t>2023 CSR4.3</w:t>
            </w:r>
            <w:r w:rsidRPr="00451CC2">
              <w:rPr>
                <w:rFonts w:eastAsia="Calibri"/>
                <w:highlight w:val="white"/>
              </w:rPr>
              <w:br/>
              <w:t>2022 CSR4.1</w:t>
            </w:r>
            <w:r w:rsidRPr="00451CC2">
              <w:rPr>
                <w:rFonts w:eastAsia="Calibri"/>
                <w:highlight w:val="white"/>
              </w:rPr>
              <w:br/>
              <w:t>2022 CSR4.2</w:t>
            </w:r>
            <w:r w:rsidRPr="00451CC2">
              <w:rPr>
                <w:rFonts w:eastAsia="Calibri"/>
                <w:highlight w:val="white"/>
              </w:rPr>
              <w:br/>
              <w:t>2020 CSR3.5</w:t>
            </w:r>
            <w:r w:rsidRPr="00451CC2">
              <w:rPr>
                <w:rFonts w:eastAsia="Calibri"/>
                <w:highlight w:val="white"/>
              </w:rPr>
              <w:br/>
              <w:t>2019 CSR2.2</w:t>
            </w:r>
          </w:p>
        </w:tc>
        <w:tc>
          <w:tcPr>
            <w:tcW w:w="1224" w:type="dxa"/>
            <w:tcMar>
              <w:top w:w="0" w:type="dxa"/>
              <w:left w:w="100" w:type="dxa"/>
              <w:bottom w:w="0" w:type="dxa"/>
              <w:right w:w="100" w:type="dxa"/>
            </w:tcMar>
            <w:vAlign w:val="center"/>
          </w:tcPr>
          <w:p w14:paraId="76D166AC" w14:textId="77777777" w:rsidR="00451CC2" w:rsidRDefault="00451CC2" w:rsidP="008A7CB8">
            <w:pPr>
              <w:pStyle w:val="Tabletext"/>
              <w:rPr>
                <w:rFonts w:eastAsia="Calibri"/>
                <w:highlight w:val="white"/>
              </w:rPr>
            </w:pPr>
            <w:r>
              <w:rPr>
                <w:rFonts w:eastAsia="Calibri"/>
                <w:highlight w:val="white"/>
              </w:rPr>
              <w:t>Fair green &amp; digital transition</w:t>
            </w:r>
          </w:p>
        </w:tc>
        <w:tc>
          <w:tcPr>
            <w:tcW w:w="1140" w:type="dxa"/>
            <w:tcMar>
              <w:top w:w="0" w:type="dxa"/>
              <w:left w:w="100" w:type="dxa"/>
              <w:bottom w:w="0" w:type="dxa"/>
              <w:right w:w="100" w:type="dxa"/>
            </w:tcMar>
            <w:vAlign w:val="center"/>
          </w:tcPr>
          <w:p w14:paraId="5A5CDC41" w14:textId="77777777" w:rsidR="00451CC2" w:rsidRDefault="00451CC2" w:rsidP="008A7CB8">
            <w:pPr>
              <w:pStyle w:val="Tabletext"/>
              <w:rPr>
                <w:rFonts w:eastAsia="Calibri"/>
              </w:rPr>
            </w:pPr>
            <w:r>
              <w:rPr>
                <w:rFonts w:eastAsia="Calibri"/>
              </w:rPr>
              <w:t>Completed</w:t>
            </w:r>
          </w:p>
        </w:tc>
      </w:tr>
      <w:tr w:rsidR="00451CC2" w14:paraId="26A2A8EE" w14:textId="77777777" w:rsidTr="00DA620A">
        <w:trPr>
          <w:trHeight w:val="170"/>
          <w:jc w:val="center"/>
        </w:trPr>
        <w:tc>
          <w:tcPr>
            <w:tcW w:w="3541" w:type="dxa"/>
            <w:tcMar>
              <w:top w:w="0" w:type="dxa"/>
              <w:left w:w="100" w:type="dxa"/>
              <w:bottom w:w="0" w:type="dxa"/>
              <w:right w:w="100" w:type="dxa"/>
            </w:tcMar>
            <w:vAlign w:val="center"/>
          </w:tcPr>
          <w:p w14:paraId="764A9A2F" w14:textId="77777777" w:rsidR="00451CC2" w:rsidRPr="00451CC2" w:rsidRDefault="00540671" w:rsidP="008A7CB8">
            <w:pPr>
              <w:pStyle w:val="Tabletext"/>
              <w:rPr>
                <w:rFonts w:eastAsia="Calibri"/>
                <w:highlight w:val="white"/>
              </w:rPr>
            </w:pPr>
            <w:r w:rsidRPr="00540671">
              <w:rPr>
                <w:rFonts w:eastAsia="Calibri"/>
                <w:b/>
                <w:highlight w:val="white"/>
              </w:rPr>
              <w:t>REFORM 11:</w:t>
            </w:r>
            <w:r w:rsidR="00451CC2" w:rsidRPr="00451CC2">
              <w:rPr>
                <w:rFonts w:eastAsia="Calibri"/>
                <w:highlight w:val="white"/>
              </w:rPr>
              <w:t xml:space="preserve"> Regulatory and market operation framework for carbon capture, usage, and storage technologies to foster industry decarbonisation</w:t>
            </w:r>
          </w:p>
        </w:tc>
        <w:tc>
          <w:tcPr>
            <w:tcW w:w="1423" w:type="dxa"/>
            <w:tcMar>
              <w:top w:w="0" w:type="dxa"/>
              <w:left w:w="100" w:type="dxa"/>
              <w:bottom w:w="0" w:type="dxa"/>
              <w:right w:w="100" w:type="dxa"/>
            </w:tcMar>
            <w:vAlign w:val="center"/>
          </w:tcPr>
          <w:p w14:paraId="2709EDD8" w14:textId="77777777" w:rsidR="00451CC2" w:rsidRDefault="00451CC2" w:rsidP="008A7CB8">
            <w:pPr>
              <w:pStyle w:val="Tabletext"/>
              <w:rPr>
                <w:rFonts w:eastAsia="Calibri"/>
                <w:highlight w:val="white"/>
              </w:rPr>
            </w:pPr>
            <w:r>
              <w:rPr>
                <w:rFonts w:eastAsia="Calibri"/>
                <w:highlight w:val="white"/>
              </w:rPr>
              <w:t>RRF 16988</w:t>
            </w:r>
          </w:p>
        </w:tc>
        <w:tc>
          <w:tcPr>
            <w:tcW w:w="1605" w:type="dxa"/>
            <w:tcMar>
              <w:top w:w="0" w:type="dxa"/>
              <w:left w:w="100" w:type="dxa"/>
              <w:bottom w:w="0" w:type="dxa"/>
              <w:right w:w="100" w:type="dxa"/>
            </w:tcMar>
            <w:vAlign w:val="center"/>
          </w:tcPr>
          <w:p w14:paraId="42F6392E" w14:textId="77777777" w:rsidR="00451CC2" w:rsidRDefault="00451CC2" w:rsidP="008A7CB8">
            <w:pPr>
              <w:pStyle w:val="Tabletext"/>
              <w:rPr>
                <w:rFonts w:eastAsia="Calibri"/>
                <w:highlight w:val="white"/>
              </w:rPr>
            </w:pPr>
            <w:r>
              <w:rPr>
                <w:rFonts w:eastAsia="Calibri"/>
                <w:highlight w:val="white"/>
              </w:rPr>
              <w:t>2023 CSR 4.1</w:t>
            </w:r>
            <w:r>
              <w:rPr>
                <w:rFonts w:eastAsia="Calibri"/>
                <w:highlight w:val="white"/>
              </w:rPr>
              <w:br/>
              <w:t>2020 CSR 3.5</w:t>
            </w:r>
            <w:r>
              <w:rPr>
                <w:rFonts w:eastAsia="Calibri"/>
                <w:highlight w:val="white"/>
              </w:rPr>
              <w:br/>
              <w:t>2019 CSR 2.2</w:t>
            </w:r>
          </w:p>
        </w:tc>
        <w:tc>
          <w:tcPr>
            <w:tcW w:w="1224" w:type="dxa"/>
            <w:tcMar>
              <w:top w:w="0" w:type="dxa"/>
              <w:left w:w="100" w:type="dxa"/>
              <w:bottom w:w="0" w:type="dxa"/>
              <w:right w:w="100" w:type="dxa"/>
            </w:tcMar>
            <w:vAlign w:val="center"/>
          </w:tcPr>
          <w:p w14:paraId="7AFC7F03" w14:textId="77777777" w:rsidR="00451CC2" w:rsidRDefault="00451CC2" w:rsidP="008A7CB8">
            <w:pPr>
              <w:pStyle w:val="Tabletext"/>
              <w:rPr>
                <w:rFonts w:eastAsia="Calibri"/>
                <w:highlight w:val="white"/>
              </w:rPr>
            </w:pPr>
            <w:r>
              <w:rPr>
                <w:rFonts w:eastAsia="Calibri"/>
                <w:highlight w:val="white"/>
              </w:rPr>
              <w:t>Fair green &amp; digital transition</w:t>
            </w:r>
          </w:p>
        </w:tc>
        <w:tc>
          <w:tcPr>
            <w:tcW w:w="1140" w:type="dxa"/>
            <w:tcMar>
              <w:top w:w="0" w:type="dxa"/>
              <w:left w:w="100" w:type="dxa"/>
              <w:bottom w:w="0" w:type="dxa"/>
              <w:right w:w="100" w:type="dxa"/>
            </w:tcMar>
            <w:vAlign w:val="center"/>
          </w:tcPr>
          <w:p w14:paraId="43A1861C" w14:textId="77777777" w:rsidR="00451CC2" w:rsidRDefault="00451CC2" w:rsidP="008A7CB8">
            <w:pPr>
              <w:pStyle w:val="Tabletext"/>
              <w:rPr>
                <w:rFonts w:eastAsia="Calibri"/>
              </w:rPr>
            </w:pPr>
            <w:r>
              <w:rPr>
                <w:rFonts w:eastAsia="Calibri"/>
              </w:rPr>
              <w:t>Completed</w:t>
            </w:r>
          </w:p>
        </w:tc>
      </w:tr>
      <w:tr w:rsidR="00451CC2" w14:paraId="5F3A5A2F" w14:textId="77777777" w:rsidTr="00DA620A">
        <w:trPr>
          <w:trHeight w:val="170"/>
          <w:jc w:val="center"/>
        </w:trPr>
        <w:tc>
          <w:tcPr>
            <w:tcW w:w="3541" w:type="dxa"/>
            <w:tcMar>
              <w:top w:w="0" w:type="dxa"/>
              <w:left w:w="100" w:type="dxa"/>
              <w:bottom w:w="0" w:type="dxa"/>
              <w:right w:w="100" w:type="dxa"/>
            </w:tcMar>
            <w:vAlign w:val="center"/>
          </w:tcPr>
          <w:p w14:paraId="4937743F" w14:textId="77777777" w:rsidR="00451CC2" w:rsidRPr="00451CC2" w:rsidRDefault="00540671" w:rsidP="008A7CB8">
            <w:pPr>
              <w:pStyle w:val="Tabletext"/>
              <w:rPr>
                <w:rFonts w:eastAsia="Calibri"/>
                <w:highlight w:val="white"/>
              </w:rPr>
            </w:pPr>
            <w:r w:rsidRPr="00540671">
              <w:rPr>
                <w:rFonts w:eastAsia="Calibri"/>
                <w:b/>
                <w:highlight w:val="white"/>
              </w:rPr>
              <w:t>REFORM 12:</w:t>
            </w:r>
            <w:r w:rsidR="00451CC2" w:rsidRPr="00451CC2">
              <w:rPr>
                <w:rFonts w:eastAsia="Calibri"/>
                <w:highlight w:val="white"/>
              </w:rPr>
              <w:t xml:space="preserve"> Establishment of Thesally Water Management Organisation</w:t>
            </w:r>
          </w:p>
        </w:tc>
        <w:tc>
          <w:tcPr>
            <w:tcW w:w="1423" w:type="dxa"/>
            <w:tcMar>
              <w:top w:w="0" w:type="dxa"/>
              <w:left w:w="100" w:type="dxa"/>
              <w:bottom w:w="0" w:type="dxa"/>
              <w:right w:w="100" w:type="dxa"/>
            </w:tcMar>
            <w:vAlign w:val="center"/>
          </w:tcPr>
          <w:p w14:paraId="6F738128" w14:textId="77777777" w:rsidR="00451CC2" w:rsidRPr="00451CC2" w:rsidRDefault="00451CC2" w:rsidP="008A7CB8">
            <w:pPr>
              <w:pStyle w:val="Tabletext"/>
              <w:rPr>
                <w:rFonts w:eastAsia="Calibri"/>
                <w:highlight w:val="white"/>
              </w:rPr>
            </w:pPr>
            <w:r w:rsidRPr="00451CC2">
              <w:rPr>
                <w:rFonts w:eastAsia="Calibri"/>
                <w:highlight w:val="white"/>
              </w:rPr>
              <w:t xml:space="preserve"> </w:t>
            </w:r>
          </w:p>
        </w:tc>
        <w:tc>
          <w:tcPr>
            <w:tcW w:w="1605" w:type="dxa"/>
            <w:tcMar>
              <w:top w:w="0" w:type="dxa"/>
              <w:left w:w="100" w:type="dxa"/>
              <w:bottom w:w="0" w:type="dxa"/>
              <w:right w:w="100" w:type="dxa"/>
            </w:tcMar>
            <w:vAlign w:val="center"/>
          </w:tcPr>
          <w:p w14:paraId="3D2EC76E" w14:textId="77777777" w:rsidR="00451CC2" w:rsidRDefault="00451CC2" w:rsidP="008A7CB8">
            <w:pPr>
              <w:pStyle w:val="Tabletext"/>
              <w:rPr>
                <w:rFonts w:eastAsia="Calibri"/>
                <w:highlight w:val="white"/>
              </w:rPr>
            </w:pPr>
            <w:r>
              <w:rPr>
                <w:rFonts w:eastAsia="Calibri"/>
                <w:highlight w:val="white"/>
              </w:rPr>
              <w:t>2024 CSR4.2</w:t>
            </w:r>
          </w:p>
          <w:p w14:paraId="46A59004" w14:textId="77777777" w:rsidR="00451CC2" w:rsidRDefault="00451CC2" w:rsidP="008A7CB8">
            <w:pPr>
              <w:pStyle w:val="Tabletext"/>
              <w:rPr>
                <w:rFonts w:eastAsia="Calibri"/>
                <w:highlight w:val="white"/>
              </w:rPr>
            </w:pPr>
            <w:r>
              <w:rPr>
                <w:rFonts w:eastAsia="Calibri"/>
                <w:highlight w:val="white"/>
              </w:rPr>
              <w:t xml:space="preserve"> </w:t>
            </w:r>
          </w:p>
        </w:tc>
        <w:tc>
          <w:tcPr>
            <w:tcW w:w="1224" w:type="dxa"/>
            <w:tcMar>
              <w:top w:w="0" w:type="dxa"/>
              <w:left w:w="100" w:type="dxa"/>
              <w:bottom w:w="0" w:type="dxa"/>
              <w:right w:w="100" w:type="dxa"/>
            </w:tcMar>
            <w:vAlign w:val="center"/>
          </w:tcPr>
          <w:p w14:paraId="5892C71D" w14:textId="77777777" w:rsidR="00451CC2" w:rsidRDefault="00451CC2" w:rsidP="008A7CB8">
            <w:pPr>
              <w:pStyle w:val="Tabletext"/>
              <w:rPr>
                <w:rFonts w:eastAsia="Calibri"/>
                <w:highlight w:val="white"/>
              </w:rPr>
            </w:pPr>
            <w:r>
              <w:rPr>
                <w:rFonts w:eastAsia="Calibri"/>
                <w:highlight w:val="white"/>
              </w:rPr>
              <w:t>Fair green &amp; digital transition</w:t>
            </w:r>
          </w:p>
        </w:tc>
        <w:tc>
          <w:tcPr>
            <w:tcW w:w="1140" w:type="dxa"/>
            <w:tcMar>
              <w:top w:w="0" w:type="dxa"/>
              <w:left w:w="100" w:type="dxa"/>
              <w:bottom w:w="0" w:type="dxa"/>
              <w:right w:w="100" w:type="dxa"/>
            </w:tcMar>
            <w:vAlign w:val="center"/>
          </w:tcPr>
          <w:p w14:paraId="11ED7F53" w14:textId="11CCA41A" w:rsidR="00451CC2" w:rsidRDefault="00451CC2" w:rsidP="008A7CB8">
            <w:pPr>
              <w:pStyle w:val="Tabletext"/>
              <w:rPr>
                <w:rFonts w:eastAsia="Calibri"/>
                <w:highlight w:val="white"/>
              </w:rPr>
            </w:pPr>
            <w:r>
              <w:rPr>
                <w:rFonts w:eastAsia="Calibri"/>
                <w:highlight w:val="white"/>
              </w:rPr>
              <w:t>On</w:t>
            </w:r>
            <w:r w:rsidR="00A802F4">
              <w:rPr>
                <w:rFonts w:eastAsia="Calibri"/>
                <w:highlight w:val="white"/>
              </w:rPr>
              <w:t xml:space="preserve"> </w:t>
            </w:r>
            <w:r>
              <w:rPr>
                <w:rFonts w:eastAsia="Calibri"/>
                <w:highlight w:val="white"/>
              </w:rPr>
              <w:t>track</w:t>
            </w:r>
          </w:p>
        </w:tc>
      </w:tr>
      <w:tr w:rsidR="00451CC2" w14:paraId="4BB3A648" w14:textId="77777777" w:rsidTr="00DA620A">
        <w:trPr>
          <w:trHeight w:val="170"/>
          <w:jc w:val="center"/>
        </w:trPr>
        <w:tc>
          <w:tcPr>
            <w:tcW w:w="3541" w:type="dxa"/>
            <w:tcMar>
              <w:top w:w="0" w:type="dxa"/>
              <w:left w:w="100" w:type="dxa"/>
              <w:bottom w:w="0" w:type="dxa"/>
              <w:right w:w="100" w:type="dxa"/>
            </w:tcMar>
            <w:vAlign w:val="center"/>
          </w:tcPr>
          <w:p w14:paraId="5CA29E68" w14:textId="77777777" w:rsidR="00451CC2" w:rsidRPr="00451CC2" w:rsidRDefault="00540671" w:rsidP="008A7CB8">
            <w:pPr>
              <w:pStyle w:val="Tabletext"/>
              <w:rPr>
                <w:rFonts w:eastAsia="Calibri"/>
              </w:rPr>
            </w:pPr>
            <w:r w:rsidRPr="00540671">
              <w:rPr>
                <w:rFonts w:eastAsia="Calibri"/>
                <w:b/>
              </w:rPr>
              <w:lastRenderedPageBreak/>
              <w:t>REFORM 13:</w:t>
            </w:r>
            <w:r w:rsidR="00451CC2" w:rsidRPr="00451CC2">
              <w:rPr>
                <w:rFonts w:eastAsia="Calibri"/>
              </w:rPr>
              <w:t xml:space="preserve"> Modernization of the legal framework of municipal water supply and sewage enterprises</w:t>
            </w:r>
          </w:p>
        </w:tc>
        <w:tc>
          <w:tcPr>
            <w:tcW w:w="1423" w:type="dxa"/>
            <w:tcMar>
              <w:top w:w="0" w:type="dxa"/>
              <w:left w:w="100" w:type="dxa"/>
              <w:bottom w:w="0" w:type="dxa"/>
              <w:right w:w="100" w:type="dxa"/>
            </w:tcMar>
            <w:vAlign w:val="center"/>
          </w:tcPr>
          <w:p w14:paraId="65A3D3BF" w14:textId="77777777" w:rsidR="00451CC2" w:rsidRPr="00451CC2" w:rsidRDefault="00451CC2" w:rsidP="008A7CB8">
            <w:pPr>
              <w:pStyle w:val="Tabletext"/>
              <w:rPr>
                <w:rFonts w:eastAsia="Calibri"/>
                <w:highlight w:val="white"/>
              </w:rPr>
            </w:pPr>
            <w:r w:rsidRPr="00451CC2">
              <w:rPr>
                <w:rFonts w:eastAsia="Calibri"/>
                <w:highlight w:val="white"/>
              </w:rPr>
              <w:t xml:space="preserve"> </w:t>
            </w:r>
          </w:p>
        </w:tc>
        <w:tc>
          <w:tcPr>
            <w:tcW w:w="1605" w:type="dxa"/>
            <w:tcMar>
              <w:top w:w="0" w:type="dxa"/>
              <w:left w:w="100" w:type="dxa"/>
              <w:bottom w:w="0" w:type="dxa"/>
              <w:right w:w="100" w:type="dxa"/>
            </w:tcMar>
            <w:vAlign w:val="center"/>
          </w:tcPr>
          <w:p w14:paraId="58FF29AA" w14:textId="77777777" w:rsidR="00451CC2" w:rsidRPr="00451CC2" w:rsidRDefault="00451CC2" w:rsidP="008A7CB8">
            <w:pPr>
              <w:pStyle w:val="Tabletext"/>
              <w:rPr>
                <w:rFonts w:eastAsia="Calibri"/>
                <w:highlight w:val="white"/>
              </w:rPr>
            </w:pPr>
            <w:r w:rsidRPr="00451CC2">
              <w:rPr>
                <w:rFonts w:eastAsia="Calibri"/>
                <w:highlight w:val="white"/>
              </w:rPr>
              <w:t xml:space="preserve"> </w:t>
            </w:r>
          </w:p>
        </w:tc>
        <w:tc>
          <w:tcPr>
            <w:tcW w:w="1224" w:type="dxa"/>
            <w:tcMar>
              <w:top w:w="0" w:type="dxa"/>
              <w:left w:w="100" w:type="dxa"/>
              <w:bottom w:w="0" w:type="dxa"/>
              <w:right w:w="100" w:type="dxa"/>
            </w:tcMar>
            <w:vAlign w:val="center"/>
          </w:tcPr>
          <w:p w14:paraId="4FEE5272" w14:textId="77777777" w:rsidR="00451CC2" w:rsidRDefault="00451CC2" w:rsidP="008A7CB8">
            <w:pPr>
              <w:pStyle w:val="Tabletext"/>
              <w:rPr>
                <w:rFonts w:eastAsia="Calibri"/>
                <w:highlight w:val="white"/>
              </w:rPr>
            </w:pPr>
            <w:r>
              <w:rPr>
                <w:rFonts w:eastAsia="Calibri"/>
                <w:highlight w:val="white"/>
              </w:rPr>
              <w:t>Fair green &amp; digital transition</w:t>
            </w:r>
          </w:p>
        </w:tc>
        <w:tc>
          <w:tcPr>
            <w:tcW w:w="1140" w:type="dxa"/>
            <w:tcMar>
              <w:top w:w="0" w:type="dxa"/>
              <w:left w:w="100" w:type="dxa"/>
              <w:bottom w:w="0" w:type="dxa"/>
              <w:right w:w="100" w:type="dxa"/>
            </w:tcMar>
            <w:vAlign w:val="center"/>
          </w:tcPr>
          <w:p w14:paraId="04DDCAA4" w14:textId="77777777" w:rsidR="00451CC2" w:rsidRDefault="00451CC2" w:rsidP="008A7CB8">
            <w:pPr>
              <w:pStyle w:val="Tabletext"/>
              <w:rPr>
                <w:rFonts w:eastAsia="Calibri"/>
              </w:rPr>
            </w:pPr>
            <w:r>
              <w:rPr>
                <w:rFonts w:eastAsia="Calibri"/>
              </w:rPr>
              <w:t>Delayed</w:t>
            </w:r>
          </w:p>
        </w:tc>
      </w:tr>
      <w:tr w:rsidR="00451CC2" w14:paraId="3C0024E6" w14:textId="77777777" w:rsidTr="00DA620A">
        <w:trPr>
          <w:trHeight w:val="170"/>
          <w:jc w:val="center"/>
        </w:trPr>
        <w:tc>
          <w:tcPr>
            <w:tcW w:w="3541" w:type="dxa"/>
            <w:tcMar>
              <w:top w:w="0" w:type="dxa"/>
              <w:left w:w="100" w:type="dxa"/>
              <w:bottom w:w="0" w:type="dxa"/>
              <w:right w:w="100" w:type="dxa"/>
            </w:tcMar>
            <w:vAlign w:val="center"/>
          </w:tcPr>
          <w:p w14:paraId="45FEF48B" w14:textId="77777777" w:rsidR="00451CC2" w:rsidRPr="00451CC2" w:rsidRDefault="00540671" w:rsidP="008A7CB8">
            <w:pPr>
              <w:pStyle w:val="Tabletext"/>
              <w:rPr>
                <w:rFonts w:eastAsia="Calibri"/>
              </w:rPr>
            </w:pPr>
            <w:r w:rsidRPr="00540671">
              <w:rPr>
                <w:rFonts w:eastAsia="Calibri"/>
                <w:b/>
              </w:rPr>
              <w:t>INVESTMENT 1:</w:t>
            </w:r>
            <w:r w:rsidR="00451CC2" w:rsidRPr="00451CC2">
              <w:rPr>
                <w:rFonts w:eastAsia="Calibri"/>
              </w:rPr>
              <w:t xml:space="preserve"> Energy renovation on residential buildings</w:t>
            </w:r>
          </w:p>
        </w:tc>
        <w:tc>
          <w:tcPr>
            <w:tcW w:w="1423" w:type="dxa"/>
            <w:tcMar>
              <w:top w:w="0" w:type="dxa"/>
              <w:left w:w="100" w:type="dxa"/>
              <w:bottom w:w="0" w:type="dxa"/>
              <w:right w:w="100" w:type="dxa"/>
            </w:tcMar>
            <w:vAlign w:val="center"/>
          </w:tcPr>
          <w:p w14:paraId="60F850E9" w14:textId="77777777" w:rsidR="00451CC2" w:rsidRDefault="00451CC2" w:rsidP="008A7CB8">
            <w:pPr>
              <w:pStyle w:val="Tabletext"/>
              <w:rPr>
                <w:rFonts w:eastAsia="Calibri"/>
              </w:rPr>
            </w:pPr>
            <w:r>
              <w:rPr>
                <w:rFonts w:eastAsia="Calibri"/>
              </w:rPr>
              <w:t>RRF 16872/ MFF</w:t>
            </w:r>
          </w:p>
        </w:tc>
        <w:tc>
          <w:tcPr>
            <w:tcW w:w="1605" w:type="dxa"/>
            <w:tcMar>
              <w:top w:w="0" w:type="dxa"/>
              <w:left w:w="100" w:type="dxa"/>
              <w:bottom w:w="0" w:type="dxa"/>
              <w:right w:w="100" w:type="dxa"/>
            </w:tcMar>
            <w:vAlign w:val="center"/>
          </w:tcPr>
          <w:p w14:paraId="3144E15F" w14:textId="77777777" w:rsidR="00451CC2" w:rsidRPr="00451CC2" w:rsidRDefault="00451CC2" w:rsidP="008A7CB8">
            <w:pPr>
              <w:pStyle w:val="Tabletext"/>
              <w:rPr>
                <w:rFonts w:eastAsia="Calibri"/>
              </w:rPr>
            </w:pPr>
            <w:r w:rsidRPr="00451CC2">
              <w:rPr>
                <w:rFonts w:eastAsia="Calibri"/>
              </w:rPr>
              <w:t xml:space="preserve"> 2024 CSR 1.7</w:t>
            </w:r>
            <w:r w:rsidRPr="00451CC2">
              <w:rPr>
                <w:rFonts w:eastAsia="Calibri"/>
              </w:rPr>
              <w:br/>
              <w:t xml:space="preserve"> 2023 CSR 4.1</w:t>
            </w:r>
            <w:r w:rsidRPr="00451CC2">
              <w:rPr>
                <w:rFonts w:eastAsia="Calibri"/>
              </w:rPr>
              <w:br/>
              <w:t xml:space="preserve"> 2023 CSR 4.4</w:t>
            </w:r>
            <w:r w:rsidRPr="00451CC2">
              <w:rPr>
                <w:rFonts w:eastAsia="Calibri"/>
              </w:rPr>
              <w:br/>
              <w:t xml:space="preserve"> 2022 CSR 4.5</w:t>
            </w:r>
            <w:r w:rsidRPr="00451CC2">
              <w:rPr>
                <w:rFonts w:eastAsia="Calibri"/>
              </w:rPr>
              <w:br/>
              <w:t xml:space="preserve"> 2022 CSR 4.4</w:t>
            </w:r>
            <w:r w:rsidRPr="00451CC2">
              <w:rPr>
                <w:rFonts w:eastAsia="Calibri"/>
              </w:rPr>
              <w:br/>
              <w:t xml:space="preserve"> 2022 CSR 4.1</w:t>
            </w:r>
            <w:r w:rsidRPr="00451CC2">
              <w:rPr>
                <w:rFonts w:eastAsia="Calibri"/>
              </w:rPr>
              <w:br/>
              <w:t xml:space="preserve"> 2020 CSR 3.5</w:t>
            </w:r>
            <w:r w:rsidRPr="00451CC2">
              <w:rPr>
                <w:rFonts w:eastAsia="Calibri"/>
              </w:rPr>
              <w:br/>
              <w:t xml:space="preserve"> 2020 CSR 3.3</w:t>
            </w:r>
            <w:r w:rsidRPr="00451CC2">
              <w:rPr>
                <w:rFonts w:eastAsia="Calibri"/>
              </w:rPr>
              <w:br/>
              <w:t xml:space="preserve"> 2019 CSR 2.2</w:t>
            </w:r>
          </w:p>
        </w:tc>
        <w:tc>
          <w:tcPr>
            <w:tcW w:w="1224" w:type="dxa"/>
            <w:tcMar>
              <w:top w:w="0" w:type="dxa"/>
              <w:left w:w="100" w:type="dxa"/>
              <w:bottom w:w="0" w:type="dxa"/>
              <w:right w:w="100" w:type="dxa"/>
            </w:tcMar>
            <w:vAlign w:val="center"/>
          </w:tcPr>
          <w:p w14:paraId="3A86D47A" w14:textId="77777777" w:rsidR="00451CC2" w:rsidRDefault="00451CC2" w:rsidP="008A7CB8">
            <w:pPr>
              <w:pStyle w:val="Tabletext"/>
              <w:rPr>
                <w:rFonts w:eastAsia="Calibri"/>
              </w:rPr>
            </w:pPr>
            <w:r>
              <w:rPr>
                <w:rFonts w:eastAsia="Calibri"/>
              </w:rPr>
              <w:t>Fair green &amp; digital transition</w:t>
            </w:r>
          </w:p>
        </w:tc>
        <w:tc>
          <w:tcPr>
            <w:tcW w:w="1140" w:type="dxa"/>
            <w:tcMar>
              <w:top w:w="0" w:type="dxa"/>
              <w:left w:w="100" w:type="dxa"/>
              <w:bottom w:w="0" w:type="dxa"/>
              <w:right w:w="100" w:type="dxa"/>
            </w:tcMar>
            <w:vAlign w:val="center"/>
          </w:tcPr>
          <w:p w14:paraId="6192136D" w14:textId="77777777" w:rsidR="00451CC2" w:rsidRDefault="00451CC2" w:rsidP="008A7CB8">
            <w:pPr>
              <w:pStyle w:val="Tabletext"/>
              <w:rPr>
                <w:rFonts w:eastAsia="Calibri"/>
              </w:rPr>
            </w:pPr>
            <w:r>
              <w:rPr>
                <w:rFonts w:eastAsia="Calibri"/>
              </w:rPr>
              <w:t>On track</w:t>
            </w:r>
          </w:p>
        </w:tc>
      </w:tr>
      <w:tr w:rsidR="00451CC2" w14:paraId="537DB766" w14:textId="77777777" w:rsidTr="00DA620A">
        <w:trPr>
          <w:trHeight w:val="170"/>
          <w:jc w:val="center"/>
        </w:trPr>
        <w:tc>
          <w:tcPr>
            <w:tcW w:w="3541" w:type="dxa"/>
            <w:tcMar>
              <w:top w:w="0" w:type="dxa"/>
              <w:left w:w="100" w:type="dxa"/>
              <w:bottom w:w="0" w:type="dxa"/>
              <w:right w:w="100" w:type="dxa"/>
            </w:tcMar>
            <w:vAlign w:val="center"/>
          </w:tcPr>
          <w:p w14:paraId="6C945F66" w14:textId="77777777" w:rsidR="00451CC2" w:rsidRPr="00451CC2" w:rsidRDefault="00540671" w:rsidP="008A7CB8">
            <w:pPr>
              <w:pStyle w:val="Tabletext"/>
              <w:rPr>
                <w:rFonts w:eastAsia="Calibri"/>
              </w:rPr>
            </w:pPr>
            <w:r w:rsidRPr="00540671">
              <w:rPr>
                <w:rFonts w:eastAsia="Calibri"/>
                <w:b/>
              </w:rPr>
              <w:t>INVESTMENT 2:</w:t>
            </w:r>
            <w:r w:rsidR="00451CC2" w:rsidRPr="00451CC2">
              <w:rPr>
                <w:rFonts w:eastAsia="Calibri"/>
              </w:rPr>
              <w:t xml:space="preserve"> Installation of energy storage for additional RES penetration</w:t>
            </w:r>
          </w:p>
        </w:tc>
        <w:tc>
          <w:tcPr>
            <w:tcW w:w="1423" w:type="dxa"/>
            <w:tcMar>
              <w:top w:w="0" w:type="dxa"/>
              <w:left w:w="100" w:type="dxa"/>
              <w:bottom w:w="0" w:type="dxa"/>
              <w:right w:w="100" w:type="dxa"/>
            </w:tcMar>
            <w:vAlign w:val="center"/>
          </w:tcPr>
          <w:p w14:paraId="131CAFB6" w14:textId="77777777" w:rsidR="00451CC2" w:rsidRDefault="00451CC2" w:rsidP="008A7CB8">
            <w:pPr>
              <w:pStyle w:val="Tabletext"/>
              <w:rPr>
                <w:rFonts w:eastAsia="Calibri"/>
              </w:rPr>
            </w:pPr>
            <w:r>
              <w:rPr>
                <w:rFonts w:eastAsia="Calibri"/>
              </w:rPr>
              <w:t xml:space="preserve">removed from RRF </w:t>
            </w:r>
          </w:p>
        </w:tc>
        <w:tc>
          <w:tcPr>
            <w:tcW w:w="1605" w:type="dxa"/>
            <w:tcMar>
              <w:top w:w="0" w:type="dxa"/>
              <w:left w:w="100" w:type="dxa"/>
              <w:bottom w:w="0" w:type="dxa"/>
              <w:right w:w="100" w:type="dxa"/>
            </w:tcMar>
            <w:vAlign w:val="center"/>
          </w:tcPr>
          <w:p w14:paraId="4E8DA312" w14:textId="77777777" w:rsidR="00451CC2" w:rsidRPr="00451CC2" w:rsidRDefault="00451CC2" w:rsidP="008A7CB8">
            <w:pPr>
              <w:pStyle w:val="Tabletext"/>
              <w:rPr>
                <w:rFonts w:eastAsia="Calibri"/>
              </w:rPr>
            </w:pPr>
            <w:r w:rsidRPr="00451CC2">
              <w:rPr>
                <w:rFonts w:eastAsia="Calibri"/>
              </w:rPr>
              <w:t xml:space="preserve"> 2024 CSR 1.7</w:t>
            </w:r>
            <w:r w:rsidRPr="00451CC2">
              <w:rPr>
                <w:rFonts w:eastAsia="Calibri"/>
              </w:rPr>
              <w:br/>
              <w:t xml:space="preserve"> 2023 CSR 4.1</w:t>
            </w:r>
            <w:r w:rsidRPr="00451CC2">
              <w:rPr>
                <w:rFonts w:eastAsia="Calibri"/>
              </w:rPr>
              <w:br/>
              <w:t xml:space="preserve"> 2023 CSR 4.3</w:t>
            </w:r>
            <w:r w:rsidRPr="00451CC2">
              <w:rPr>
                <w:rFonts w:eastAsia="Calibri"/>
              </w:rPr>
              <w:br/>
              <w:t xml:space="preserve"> 2022 CSR 4.3</w:t>
            </w:r>
            <w:r w:rsidRPr="00451CC2">
              <w:rPr>
                <w:rFonts w:eastAsia="Calibri"/>
              </w:rPr>
              <w:br/>
              <w:t xml:space="preserve"> 2022 CSR 4.2</w:t>
            </w:r>
            <w:r w:rsidRPr="00451CC2">
              <w:rPr>
                <w:rFonts w:eastAsia="Calibri"/>
              </w:rPr>
              <w:br/>
              <w:t xml:space="preserve"> 2022 CSR 4.1</w:t>
            </w:r>
            <w:r w:rsidRPr="00451CC2">
              <w:rPr>
                <w:rFonts w:eastAsia="Calibri"/>
              </w:rPr>
              <w:br/>
              <w:t xml:space="preserve"> 2020 CSR 3.5</w:t>
            </w:r>
            <w:r w:rsidRPr="00451CC2">
              <w:rPr>
                <w:rFonts w:eastAsia="Calibri"/>
              </w:rPr>
              <w:br/>
              <w:t xml:space="preserve"> 2019 CSR 2.2</w:t>
            </w:r>
          </w:p>
        </w:tc>
        <w:tc>
          <w:tcPr>
            <w:tcW w:w="1224" w:type="dxa"/>
            <w:tcMar>
              <w:top w:w="0" w:type="dxa"/>
              <w:left w:w="100" w:type="dxa"/>
              <w:bottom w:w="0" w:type="dxa"/>
              <w:right w:w="100" w:type="dxa"/>
            </w:tcMar>
            <w:vAlign w:val="center"/>
          </w:tcPr>
          <w:p w14:paraId="2AB5CE18" w14:textId="77777777" w:rsidR="00451CC2" w:rsidRDefault="00451CC2" w:rsidP="008A7CB8">
            <w:pPr>
              <w:pStyle w:val="Tabletext"/>
              <w:rPr>
                <w:rFonts w:eastAsia="Calibri"/>
              </w:rPr>
            </w:pPr>
            <w:r>
              <w:rPr>
                <w:rFonts w:eastAsia="Calibri"/>
              </w:rPr>
              <w:t>Energy Security</w:t>
            </w:r>
          </w:p>
        </w:tc>
        <w:tc>
          <w:tcPr>
            <w:tcW w:w="1140" w:type="dxa"/>
            <w:tcMar>
              <w:top w:w="0" w:type="dxa"/>
              <w:left w:w="100" w:type="dxa"/>
              <w:bottom w:w="0" w:type="dxa"/>
              <w:right w:w="100" w:type="dxa"/>
            </w:tcMar>
            <w:vAlign w:val="center"/>
          </w:tcPr>
          <w:p w14:paraId="1BB03F6B" w14:textId="77777777" w:rsidR="00451CC2" w:rsidRDefault="00451CC2" w:rsidP="008A7CB8">
            <w:pPr>
              <w:pStyle w:val="Tabletext"/>
              <w:rPr>
                <w:rFonts w:eastAsia="Calibri"/>
              </w:rPr>
            </w:pPr>
            <w:r>
              <w:rPr>
                <w:rFonts w:eastAsia="Calibri"/>
              </w:rPr>
              <w:t>On track</w:t>
            </w:r>
          </w:p>
        </w:tc>
      </w:tr>
      <w:tr w:rsidR="00451CC2" w14:paraId="6ED1D984" w14:textId="77777777" w:rsidTr="00DA620A">
        <w:trPr>
          <w:trHeight w:val="170"/>
          <w:jc w:val="center"/>
        </w:trPr>
        <w:tc>
          <w:tcPr>
            <w:tcW w:w="3541" w:type="dxa"/>
            <w:tcMar>
              <w:top w:w="0" w:type="dxa"/>
              <w:left w:w="100" w:type="dxa"/>
              <w:bottom w:w="0" w:type="dxa"/>
              <w:right w:w="100" w:type="dxa"/>
            </w:tcMar>
            <w:vAlign w:val="center"/>
          </w:tcPr>
          <w:p w14:paraId="18F1A17E" w14:textId="77777777" w:rsidR="00451CC2" w:rsidRPr="00451CC2" w:rsidRDefault="00540671" w:rsidP="008A7CB8">
            <w:pPr>
              <w:pStyle w:val="Tabletext"/>
              <w:rPr>
                <w:rFonts w:eastAsia="Calibri"/>
              </w:rPr>
            </w:pPr>
            <w:r w:rsidRPr="00540671">
              <w:rPr>
                <w:rFonts w:eastAsia="Calibri"/>
                <w:b/>
              </w:rPr>
              <w:t>INVESTMENT 3:</w:t>
            </w:r>
            <w:r w:rsidR="00451CC2" w:rsidRPr="00451CC2">
              <w:rPr>
                <w:rFonts w:eastAsia="Calibri"/>
              </w:rPr>
              <w:t xml:space="preserve"> Energy Efficiency and promotion of RES for self-consumption</w:t>
            </w:r>
          </w:p>
        </w:tc>
        <w:tc>
          <w:tcPr>
            <w:tcW w:w="1423" w:type="dxa"/>
            <w:tcMar>
              <w:top w:w="0" w:type="dxa"/>
              <w:left w:w="100" w:type="dxa"/>
              <w:bottom w:w="0" w:type="dxa"/>
              <w:right w:w="100" w:type="dxa"/>
            </w:tcMar>
            <w:vAlign w:val="center"/>
          </w:tcPr>
          <w:p w14:paraId="08CD25A9" w14:textId="77777777" w:rsidR="00451CC2" w:rsidRDefault="00451CC2" w:rsidP="008A7CB8">
            <w:pPr>
              <w:pStyle w:val="Tabletext"/>
              <w:rPr>
                <w:rFonts w:eastAsia="Calibri"/>
              </w:rPr>
            </w:pPr>
            <w:r>
              <w:rPr>
                <w:rFonts w:eastAsia="Calibri"/>
              </w:rPr>
              <w:t>RRF 16994</w:t>
            </w:r>
          </w:p>
        </w:tc>
        <w:tc>
          <w:tcPr>
            <w:tcW w:w="1605" w:type="dxa"/>
            <w:tcMar>
              <w:top w:w="0" w:type="dxa"/>
              <w:left w:w="100" w:type="dxa"/>
              <w:bottom w:w="0" w:type="dxa"/>
              <w:right w:w="100" w:type="dxa"/>
            </w:tcMar>
            <w:vAlign w:val="center"/>
          </w:tcPr>
          <w:p w14:paraId="412A716D" w14:textId="77777777" w:rsidR="00451CC2" w:rsidRPr="00451CC2" w:rsidRDefault="00451CC2" w:rsidP="008A7CB8">
            <w:pPr>
              <w:pStyle w:val="Tabletext"/>
              <w:rPr>
                <w:rFonts w:eastAsia="Calibri"/>
              </w:rPr>
            </w:pPr>
            <w:r w:rsidRPr="00451CC2">
              <w:rPr>
                <w:rFonts w:eastAsia="Calibri"/>
              </w:rPr>
              <w:t xml:space="preserve"> 2024 CSR 1.7</w:t>
            </w:r>
            <w:r w:rsidRPr="00451CC2">
              <w:rPr>
                <w:rFonts w:eastAsia="Calibri"/>
              </w:rPr>
              <w:br/>
              <w:t xml:space="preserve"> 2023 CSR 4.1</w:t>
            </w:r>
            <w:r w:rsidRPr="00451CC2">
              <w:rPr>
                <w:rFonts w:eastAsia="Calibri"/>
              </w:rPr>
              <w:br/>
              <w:t xml:space="preserve"> 2023 CSR 4.3</w:t>
            </w:r>
            <w:r w:rsidRPr="00451CC2">
              <w:rPr>
                <w:rFonts w:eastAsia="Calibri"/>
              </w:rPr>
              <w:br/>
              <w:t xml:space="preserve"> 2023 CSR 4.4</w:t>
            </w:r>
            <w:r w:rsidRPr="00451CC2">
              <w:rPr>
                <w:rFonts w:eastAsia="Calibri"/>
              </w:rPr>
              <w:br/>
              <w:t xml:space="preserve"> 2022 CSR 4.1</w:t>
            </w:r>
            <w:r w:rsidRPr="00451CC2">
              <w:rPr>
                <w:rFonts w:eastAsia="Calibri"/>
              </w:rPr>
              <w:br/>
              <w:t xml:space="preserve"> 2022 CSR 4.5</w:t>
            </w:r>
            <w:r w:rsidRPr="00451CC2">
              <w:rPr>
                <w:rFonts w:eastAsia="Calibri"/>
              </w:rPr>
              <w:br/>
              <w:t xml:space="preserve"> 2020 CSR 3.4</w:t>
            </w:r>
            <w:r w:rsidRPr="00451CC2">
              <w:rPr>
                <w:rFonts w:eastAsia="Calibri"/>
              </w:rPr>
              <w:br/>
              <w:t xml:space="preserve"> 2019 CSR 2.2</w:t>
            </w:r>
          </w:p>
        </w:tc>
        <w:tc>
          <w:tcPr>
            <w:tcW w:w="1224" w:type="dxa"/>
            <w:tcMar>
              <w:top w:w="0" w:type="dxa"/>
              <w:left w:w="100" w:type="dxa"/>
              <w:bottom w:w="0" w:type="dxa"/>
              <w:right w:w="100" w:type="dxa"/>
            </w:tcMar>
            <w:vAlign w:val="center"/>
          </w:tcPr>
          <w:p w14:paraId="144E42CF" w14:textId="77777777" w:rsidR="00451CC2" w:rsidRDefault="00451CC2" w:rsidP="008A7CB8">
            <w:pPr>
              <w:pStyle w:val="Tabletext"/>
              <w:rPr>
                <w:rFonts w:eastAsia="Calibri"/>
              </w:rPr>
            </w:pPr>
            <w:r>
              <w:rPr>
                <w:rFonts w:eastAsia="Calibri"/>
              </w:rPr>
              <w:t>Energy Security</w:t>
            </w:r>
          </w:p>
        </w:tc>
        <w:tc>
          <w:tcPr>
            <w:tcW w:w="1140" w:type="dxa"/>
            <w:tcMar>
              <w:top w:w="0" w:type="dxa"/>
              <w:left w:w="100" w:type="dxa"/>
              <w:bottom w:w="0" w:type="dxa"/>
              <w:right w:w="100" w:type="dxa"/>
            </w:tcMar>
            <w:vAlign w:val="center"/>
          </w:tcPr>
          <w:p w14:paraId="1965BB5F" w14:textId="77777777" w:rsidR="00451CC2" w:rsidRDefault="00451CC2" w:rsidP="008A7CB8">
            <w:pPr>
              <w:pStyle w:val="Tabletext"/>
              <w:rPr>
                <w:rFonts w:eastAsia="Calibri"/>
              </w:rPr>
            </w:pPr>
            <w:r>
              <w:rPr>
                <w:rFonts w:eastAsia="Calibri"/>
              </w:rPr>
              <w:t>On track</w:t>
            </w:r>
          </w:p>
        </w:tc>
      </w:tr>
      <w:tr w:rsidR="00451CC2" w14:paraId="66A66B0B" w14:textId="77777777" w:rsidTr="00DA620A">
        <w:trPr>
          <w:trHeight w:val="170"/>
          <w:jc w:val="center"/>
        </w:trPr>
        <w:tc>
          <w:tcPr>
            <w:tcW w:w="3541" w:type="dxa"/>
            <w:tcMar>
              <w:top w:w="0" w:type="dxa"/>
              <w:left w:w="100" w:type="dxa"/>
              <w:bottom w:w="0" w:type="dxa"/>
              <w:right w:w="100" w:type="dxa"/>
            </w:tcMar>
            <w:vAlign w:val="center"/>
          </w:tcPr>
          <w:p w14:paraId="03928B07" w14:textId="77777777" w:rsidR="00451CC2" w:rsidRPr="00451CC2" w:rsidRDefault="00540671" w:rsidP="008A7CB8">
            <w:pPr>
              <w:pStyle w:val="Tabletext"/>
              <w:rPr>
                <w:rFonts w:eastAsia="Calibri"/>
              </w:rPr>
            </w:pPr>
            <w:r w:rsidRPr="00540671">
              <w:rPr>
                <w:rFonts w:eastAsia="Calibri"/>
                <w:b/>
              </w:rPr>
              <w:t>INVESTMENT 4:</w:t>
            </w:r>
            <w:r w:rsidR="00451CC2" w:rsidRPr="00451CC2">
              <w:rPr>
                <w:rFonts w:eastAsia="Calibri"/>
              </w:rPr>
              <w:t xml:space="preserve"> Promotion of CCS technologies to foster industry decarbonization</w:t>
            </w:r>
          </w:p>
        </w:tc>
        <w:tc>
          <w:tcPr>
            <w:tcW w:w="1423" w:type="dxa"/>
            <w:tcMar>
              <w:top w:w="0" w:type="dxa"/>
              <w:left w:w="100" w:type="dxa"/>
              <w:bottom w:w="0" w:type="dxa"/>
              <w:right w:w="100" w:type="dxa"/>
            </w:tcMar>
            <w:vAlign w:val="center"/>
          </w:tcPr>
          <w:p w14:paraId="27EC3894" w14:textId="77777777" w:rsidR="00451CC2" w:rsidRDefault="00451CC2" w:rsidP="008A7CB8">
            <w:pPr>
              <w:pStyle w:val="Tabletext"/>
              <w:rPr>
                <w:rFonts w:eastAsia="Calibri"/>
                <w:strike/>
              </w:rPr>
            </w:pPr>
            <w:r>
              <w:rPr>
                <w:rFonts w:eastAsia="Calibri"/>
              </w:rPr>
              <w:t>removed from RRF</w:t>
            </w:r>
            <w:r>
              <w:rPr>
                <w:rFonts w:eastAsia="Calibri"/>
                <w:strike/>
              </w:rPr>
              <w:t xml:space="preserve"> </w:t>
            </w:r>
          </w:p>
        </w:tc>
        <w:tc>
          <w:tcPr>
            <w:tcW w:w="1605" w:type="dxa"/>
            <w:tcMar>
              <w:top w:w="0" w:type="dxa"/>
              <w:left w:w="100" w:type="dxa"/>
              <w:bottom w:w="0" w:type="dxa"/>
              <w:right w:w="100" w:type="dxa"/>
            </w:tcMar>
            <w:vAlign w:val="center"/>
          </w:tcPr>
          <w:p w14:paraId="2C433F9D" w14:textId="77777777" w:rsidR="00451CC2" w:rsidRDefault="00451CC2" w:rsidP="008A7CB8">
            <w:pPr>
              <w:pStyle w:val="Tabletext"/>
              <w:rPr>
                <w:rFonts w:eastAsia="Calibri"/>
              </w:rPr>
            </w:pPr>
            <w:r>
              <w:rPr>
                <w:rFonts w:eastAsia="Calibri"/>
              </w:rPr>
              <w:t xml:space="preserve"> 2024 CSR 1.7</w:t>
            </w:r>
            <w:r>
              <w:rPr>
                <w:rFonts w:eastAsia="Calibri"/>
              </w:rPr>
              <w:br/>
              <w:t xml:space="preserve"> 2023 CSR 4.1</w:t>
            </w:r>
            <w:r>
              <w:rPr>
                <w:rFonts w:eastAsia="Calibri"/>
              </w:rPr>
              <w:br/>
              <w:t xml:space="preserve"> 2020 CSR 3.5</w:t>
            </w:r>
            <w:r>
              <w:rPr>
                <w:rFonts w:eastAsia="Calibri"/>
              </w:rPr>
              <w:br/>
              <w:t xml:space="preserve"> 2019 CSR 2.2</w:t>
            </w:r>
          </w:p>
        </w:tc>
        <w:tc>
          <w:tcPr>
            <w:tcW w:w="1224" w:type="dxa"/>
            <w:tcMar>
              <w:top w:w="0" w:type="dxa"/>
              <w:left w:w="100" w:type="dxa"/>
              <w:bottom w:w="0" w:type="dxa"/>
              <w:right w:w="100" w:type="dxa"/>
            </w:tcMar>
            <w:vAlign w:val="center"/>
          </w:tcPr>
          <w:p w14:paraId="2AEC2634" w14:textId="77777777" w:rsidR="00451CC2" w:rsidRDefault="00451CC2" w:rsidP="008A7CB8">
            <w:pPr>
              <w:pStyle w:val="Tabletext"/>
              <w:rPr>
                <w:rFonts w:eastAsia="Calibri"/>
              </w:rPr>
            </w:pPr>
            <w:r>
              <w:rPr>
                <w:rFonts w:eastAsia="Calibri"/>
              </w:rPr>
              <w:t>Energy Security</w:t>
            </w:r>
          </w:p>
        </w:tc>
        <w:tc>
          <w:tcPr>
            <w:tcW w:w="1140" w:type="dxa"/>
            <w:tcMar>
              <w:top w:w="0" w:type="dxa"/>
              <w:left w:w="100" w:type="dxa"/>
              <w:bottom w:w="0" w:type="dxa"/>
              <w:right w:w="100" w:type="dxa"/>
            </w:tcMar>
            <w:vAlign w:val="center"/>
          </w:tcPr>
          <w:p w14:paraId="40826D43" w14:textId="77777777" w:rsidR="00451CC2" w:rsidRDefault="00451CC2" w:rsidP="008A7CB8">
            <w:pPr>
              <w:pStyle w:val="Tabletext"/>
              <w:rPr>
                <w:rFonts w:eastAsia="Calibri"/>
              </w:rPr>
            </w:pPr>
            <w:r>
              <w:rPr>
                <w:rFonts w:eastAsia="Calibri"/>
              </w:rPr>
              <w:t>Delayed</w:t>
            </w:r>
          </w:p>
        </w:tc>
      </w:tr>
      <w:tr w:rsidR="00451CC2" w14:paraId="26682CDD" w14:textId="77777777" w:rsidTr="00DA620A">
        <w:trPr>
          <w:trHeight w:val="170"/>
          <w:jc w:val="center"/>
        </w:trPr>
        <w:tc>
          <w:tcPr>
            <w:tcW w:w="3541" w:type="dxa"/>
            <w:tcMar>
              <w:top w:w="0" w:type="dxa"/>
              <w:left w:w="100" w:type="dxa"/>
              <w:bottom w:w="0" w:type="dxa"/>
              <w:right w:w="100" w:type="dxa"/>
            </w:tcMar>
            <w:vAlign w:val="center"/>
          </w:tcPr>
          <w:p w14:paraId="19657EAF" w14:textId="77777777" w:rsidR="00451CC2" w:rsidRPr="00451CC2" w:rsidRDefault="00540671" w:rsidP="008A7CB8">
            <w:pPr>
              <w:pStyle w:val="Tabletext"/>
              <w:rPr>
                <w:rFonts w:eastAsia="Calibri"/>
              </w:rPr>
            </w:pPr>
            <w:r w:rsidRPr="00540671">
              <w:rPr>
                <w:rFonts w:eastAsia="Calibri"/>
                <w:b/>
              </w:rPr>
              <w:t>INVESTMENT 5:</w:t>
            </w:r>
            <w:r w:rsidR="00451CC2" w:rsidRPr="00451CC2">
              <w:rPr>
                <w:rFonts w:eastAsia="Calibri"/>
              </w:rPr>
              <w:t xml:space="preserve"> Interventions for the electricity interconnection of islands and the upgrading of the electricity network</w:t>
            </w:r>
          </w:p>
        </w:tc>
        <w:tc>
          <w:tcPr>
            <w:tcW w:w="1423" w:type="dxa"/>
            <w:tcMar>
              <w:top w:w="0" w:type="dxa"/>
              <w:left w:w="100" w:type="dxa"/>
              <w:bottom w:w="0" w:type="dxa"/>
              <w:right w:w="100" w:type="dxa"/>
            </w:tcMar>
            <w:vAlign w:val="center"/>
          </w:tcPr>
          <w:p w14:paraId="65B9B273" w14:textId="77777777" w:rsidR="00451CC2" w:rsidRDefault="00451CC2" w:rsidP="008A7CB8">
            <w:pPr>
              <w:pStyle w:val="Tabletext"/>
              <w:rPr>
                <w:rFonts w:eastAsia="Calibri"/>
              </w:rPr>
            </w:pPr>
            <w:r>
              <w:rPr>
                <w:rFonts w:eastAsia="Calibri"/>
              </w:rPr>
              <w:t>RRF 16870 /</w:t>
            </w:r>
            <w:r>
              <w:rPr>
                <w:rFonts w:eastAsia="Calibri"/>
              </w:rPr>
              <w:br/>
              <w:t xml:space="preserve">  MFF</w:t>
            </w:r>
          </w:p>
        </w:tc>
        <w:tc>
          <w:tcPr>
            <w:tcW w:w="1605" w:type="dxa"/>
            <w:tcMar>
              <w:top w:w="0" w:type="dxa"/>
              <w:left w:w="100" w:type="dxa"/>
              <w:bottom w:w="0" w:type="dxa"/>
              <w:right w:w="100" w:type="dxa"/>
            </w:tcMar>
            <w:vAlign w:val="center"/>
          </w:tcPr>
          <w:p w14:paraId="1FFFCC6E" w14:textId="77777777" w:rsidR="00451CC2" w:rsidRDefault="00451CC2" w:rsidP="008A7CB8">
            <w:pPr>
              <w:pStyle w:val="Tabletext"/>
              <w:rPr>
                <w:rFonts w:eastAsia="Calibri"/>
              </w:rPr>
            </w:pPr>
            <w:r>
              <w:rPr>
                <w:rFonts w:eastAsia="Calibri"/>
              </w:rPr>
              <w:t>2025 CSR 4.4</w:t>
            </w:r>
          </w:p>
          <w:p w14:paraId="33526BF5" w14:textId="77777777" w:rsidR="00451CC2" w:rsidRDefault="00451CC2" w:rsidP="008A7CB8">
            <w:pPr>
              <w:pStyle w:val="Tabletext"/>
              <w:rPr>
                <w:rFonts w:eastAsia="Calibri"/>
              </w:rPr>
            </w:pPr>
            <w:r>
              <w:rPr>
                <w:rFonts w:eastAsia="Calibri"/>
              </w:rPr>
              <w:t>2024 CSR 1.7</w:t>
            </w:r>
            <w:r>
              <w:rPr>
                <w:rFonts w:eastAsia="Calibri"/>
              </w:rPr>
              <w:br/>
              <w:t>2023 CSR 4.1</w:t>
            </w:r>
            <w:r>
              <w:rPr>
                <w:rFonts w:eastAsia="Calibri"/>
              </w:rPr>
              <w:br/>
              <w:t>2023 CSR 4.3</w:t>
            </w:r>
            <w:r>
              <w:rPr>
                <w:rFonts w:eastAsia="Calibri"/>
              </w:rPr>
              <w:br/>
              <w:t>2022 CSR 4.1</w:t>
            </w:r>
            <w:r>
              <w:rPr>
                <w:rFonts w:eastAsia="Calibri"/>
              </w:rPr>
              <w:br/>
              <w:t>2022 CSR 4.2</w:t>
            </w:r>
            <w:r>
              <w:rPr>
                <w:rFonts w:eastAsia="Calibri"/>
              </w:rPr>
              <w:br/>
              <w:t>2022 CSR 4.3</w:t>
            </w:r>
            <w:r>
              <w:rPr>
                <w:rFonts w:eastAsia="Calibri"/>
              </w:rPr>
              <w:br/>
              <w:t>2020 CSR 3.5</w:t>
            </w:r>
            <w:r>
              <w:rPr>
                <w:rFonts w:eastAsia="Calibri"/>
              </w:rPr>
              <w:br/>
              <w:t>2020 CSR 3.2</w:t>
            </w:r>
            <w:r>
              <w:rPr>
                <w:rFonts w:eastAsia="Calibri"/>
              </w:rPr>
              <w:br/>
              <w:t>2019 CSR 2.2</w:t>
            </w:r>
          </w:p>
        </w:tc>
        <w:tc>
          <w:tcPr>
            <w:tcW w:w="1224" w:type="dxa"/>
            <w:tcMar>
              <w:top w:w="0" w:type="dxa"/>
              <w:left w:w="100" w:type="dxa"/>
              <w:bottom w:w="0" w:type="dxa"/>
              <w:right w:w="100" w:type="dxa"/>
            </w:tcMar>
            <w:vAlign w:val="center"/>
          </w:tcPr>
          <w:p w14:paraId="7C04613B" w14:textId="77777777" w:rsidR="00451CC2" w:rsidRDefault="00451CC2" w:rsidP="008A7CB8">
            <w:pPr>
              <w:pStyle w:val="Tabletext"/>
              <w:rPr>
                <w:rFonts w:eastAsia="Calibri"/>
              </w:rPr>
            </w:pPr>
            <w:r>
              <w:rPr>
                <w:rFonts w:eastAsia="Calibri"/>
              </w:rPr>
              <w:t>Energy Security</w:t>
            </w:r>
          </w:p>
        </w:tc>
        <w:tc>
          <w:tcPr>
            <w:tcW w:w="1140" w:type="dxa"/>
            <w:tcMar>
              <w:top w:w="0" w:type="dxa"/>
              <w:left w:w="100" w:type="dxa"/>
              <w:bottom w:w="0" w:type="dxa"/>
              <w:right w:w="100" w:type="dxa"/>
            </w:tcMar>
            <w:vAlign w:val="center"/>
          </w:tcPr>
          <w:p w14:paraId="4F12FC5C" w14:textId="77777777" w:rsidR="00451CC2" w:rsidRDefault="00451CC2" w:rsidP="008A7CB8">
            <w:pPr>
              <w:pStyle w:val="Tabletext"/>
              <w:rPr>
                <w:rFonts w:eastAsia="Calibri"/>
              </w:rPr>
            </w:pPr>
            <w:r>
              <w:rPr>
                <w:rFonts w:eastAsia="Calibri"/>
              </w:rPr>
              <w:t>On track</w:t>
            </w:r>
          </w:p>
        </w:tc>
      </w:tr>
      <w:tr w:rsidR="00451CC2" w14:paraId="219C1D5D" w14:textId="77777777" w:rsidTr="00DA620A">
        <w:trPr>
          <w:trHeight w:val="170"/>
          <w:jc w:val="center"/>
        </w:trPr>
        <w:tc>
          <w:tcPr>
            <w:tcW w:w="3541" w:type="dxa"/>
            <w:tcMar>
              <w:top w:w="0" w:type="dxa"/>
              <w:left w:w="100" w:type="dxa"/>
              <w:bottom w:w="0" w:type="dxa"/>
              <w:right w:w="100" w:type="dxa"/>
            </w:tcMar>
            <w:vAlign w:val="center"/>
          </w:tcPr>
          <w:p w14:paraId="058DF327" w14:textId="77777777" w:rsidR="00451CC2" w:rsidRPr="00451CC2" w:rsidRDefault="00540671" w:rsidP="008A7CB8">
            <w:pPr>
              <w:pStyle w:val="Tabletext"/>
              <w:rPr>
                <w:rFonts w:eastAsia="Calibri"/>
              </w:rPr>
            </w:pPr>
            <w:r w:rsidRPr="00540671">
              <w:rPr>
                <w:rFonts w:eastAsia="Calibri"/>
                <w:b/>
              </w:rPr>
              <w:t>INVESTMENT 6:</w:t>
            </w:r>
            <w:r w:rsidR="00451CC2" w:rsidRPr="00451CC2">
              <w:rPr>
                <w:rFonts w:eastAsia="Calibri"/>
              </w:rPr>
              <w:t xml:space="preserve"> Installed capacity increase in Hellenic Electricity Distribution Network Operator (HEDNO) High Voltage/Medium Voltage substations for new RES connection</w:t>
            </w:r>
          </w:p>
        </w:tc>
        <w:tc>
          <w:tcPr>
            <w:tcW w:w="1423" w:type="dxa"/>
            <w:tcMar>
              <w:top w:w="0" w:type="dxa"/>
              <w:left w:w="100" w:type="dxa"/>
              <w:bottom w:w="0" w:type="dxa"/>
              <w:right w:w="100" w:type="dxa"/>
            </w:tcMar>
            <w:vAlign w:val="center"/>
          </w:tcPr>
          <w:p w14:paraId="31B5E2FB" w14:textId="77777777" w:rsidR="00451CC2" w:rsidRDefault="00451CC2" w:rsidP="008A7CB8">
            <w:pPr>
              <w:pStyle w:val="Tabletext"/>
              <w:rPr>
                <w:rFonts w:eastAsia="Calibri"/>
              </w:rPr>
            </w:pPr>
            <w:r>
              <w:rPr>
                <w:rFonts w:eastAsia="Calibri"/>
              </w:rPr>
              <w:t>RRF 16899 /</w:t>
            </w:r>
            <w:r>
              <w:rPr>
                <w:rFonts w:eastAsia="Calibri"/>
              </w:rPr>
              <w:br/>
              <w:t xml:space="preserve">  MFF</w:t>
            </w:r>
          </w:p>
        </w:tc>
        <w:tc>
          <w:tcPr>
            <w:tcW w:w="1605" w:type="dxa"/>
            <w:tcMar>
              <w:top w:w="0" w:type="dxa"/>
              <w:left w:w="100" w:type="dxa"/>
              <w:bottom w:w="0" w:type="dxa"/>
              <w:right w:w="100" w:type="dxa"/>
            </w:tcMar>
            <w:vAlign w:val="center"/>
          </w:tcPr>
          <w:p w14:paraId="29D1796C" w14:textId="77777777" w:rsidR="00451CC2" w:rsidRDefault="00451CC2" w:rsidP="008A7CB8">
            <w:pPr>
              <w:pStyle w:val="Tabletext"/>
              <w:rPr>
                <w:rFonts w:eastAsia="Calibri"/>
              </w:rPr>
            </w:pPr>
            <w:r>
              <w:rPr>
                <w:rFonts w:eastAsia="Calibri"/>
              </w:rPr>
              <w:t>2025 CSR 4.4</w:t>
            </w:r>
          </w:p>
          <w:p w14:paraId="642BED96" w14:textId="77777777" w:rsidR="00451CC2" w:rsidRDefault="00451CC2" w:rsidP="008A7CB8">
            <w:pPr>
              <w:pStyle w:val="Tabletext"/>
              <w:rPr>
                <w:rFonts w:eastAsia="Calibri"/>
              </w:rPr>
            </w:pPr>
            <w:r>
              <w:rPr>
                <w:rFonts w:eastAsia="Calibri"/>
              </w:rPr>
              <w:t>2024 CSR 1.7</w:t>
            </w:r>
            <w:r>
              <w:rPr>
                <w:rFonts w:eastAsia="Calibri"/>
              </w:rPr>
              <w:br/>
              <w:t>2023 CSR 4.1</w:t>
            </w:r>
            <w:r>
              <w:rPr>
                <w:rFonts w:eastAsia="Calibri"/>
              </w:rPr>
              <w:br/>
              <w:t>2023 CSR 4.3</w:t>
            </w:r>
            <w:r>
              <w:rPr>
                <w:rFonts w:eastAsia="Calibri"/>
              </w:rPr>
              <w:br/>
              <w:t>2022 CSR 4.1</w:t>
            </w:r>
            <w:r>
              <w:rPr>
                <w:rFonts w:eastAsia="Calibri"/>
              </w:rPr>
              <w:br/>
              <w:t>2022 CSR 4.2</w:t>
            </w:r>
            <w:r>
              <w:rPr>
                <w:rFonts w:eastAsia="Calibri"/>
              </w:rPr>
              <w:br/>
              <w:t>2022 CSR 4.3</w:t>
            </w:r>
            <w:r>
              <w:rPr>
                <w:rFonts w:eastAsia="Calibri"/>
              </w:rPr>
              <w:br/>
              <w:t>2020 CSR 3.5</w:t>
            </w:r>
            <w:r>
              <w:rPr>
                <w:rFonts w:eastAsia="Calibri"/>
              </w:rPr>
              <w:br/>
              <w:t>2020 CSR 3.2</w:t>
            </w:r>
            <w:r>
              <w:rPr>
                <w:rFonts w:eastAsia="Calibri"/>
              </w:rPr>
              <w:br/>
              <w:t>2019 CSR 2.2</w:t>
            </w:r>
          </w:p>
        </w:tc>
        <w:tc>
          <w:tcPr>
            <w:tcW w:w="1224" w:type="dxa"/>
            <w:tcMar>
              <w:top w:w="0" w:type="dxa"/>
              <w:left w:w="100" w:type="dxa"/>
              <w:bottom w:w="0" w:type="dxa"/>
              <w:right w:w="100" w:type="dxa"/>
            </w:tcMar>
            <w:vAlign w:val="center"/>
          </w:tcPr>
          <w:p w14:paraId="04468D08" w14:textId="77777777" w:rsidR="00451CC2" w:rsidRDefault="00451CC2" w:rsidP="008A7CB8">
            <w:pPr>
              <w:pStyle w:val="Tabletext"/>
              <w:rPr>
                <w:rFonts w:eastAsia="Calibri"/>
              </w:rPr>
            </w:pPr>
            <w:r>
              <w:rPr>
                <w:rFonts w:eastAsia="Calibri"/>
              </w:rPr>
              <w:t>Fair green &amp; digital transition</w:t>
            </w:r>
          </w:p>
        </w:tc>
        <w:tc>
          <w:tcPr>
            <w:tcW w:w="1140" w:type="dxa"/>
            <w:tcMar>
              <w:top w:w="0" w:type="dxa"/>
              <w:left w:w="100" w:type="dxa"/>
              <w:bottom w:w="0" w:type="dxa"/>
              <w:right w:w="100" w:type="dxa"/>
            </w:tcMar>
            <w:vAlign w:val="center"/>
          </w:tcPr>
          <w:p w14:paraId="219D10D9" w14:textId="77777777" w:rsidR="00451CC2" w:rsidRDefault="00451CC2" w:rsidP="008A7CB8">
            <w:pPr>
              <w:pStyle w:val="Tabletext"/>
              <w:rPr>
                <w:rFonts w:eastAsia="Calibri"/>
              </w:rPr>
            </w:pPr>
            <w:r>
              <w:rPr>
                <w:rFonts w:eastAsia="Calibri"/>
              </w:rPr>
              <w:t>On track</w:t>
            </w:r>
          </w:p>
        </w:tc>
      </w:tr>
      <w:tr w:rsidR="00451CC2" w14:paraId="0243BB05" w14:textId="77777777" w:rsidTr="00DA620A">
        <w:trPr>
          <w:trHeight w:val="170"/>
          <w:jc w:val="center"/>
        </w:trPr>
        <w:tc>
          <w:tcPr>
            <w:tcW w:w="3541" w:type="dxa"/>
            <w:tcMar>
              <w:top w:w="0" w:type="dxa"/>
              <w:left w:w="100" w:type="dxa"/>
              <w:bottom w:w="0" w:type="dxa"/>
              <w:right w:w="100" w:type="dxa"/>
            </w:tcMar>
            <w:vAlign w:val="center"/>
          </w:tcPr>
          <w:p w14:paraId="7D1F4C07" w14:textId="77777777" w:rsidR="00451CC2" w:rsidRPr="00451CC2" w:rsidRDefault="00540671" w:rsidP="008A7CB8">
            <w:pPr>
              <w:pStyle w:val="Tabletext"/>
              <w:rPr>
                <w:rFonts w:eastAsia="Calibri"/>
              </w:rPr>
            </w:pPr>
            <w:r w:rsidRPr="00540671">
              <w:rPr>
                <w:rFonts w:eastAsia="Calibri"/>
                <w:b/>
              </w:rPr>
              <w:t>INVESTMENT 7:</w:t>
            </w:r>
            <w:r w:rsidR="00451CC2" w:rsidRPr="00451CC2">
              <w:rPr>
                <w:rFonts w:eastAsia="Calibri"/>
              </w:rPr>
              <w:t xml:space="preserve"> Support of the installation of storage systems to enhance renewable energy (RES) penetration</w:t>
            </w:r>
          </w:p>
        </w:tc>
        <w:tc>
          <w:tcPr>
            <w:tcW w:w="1423" w:type="dxa"/>
            <w:tcMar>
              <w:top w:w="0" w:type="dxa"/>
              <w:left w:w="100" w:type="dxa"/>
              <w:bottom w:w="0" w:type="dxa"/>
              <w:right w:w="100" w:type="dxa"/>
            </w:tcMar>
            <w:vAlign w:val="center"/>
          </w:tcPr>
          <w:p w14:paraId="34B4A12E" w14:textId="77777777" w:rsidR="00451CC2" w:rsidRDefault="00451CC2" w:rsidP="008A7CB8">
            <w:pPr>
              <w:pStyle w:val="Tabletext"/>
              <w:rPr>
                <w:rFonts w:eastAsia="Calibri"/>
              </w:rPr>
            </w:pPr>
            <w:r>
              <w:rPr>
                <w:rFonts w:eastAsia="Calibri"/>
              </w:rPr>
              <w:t>RRF 16926 /</w:t>
            </w:r>
            <w:r>
              <w:rPr>
                <w:rFonts w:eastAsia="Calibri"/>
              </w:rPr>
              <w:br/>
              <w:t xml:space="preserve">  MFF</w:t>
            </w:r>
          </w:p>
        </w:tc>
        <w:tc>
          <w:tcPr>
            <w:tcW w:w="1605" w:type="dxa"/>
            <w:tcMar>
              <w:top w:w="0" w:type="dxa"/>
              <w:left w:w="100" w:type="dxa"/>
              <w:bottom w:w="0" w:type="dxa"/>
              <w:right w:w="100" w:type="dxa"/>
            </w:tcMar>
            <w:vAlign w:val="center"/>
          </w:tcPr>
          <w:p w14:paraId="10982646" w14:textId="77777777" w:rsidR="00451CC2" w:rsidRPr="00451CC2" w:rsidRDefault="00451CC2" w:rsidP="008A7CB8">
            <w:pPr>
              <w:pStyle w:val="Tabletext"/>
              <w:rPr>
                <w:rFonts w:eastAsia="Calibri"/>
              </w:rPr>
            </w:pPr>
            <w:r w:rsidRPr="00451CC2">
              <w:rPr>
                <w:rFonts w:eastAsia="Calibri"/>
              </w:rPr>
              <w:t>2025 CSR 4.1</w:t>
            </w:r>
          </w:p>
          <w:p w14:paraId="380106A0" w14:textId="77777777" w:rsidR="00451CC2" w:rsidRPr="00451CC2" w:rsidRDefault="00451CC2" w:rsidP="008A7CB8">
            <w:pPr>
              <w:pStyle w:val="Tabletext"/>
              <w:rPr>
                <w:rFonts w:eastAsia="Calibri"/>
              </w:rPr>
            </w:pPr>
            <w:r w:rsidRPr="00451CC2">
              <w:rPr>
                <w:rFonts w:eastAsia="Calibri"/>
              </w:rPr>
              <w:t>2024 CSR 1.7</w:t>
            </w:r>
            <w:r w:rsidRPr="00451CC2">
              <w:rPr>
                <w:rFonts w:eastAsia="Calibri"/>
              </w:rPr>
              <w:br/>
              <w:t>2023 CSR 4.3</w:t>
            </w:r>
            <w:r w:rsidRPr="00451CC2">
              <w:rPr>
                <w:rFonts w:eastAsia="Calibri"/>
              </w:rPr>
              <w:br/>
              <w:t>2023 CSR 4.1</w:t>
            </w:r>
            <w:r w:rsidRPr="00451CC2">
              <w:rPr>
                <w:rFonts w:eastAsia="Calibri"/>
              </w:rPr>
              <w:br/>
              <w:t>2022 CSR 4.2</w:t>
            </w:r>
            <w:r w:rsidRPr="00451CC2">
              <w:rPr>
                <w:rFonts w:eastAsia="Calibri"/>
              </w:rPr>
              <w:br/>
              <w:t>2022 CSR 4.1</w:t>
            </w:r>
            <w:r w:rsidRPr="00451CC2">
              <w:rPr>
                <w:rFonts w:eastAsia="Calibri"/>
              </w:rPr>
              <w:br/>
            </w:r>
            <w:r w:rsidRPr="00451CC2">
              <w:rPr>
                <w:rFonts w:eastAsia="Calibri"/>
              </w:rPr>
              <w:lastRenderedPageBreak/>
              <w:t>2020 CSR 3.5</w:t>
            </w:r>
            <w:r w:rsidRPr="00451CC2">
              <w:rPr>
                <w:rFonts w:eastAsia="Calibri"/>
              </w:rPr>
              <w:br/>
              <w:t>2020 CSR 3.3</w:t>
            </w:r>
            <w:r w:rsidRPr="00451CC2">
              <w:rPr>
                <w:rFonts w:eastAsia="Calibri"/>
              </w:rPr>
              <w:br/>
              <w:t>2019 CSR 2.2</w:t>
            </w:r>
          </w:p>
        </w:tc>
        <w:tc>
          <w:tcPr>
            <w:tcW w:w="1224" w:type="dxa"/>
            <w:tcMar>
              <w:top w:w="0" w:type="dxa"/>
              <w:left w:w="100" w:type="dxa"/>
              <w:bottom w:w="0" w:type="dxa"/>
              <w:right w:w="100" w:type="dxa"/>
            </w:tcMar>
            <w:vAlign w:val="center"/>
          </w:tcPr>
          <w:p w14:paraId="1A67EEA3" w14:textId="77777777" w:rsidR="00451CC2" w:rsidRDefault="00451CC2" w:rsidP="008A7CB8">
            <w:pPr>
              <w:pStyle w:val="Tabletext"/>
              <w:rPr>
                <w:rFonts w:eastAsia="Calibri"/>
              </w:rPr>
            </w:pPr>
            <w:r>
              <w:rPr>
                <w:rFonts w:eastAsia="Calibri"/>
              </w:rPr>
              <w:lastRenderedPageBreak/>
              <w:t>Energy Security</w:t>
            </w:r>
          </w:p>
        </w:tc>
        <w:tc>
          <w:tcPr>
            <w:tcW w:w="1140" w:type="dxa"/>
            <w:tcMar>
              <w:top w:w="0" w:type="dxa"/>
              <w:left w:w="100" w:type="dxa"/>
              <w:bottom w:w="0" w:type="dxa"/>
              <w:right w:w="100" w:type="dxa"/>
            </w:tcMar>
            <w:vAlign w:val="center"/>
          </w:tcPr>
          <w:p w14:paraId="203A93C5" w14:textId="77777777" w:rsidR="00451CC2" w:rsidRDefault="00451CC2" w:rsidP="008A7CB8">
            <w:pPr>
              <w:pStyle w:val="Tabletext"/>
              <w:rPr>
                <w:rFonts w:eastAsia="Calibri"/>
              </w:rPr>
            </w:pPr>
            <w:r>
              <w:rPr>
                <w:rFonts w:eastAsia="Calibri"/>
              </w:rPr>
              <w:t>On track</w:t>
            </w:r>
          </w:p>
        </w:tc>
      </w:tr>
      <w:tr w:rsidR="00451CC2" w14:paraId="49DFFF2C" w14:textId="77777777" w:rsidTr="00DA620A">
        <w:trPr>
          <w:trHeight w:val="170"/>
          <w:jc w:val="center"/>
        </w:trPr>
        <w:tc>
          <w:tcPr>
            <w:tcW w:w="3541" w:type="dxa"/>
            <w:tcMar>
              <w:top w:w="0" w:type="dxa"/>
              <w:left w:w="100" w:type="dxa"/>
              <w:bottom w:w="0" w:type="dxa"/>
              <w:right w:w="100" w:type="dxa"/>
            </w:tcMar>
            <w:vAlign w:val="center"/>
          </w:tcPr>
          <w:p w14:paraId="7B6A691B" w14:textId="77777777" w:rsidR="00451CC2" w:rsidRDefault="00540671" w:rsidP="008A7CB8">
            <w:pPr>
              <w:pStyle w:val="Tabletext"/>
              <w:rPr>
                <w:rFonts w:eastAsia="Calibri"/>
              </w:rPr>
            </w:pPr>
            <w:r w:rsidRPr="00540671">
              <w:rPr>
                <w:rFonts w:eastAsia="Calibri"/>
                <w:b/>
              </w:rPr>
              <w:t>INVESTMENT 8:</w:t>
            </w:r>
            <w:r w:rsidR="00451CC2">
              <w:rPr>
                <w:rFonts w:eastAsia="Calibri"/>
              </w:rPr>
              <w:t xml:space="preserve"> Energy and entrepreneurship</w:t>
            </w:r>
          </w:p>
        </w:tc>
        <w:tc>
          <w:tcPr>
            <w:tcW w:w="1423" w:type="dxa"/>
            <w:tcMar>
              <w:top w:w="0" w:type="dxa"/>
              <w:left w:w="100" w:type="dxa"/>
              <w:bottom w:w="0" w:type="dxa"/>
              <w:right w:w="100" w:type="dxa"/>
            </w:tcMar>
            <w:vAlign w:val="center"/>
          </w:tcPr>
          <w:p w14:paraId="3C4F3D27" w14:textId="037F2236" w:rsidR="00451CC2" w:rsidRDefault="00451CC2" w:rsidP="008A7CB8">
            <w:pPr>
              <w:pStyle w:val="Tabletext"/>
              <w:rPr>
                <w:rFonts w:eastAsia="Calibri"/>
              </w:rPr>
            </w:pPr>
            <w:r>
              <w:rPr>
                <w:rFonts w:eastAsia="Calibri"/>
              </w:rPr>
              <w:t>RRF 16874</w:t>
            </w:r>
            <w:r w:rsidR="00DA620A">
              <w:rPr>
                <w:rFonts w:eastAsia="Calibri"/>
              </w:rPr>
              <w:t xml:space="preserve"> </w:t>
            </w:r>
            <w:r>
              <w:rPr>
                <w:rFonts w:eastAsia="Calibri"/>
              </w:rPr>
              <w:t>/</w:t>
            </w:r>
            <w:r w:rsidR="00DA620A">
              <w:rPr>
                <w:rFonts w:eastAsia="Calibri"/>
              </w:rPr>
              <w:t xml:space="preserve"> </w:t>
            </w:r>
            <w:r>
              <w:rPr>
                <w:rFonts w:eastAsia="Calibri"/>
              </w:rPr>
              <w:t>ΜFF</w:t>
            </w:r>
          </w:p>
        </w:tc>
        <w:tc>
          <w:tcPr>
            <w:tcW w:w="1605" w:type="dxa"/>
            <w:tcMar>
              <w:top w:w="0" w:type="dxa"/>
              <w:left w:w="100" w:type="dxa"/>
              <w:bottom w:w="0" w:type="dxa"/>
              <w:right w:w="100" w:type="dxa"/>
            </w:tcMar>
            <w:vAlign w:val="center"/>
          </w:tcPr>
          <w:p w14:paraId="46E9D3D0" w14:textId="77777777" w:rsidR="00451CC2" w:rsidRPr="00451CC2" w:rsidRDefault="00451CC2" w:rsidP="008A7CB8">
            <w:pPr>
              <w:pStyle w:val="Tabletext"/>
              <w:rPr>
                <w:rFonts w:eastAsia="Calibri"/>
              </w:rPr>
            </w:pPr>
            <w:r w:rsidRPr="00451CC2">
              <w:rPr>
                <w:rFonts w:eastAsia="Calibri"/>
              </w:rPr>
              <w:t>2024 CSR 1.7</w:t>
            </w:r>
            <w:r w:rsidRPr="00451CC2">
              <w:rPr>
                <w:rFonts w:eastAsia="Calibri"/>
              </w:rPr>
              <w:br/>
              <w:t>2023 CSR 4.1</w:t>
            </w:r>
            <w:r w:rsidRPr="00451CC2">
              <w:rPr>
                <w:rFonts w:eastAsia="Calibri"/>
              </w:rPr>
              <w:br/>
              <w:t>2023 CSR 4.4</w:t>
            </w:r>
            <w:r w:rsidRPr="00451CC2">
              <w:rPr>
                <w:rFonts w:eastAsia="Calibri"/>
              </w:rPr>
              <w:br/>
              <w:t>2022 CSR 4.5</w:t>
            </w:r>
            <w:r w:rsidRPr="00451CC2">
              <w:rPr>
                <w:rFonts w:eastAsia="Calibri"/>
              </w:rPr>
              <w:br/>
              <w:t>2022 CSR 4.4</w:t>
            </w:r>
            <w:r w:rsidRPr="00451CC2">
              <w:rPr>
                <w:rFonts w:eastAsia="Calibri"/>
              </w:rPr>
              <w:br/>
              <w:t>2022 CSR 4.1</w:t>
            </w:r>
            <w:r w:rsidRPr="00451CC2">
              <w:rPr>
                <w:rFonts w:eastAsia="Calibri"/>
              </w:rPr>
              <w:br/>
              <w:t>2020 CSR 3.5</w:t>
            </w:r>
            <w:r w:rsidRPr="00451CC2">
              <w:rPr>
                <w:rFonts w:eastAsia="Calibri"/>
              </w:rPr>
              <w:br/>
              <w:t>2020 CSR 3.3</w:t>
            </w:r>
            <w:r w:rsidRPr="00451CC2">
              <w:rPr>
                <w:rFonts w:eastAsia="Calibri"/>
              </w:rPr>
              <w:br/>
              <w:t>2019 CSR 2.2</w:t>
            </w:r>
          </w:p>
        </w:tc>
        <w:tc>
          <w:tcPr>
            <w:tcW w:w="1224" w:type="dxa"/>
            <w:tcMar>
              <w:top w:w="0" w:type="dxa"/>
              <w:left w:w="100" w:type="dxa"/>
              <w:bottom w:w="0" w:type="dxa"/>
              <w:right w:w="100" w:type="dxa"/>
            </w:tcMar>
            <w:vAlign w:val="center"/>
          </w:tcPr>
          <w:p w14:paraId="136FB9D1" w14:textId="77777777" w:rsidR="00451CC2" w:rsidRDefault="00451CC2" w:rsidP="008A7CB8">
            <w:pPr>
              <w:pStyle w:val="Tabletext"/>
              <w:rPr>
                <w:rFonts w:eastAsia="Calibri"/>
              </w:rPr>
            </w:pPr>
            <w:r>
              <w:rPr>
                <w:rFonts w:eastAsia="Calibri"/>
              </w:rPr>
              <w:t>Fair green &amp; digital transition</w:t>
            </w:r>
          </w:p>
        </w:tc>
        <w:tc>
          <w:tcPr>
            <w:tcW w:w="1140" w:type="dxa"/>
            <w:tcMar>
              <w:top w:w="0" w:type="dxa"/>
              <w:left w:w="100" w:type="dxa"/>
              <w:bottom w:w="0" w:type="dxa"/>
              <w:right w:w="100" w:type="dxa"/>
            </w:tcMar>
            <w:vAlign w:val="center"/>
          </w:tcPr>
          <w:p w14:paraId="403845F1" w14:textId="77777777" w:rsidR="00451CC2" w:rsidRDefault="00451CC2" w:rsidP="008A7CB8">
            <w:pPr>
              <w:pStyle w:val="Tabletext"/>
              <w:rPr>
                <w:rFonts w:eastAsia="Calibri"/>
              </w:rPr>
            </w:pPr>
            <w:r>
              <w:rPr>
                <w:rFonts w:eastAsia="Calibri"/>
              </w:rPr>
              <w:t>On track</w:t>
            </w:r>
          </w:p>
        </w:tc>
      </w:tr>
      <w:tr w:rsidR="00451CC2" w14:paraId="40C730E8" w14:textId="77777777" w:rsidTr="00DA620A">
        <w:trPr>
          <w:trHeight w:val="170"/>
          <w:jc w:val="center"/>
        </w:trPr>
        <w:tc>
          <w:tcPr>
            <w:tcW w:w="3541" w:type="dxa"/>
            <w:tcMar>
              <w:top w:w="0" w:type="dxa"/>
              <w:left w:w="100" w:type="dxa"/>
              <w:bottom w:w="0" w:type="dxa"/>
              <w:right w:w="100" w:type="dxa"/>
            </w:tcMar>
            <w:vAlign w:val="center"/>
          </w:tcPr>
          <w:p w14:paraId="314D25E9" w14:textId="77777777" w:rsidR="00451CC2" w:rsidRPr="00451CC2" w:rsidRDefault="00540671" w:rsidP="008A7CB8">
            <w:pPr>
              <w:pStyle w:val="Tabletext"/>
              <w:rPr>
                <w:rFonts w:eastAsia="Calibri"/>
              </w:rPr>
            </w:pPr>
            <w:r w:rsidRPr="00540671">
              <w:rPr>
                <w:rFonts w:eastAsia="Calibri"/>
                <w:b/>
              </w:rPr>
              <w:t>INVESTMENT 9:</w:t>
            </w:r>
            <w:r w:rsidR="00451CC2" w:rsidRPr="00451CC2">
              <w:rPr>
                <w:rFonts w:eastAsia="Calibri"/>
              </w:rPr>
              <w:t xml:space="preserve"> Energy upgrade of public sector buildings</w:t>
            </w:r>
          </w:p>
        </w:tc>
        <w:tc>
          <w:tcPr>
            <w:tcW w:w="1423" w:type="dxa"/>
            <w:tcMar>
              <w:top w:w="0" w:type="dxa"/>
              <w:left w:w="100" w:type="dxa"/>
              <w:bottom w:w="0" w:type="dxa"/>
              <w:right w:w="100" w:type="dxa"/>
            </w:tcMar>
            <w:vAlign w:val="center"/>
          </w:tcPr>
          <w:p w14:paraId="77B416D6" w14:textId="77777777" w:rsidR="00451CC2" w:rsidRDefault="00451CC2" w:rsidP="008A7CB8">
            <w:pPr>
              <w:pStyle w:val="Tabletext"/>
              <w:rPr>
                <w:rFonts w:eastAsia="Calibri"/>
              </w:rPr>
            </w:pPr>
            <w:r>
              <w:rPr>
                <w:rFonts w:eastAsia="Calibri"/>
              </w:rPr>
              <w:t>RRF 16876 /</w:t>
            </w:r>
            <w:r>
              <w:rPr>
                <w:rFonts w:eastAsia="Calibri"/>
              </w:rPr>
              <w:br/>
              <w:t xml:space="preserve">  MFF</w:t>
            </w:r>
          </w:p>
        </w:tc>
        <w:tc>
          <w:tcPr>
            <w:tcW w:w="1605" w:type="dxa"/>
            <w:tcMar>
              <w:top w:w="0" w:type="dxa"/>
              <w:left w:w="100" w:type="dxa"/>
              <w:bottom w:w="0" w:type="dxa"/>
              <w:right w:w="100" w:type="dxa"/>
            </w:tcMar>
            <w:vAlign w:val="center"/>
          </w:tcPr>
          <w:p w14:paraId="52DCFC9D" w14:textId="77777777" w:rsidR="00451CC2" w:rsidRPr="00451CC2" w:rsidRDefault="00451CC2" w:rsidP="008A7CB8">
            <w:pPr>
              <w:pStyle w:val="Tabletext"/>
              <w:rPr>
                <w:rFonts w:eastAsia="Calibri"/>
              </w:rPr>
            </w:pPr>
            <w:r w:rsidRPr="00451CC2">
              <w:rPr>
                <w:rFonts w:eastAsia="Calibri"/>
              </w:rPr>
              <w:t>2024 CSR 1.7</w:t>
            </w:r>
            <w:r w:rsidRPr="00451CC2">
              <w:rPr>
                <w:rFonts w:eastAsia="Calibri"/>
              </w:rPr>
              <w:br/>
              <w:t>2023 CSR 4.4</w:t>
            </w:r>
            <w:r w:rsidRPr="00451CC2">
              <w:rPr>
                <w:rFonts w:eastAsia="Calibri"/>
              </w:rPr>
              <w:br/>
              <w:t>2023 CSR 4.1</w:t>
            </w:r>
            <w:r w:rsidRPr="00451CC2">
              <w:rPr>
                <w:rFonts w:eastAsia="Calibri"/>
              </w:rPr>
              <w:br/>
              <w:t>2022 CSR 4.5</w:t>
            </w:r>
            <w:r w:rsidRPr="00451CC2">
              <w:rPr>
                <w:rFonts w:eastAsia="Calibri"/>
              </w:rPr>
              <w:br/>
              <w:t>2022 CSR 4.4</w:t>
            </w:r>
            <w:r w:rsidRPr="00451CC2">
              <w:rPr>
                <w:rFonts w:eastAsia="Calibri"/>
              </w:rPr>
              <w:br/>
              <w:t>2022 CSR 4.1</w:t>
            </w:r>
            <w:r w:rsidRPr="00451CC2">
              <w:rPr>
                <w:rFonts w:eastAsia="Calibri"/>
              </w:rPr>
              <w:br/>
              <w:t>2020 CSR 3.5</w:t>
            </w:r>
            <w:r w:rsidRPr="00451CC2">
              <w:rPr>
                <w:rFonts w:eastAsia="Calibri"/>
              </w:rPr>
              <w:br/>
              <w:t>2020 CSR 3.2</w:t>
            </w:r>
            <w:r w:rsidRPr="00451CC2">
              <w:rPr>
                <w:rFonts w:eastAsia="Calibri"/>
              </w:rPr>
              <w:br/>
              <w:t>2019 CSR 2.2</w:t>
            </w:r>
          </w:p>
        </w:tc>
        <w:tc>
          <w:tcPr>
            <w:tcW w:w="1224" w:type="dxa"/>
            <w:tcMar>
              <w:top w:w="0" w:type="dxa"/>
              <w:left w:w="100" w:type="dxa"/>
              <w:bottom w:w="0" w:type="dxa"/>
              <w:right w:w="100" w:type="dxa"/>
            </w:tcMar>
            <w:vAlign w:val="center"/>
          </w:tcPr>
          <w:p w14:paraId="02D3EA08" w14:textId="77777777" w:rsidR="00451CC2" w:rsidRDefault="00451CC2" w:rsidP="008A7CB8">
            <w:pPr>
              <w:pStyle w:val="Tabletext"/>
              <w:rPr>
                <w:rFonts w:eastAsia="Calibri"/>
              </w:rPr>
            </w:pPr>
            <w:r>
              <w:rPr>
                <w:rFonts w:eastAsia="Calibri"/>
              </w:rPr>
              <w:t>Fair green &amp; digital transition</w:t>
            </w:r>
          </w:p>
        </w:tc>
        <w:tc>
          <w:tcPr>
            <w:tcW w:w="1140" w:type="dxa"/>
            <w:tcMar>
              <w:top w:w="0" w:type="dxa"/>
              <w:left w:w="100" w:type="dxa"/>
              <w:bottom w:w="0" w:type="dxa"/>
              <w:right w:w="100" w:type="dxa"/>
            </w:tcMar>
            <w:vAlign w:val="center"/>
          </w:tcPr>
          <w:p w14:paraId="16C5E3F7" w14:textId="77777777" w:rsidR="00451CC2" w:rsidRDefault="00451CC2" w:rsidP="008A7CB8">
            <w:pPr>
              <w:pStyle w:val="Tabletext"/>
              <w:rPr>
                <w:rFonts w:eastAsia="Calibri"/>
              </w:rPr>
            </w:pPr>
            <w:r>
              <w:rPr>
                <w:rFonts w:eastAsia="Calibri"/>
              </w:rPr>
              <w:t>On track</w:t>
            </w:r>
          </w:p>
        </w:tc>
      </w:tr>
      <w:tr w:rsidR="00451CC2" w14:paraId="33ED9D00" w14:textId="77777777" w:rsidTr="00DA620A">
        <w:trPr>
          <w:trHeight w:val="170"/>
          <w:jc w:val="center"/>
        </w:trPr>
        <w:tc>
          <w:tcPr>
            <w:tcW w:w="3541" w:type="dxa"/>
            <w:tcMar>
              <w:top w:w="0" w:type="dxa"/>
              <w:left w:w="100" w:type="dxa"/>
              <w:bottom w:w="0" w:type="dxa"/>
              <w:right w:w="100" w:type="dxa"/>
            </w:tcMar>
            <w:vAlign w:val="center"/>
          </w:tcPr>
          <w:p w14:paraId="34AC0B46" w14:textId="77777777" w:rsidR="00451CC2" w:rsidRDefault="00540671" w:rsidP="008A7CB8">
            <w:pPr>
              <w:pStyle w:val="Tabletext"/>
              <w:rPr>
                <w:rFonts w:eastAsia="Calibri"/>
              </w:rPr>
            </w:pPr>
            <w:r w:rsidRPr="00540671">
              <w:rPr>
                <w:rFonts w:eastAsia="Calibri"/>
                <w:b/>
              </w:rPr>
              <w:t>INVESTMENT 10:</w:t>
            </w:r>
            <w:r w:rsidR="00451CC2">
              <w:rPr>
                <w:rFonts w:eastAsia="Calibri"/>
              </w:rPr>
              <w:t xml:space="preserve"> </w:t>
            </w:r>
            <w:proofErr w:type="spellStart"/>
            <w:r w:rsidR="00451CC2">
              <w:rPr>
                <w:rFonts w:eastAsia="Calibri"/>
              </w:rPr>
              <w:t>Produc</w:t>
            </w:r>
            <w:proofErr w:type="spellEnd"/>
            <w:r w:rsidR="00451CC2">
              <w:rPr>
                <w:rFonts w:eastAsia="Calibri"/>
              </w:rPr>
              <w:t>-E Green</w:t>
            </w:r>
          </w:p>
        </w:tc>
        <w:tc>
          <w:tcPr>
            <w:tcW w:w="1423" w:type="dxa"/>
            <w:tcMar>
              <w:top w:w="0" w:type="dxa"/>
              <w:left w:w="100" w:type="dxa"/>
              <w:bottom w:w="0" w:type="dxa"/>
              <w:right w:w="100" w:type="dxa"/>
            </w:tcMar>
            <w:vAlign w:val="center"/>
          </w:tcPr>
          <w:p w14:paraId="473951D9" w14:textId="77777777" w:rsidR="00451CC2" w:rsidRDefault="00451CC2" w:rsidP="008A7CB8">
            <w:pPr>
              <w:pStyle w:val="Tabletext"/>
              <w:rPr>
                <w:rFonts w:eastAsia="Calibri"/>
              </w:rPr>
            </w:pPr>
            <w:r>
              <w:rPr>
                <w:rFonts w:eastAsia="Calibri"/>
              </w:rPr>
              <w:t>RRF 16831 /</w:t>
            </w:r>
            <w:r>
              <w:rPr>
                <w:rFonts w:eastAsia="Calibri"/>
              </w:rPr>
              <w:br/>
              <w:t xml:space="preserve">  MFF</w:t>
            </w:r>
          </w:p>
        </w:tc>
        <w:tc>
          <w:tcPr>
            <w:tcW w:w="1605" w:type="dxa"/>
            <w:tcMar>
              <w:top w:w="0" w:type="dxa"/>
              <w:left w:w="100" w:type="dxa"/>
              <w:bottom w:w="0" w:type="dxa"/>
              <w:right w:w="100" w:type="dxa"/>
            </w:tcMar>
            <w:vAlign w:val="center"/>
          </w:tcPr>
          <w:p w14:paraId="7D05CE5D" w14:textId="77777777" w:rsidR="00451CC2" w:rsidRPr="00451CC2" w:rsidRDefault="00451CC2" w:rsidP="008A7CB8">
            <w:pPr>
              <w:pStyle w:val="Tabletext"/>
              <w:rPr>
                <w:rFonts w:eastAsia="Calibri"/>
              </w:rPr>
            </w:pPr>
            <w:r w:rsidRPr="00451CC2">
              <w:rPr>
                <w:rFonts w:eastAsia="Calibri"/>
              </w:rPr>
              <w:t>2024 CSR 1.7</w:t>
            </w:r>
            <w:r w:rsidRPr="00451CC2">
              <w:rPr>
                <w:rFonts w:eastAsia="Calibri"/>
              </w:rPr>
              <w:br/>
              <w:t>2023 CSR 4.1</w:t>
            </w:r>
            <w:r w:rsidRPr="00451CC2">
              <w:rPr>
                <w:rFonts w:eastAsia="Calibri"/>
              </w:rPr>
              <w:br/>
              <w:t>2023 CSR 4.6</w:t>
            </w:r>
            <w:r w:rsidRPr="00451CC2">
              <w:rPr>
                <w:rFonts w:eastAsia="Calibri"/>
              </w:rPr>
              <w:br/>
              <w:t>2022 CSR 4.1</w:t>
            </w:r>
            <w:r w:rsidRPr="00451CC2">
              <w:rPr>
                <w:rFonts w:eastAsia="Calibri"/>
              </w:rPr>
              <w:br/>
              <w:t>2022 CSR 4.6</w:t>
            </w:r>
            <w:r w:rsidRPr="00451CC2">
              <w:rPr>
                <w:rFonts w:eastAsia="Calibri"/>
              </w:rPr>
              <w:br/>
              <w:t>2020 CSR 3.3</w:t>
            </w:r>
            <w:r w:rsidRPr="00451CC2">
              <w:rPr>
                <w:rFonts w:eastAsia="Calibri"/>
              </w:rPr>
              <w:br/>
              <w:t>2020 CSR 3.4</w:t>
            </w:r>
            <w:r w:rsidRPr="00451CC2">
              <w:rPr>
                <w:rFonts w:eastAsia="Calibri"/>
              </w:rPr>
              <w:br/>
              <w:t>2019 CSR 2.1</w:t>
            </w:r>
            <w:r w:rsidRPr="00451CC2">
              <w:rPr>
                <w:rFonts w:eastAsia="Calibri"/>
              </w:rPr>
              <w:br/>
              <w:t>2019 CSR 2.4</w:t>
            </w:r>
          </w:p>
        </w:tc>
        <w:tc>
          <w:tcPr>
            <w:tcW w:w="1224" w:type="dxa"/>
            <w:tcMar>
              <w:top w:w="0" w:type="dxa"/>
              <w:left w:w="100" w:type="dxa"/>
              <w:bottom w:w="0" w:type="dxa"/>
              <w:right w:w="100" w:type="dxa"/>
            </w:tcMar>
            <w:vAlign w:val="center"/>
          </w:tcPr>
          <w:p w14:paraId="62CAD280" w14:textId="77777777" w:rsidR="00451CC2" w:rsidRDefault="00451CC2" w:rsidP="008A7CB8">
            <w:pPr>
              <w:pStyle w:val="Tabletext"/>
              <w:rPr>
                <w:rFonts w:eastAsia="Calibri"/>
              </w:rPr>
            </w:pPr>
            <w:r>
              <w:rPr>
                <w:rFonts w:eastAsia="Calibri"/>
              </w:rPr>
              <w:t>Fair green &amp; digital transition</w:t>
            </w:r>
          </w:p>
        </w:tc>
        <w:tc>
          <w:tcPr>
            <w:tcW w:w="1140" w:type="dxa"/>
            <w:tcMar>
              <w:top w:w="0" w:type="dxa"/>
              <w:left w:w="100" w:type="dxa"/>
              <w:bottom w:w="0" w:type="dxa"/>
              <w:right w:w="100" w:type="dxa"/>
            </w:tcMar>
            <w:vAlign w:val="center"/>
          </w:tcPr>
          <w:p w14:paraId="19FA5723" w14:textId="77777777" w:rsidR="00451CC2" w:rsidRDefault="00451CC2" w:rsidP="008A7CB8">
            <w:pPr>
              <w:pStyle w:val="Tabletext"/>
              <w:rPr>
                <w:rFonts w:eastAsia="Calibri"/>
              </w:rPr>
            </w:pPr>
            <w:r>
              <w:rPr>
                <w:rFonts w:eastAsia="Calibri"/>
              </w:rPr>
              <w:t>On track</w:t>
            </w:r>
          </w:p>
        </w:tc>
      </w:tr>
      <w:tr w:rsidR="00451CC2" w14:paraId="194D02A0" w14:textId="77777777" w:rsidTr="00DA620A">
        <w:trPr>
          <w:trHeight w:val="170"/>
          <w:jc w:val="center"/>
        </w:trPr>
        <w:tc>
          <w:tcPr>
            <w:tcW w:w="3541" w:type="dxa"/>
            <w:tcMar>
              <w:top w:w="0" w:type="dxa"/>
              <w:left w:w="100" w:type="dxa"/>
              <w:bottom w:w="0" w:type="dxa"/>
              <w:right w:w="100" w:type="dxa"/>
            </w:tcMar>
            <w:vAlign w:val="center"/>
          </w:tcPr>
          <w:p w14:paraId="3DACE72F" w14:textId="77777777" w:rsidR="00451CC2" w:rsidRPr="00451CC2" w:rsidRDefault="00540671" w:rsidP="008A7CB8">
            <w:pPr>
              <w:pStyle w:val="Tabletext"/>
              <w:rPr>
                <w:rFonts w:eastAsia="Calibri"/>
              </w:rPr>
            </w:pPr>
            <w:r w:rsidRPr="00540671">
              <w:rPr>
                <w:rFonts w:eastAsia="Calibri"/>
                <w:b/>
              </w:rPr>
              <w:t>INVESTMENT 11:</w:t>
            </w:r>
            <w:r w:rsidR="00451CC2" w:rsidRPr="00451CC2">
              <w:rPr>
                <w:rFonts w:eastAsia="Calibri"/>
              </w:rPr>
              <w:t xml:space="preserve"> National Reforestation Plan, restoration and prevention (“</w:t>
            </w:r>
            <w:proofErr w:type="spellStart"/>
            <w:r w:rsidR="00451CC2" w:rsidRPr="00451CC2">
              <w:rPr>
                <w:rFonts w:eastAsia="Calibri"/>
              </w:rPr>
              <w:t>antiNERO</w:t>
            </w:r>
            <w:proofErr w:type="spellEnd"/>
            <w:r w:rsidR="00451CC2" w:rsidRPr="00451CC2">
              <w:rPr>
                <w:rFonts w:eastAsia="Calibri"/>
              </w:rPr>
              <w:t>”), anti-erosion and flood protection measures</w:t>
            </w:r>
          </w:p>
        </w:tc>
        <w:tc>
          <w:tcPr>
            <w:tcW w:w="1423" w:type="dxa"/>
            <w:tcMar>
              <w:top w:w="0" w:type="dxa"/>
              <w:left w:w="100" w:type="dxa"/>
              <w:bottom w:w="0" w:type="dxa"/>
              <w:right w:w="100" w:type="dxa"/>
            </w:tcMar>
            <w:vAlign w:val="center"/>
          </w:tcPr>
          <w:p w14:paraId="2D2DDC47" w14:textId="77777777" w:rsidR="00451CC2" w:rsidRDefault="00451CC2" w:rsidP="008A7CB8">
            <w:pPr>
              <w:pStyle w:val="Tabletext"/>
              <w:rPr>
                <w:rFonts w:eastAsia="Calibri"/>
              </w:rPr>
            </w:pPr>
            <w:r>
              <w:rPr>
                <w:rFonts w:eastAsia="Calibri"/>
              </w:rPr>
              <w:t>RRF 16849</w:t>
            </w:r>
          </w:p>
        </w:tc>
        <w:tc>
          <w:tcPr>
            <w:tcW w:w="1605" w:type="dxa"/>
            <w:tcMar>
              <w:top w:w="0" w:type="dxa"/>
              <w:left w:w="100" w:type="dxa"/>
              <w:bottom w:w="0" w:type="dxa"/>
              <w:right w:w="100" w:type="dxa"/>
            </w:tcMar>
            <w:vAlign w:val="center"/>
          </w:tcPr>
          <w:p w14:paraId="53686057" w14:textId="77777777" w:rsidR="00451CC2" w:rsidRDefault="00451CC2" w:rsidP="008A7CB8">
            <w:pPr>
              <w:pStyle w:val="Tabletext"/>
              <w:rPr>
                <w:rFonts w:eastAsia="Calibri"/>
              </w:rPr>
            </w:pPr>
            <w:r>
              <w:rPr>
                <w:rFonts w:eastAsia="Calibri"/>
              </w:rPr>
              <w:t>2024 CSR 4.2</w:t>
            </w:r>
            <w:r>
              <w:rPr>
                <w:rFonts w:eastAsia="Calibri"/>
              </w:rPr>
              <w:br/>
              <w:t>2020 CSR 3.6</w:t>
            </w:r>
            <w:r>
              <w:rPr>
                <w:rFonts w:eastAsia="Calibri"/>
              </w:rPr>
              <w:br/>
              <w:t>2019 CSR 2.2</w:t>
            </w:r>
          </w:p>
        </w:tc>
        <w:tc>
          <w:tcPr>
            <w:tcW w:w="1224" w:type="dxa"/>
            <w:tcMar>
              <w:top w:w="0" w:type="dxa"/>
              <w:left w:w="100" w:type="dxa"/>
              <w:bottom w:w="0" w:type="dxa"/>
              <w:right w:w="100" w:type="dxa"/>
            </w:tcMar>
            <w:vAlign w:val="center"/>
          </w:tcPr>
          <w:p w14:paraId="6644CD8F" w14:textId="77777777" w:rsidR="00451CC2" w:rsidRDefault="00451CC2" w:rsidP="008A7CB8">
            <w:pPr>
              <w:pStyle w:val="Tabletext"/>
              <w:rPr>
                <w:rFonts w:eastAsia="Calibri"/>
              </w:rPr>
            </w:pPr>
            <w:r>
              <w:rPr>
                <w:rFonts w:eastAsia="Calibri"/>
              </w:rPr>
              <w:t>Fair green &amp; digital transition</w:t>
            </w:r>
          </w:p>
        </w:tc>
        <w:tc>
          <w:tcPr>
            <w:tcW w:w="1140" w:type="dxa"/>
            <w:tcMar>
              <w:top w:w="0" w:type="dxa"/>
              <w:left w:w="100" w:type="dxa"/>
              <w:bottom w:w="0" w:type="dxa"/>
              <w:right w:w="100" w:type="dxa"/>
            </w:tcMar>
            <w:vAlign w:val="center"/>
          </w:tcPr>
          <w:p w14:paraId="788ECCA0" w14:textId="77777777" w:rsidR="00451CC2" w:rsidRDefault="00451CC2" w:rsidP="008A7CB8">
            <w:pPr>
              <w:pStyle w:val="Tabletext"/>
              <w:rPr>
                <w:rFonts w:eastAsia="Calibri"/>
              </w:rPr>
            </w:pPr>
            <w:r>
              <w:rPr>
                <w:rFonts w:eastAsia="Calibri"/>
              </w:rPr>
              <w:t>On track</w:t>
            </w:r>
          </w:p>
        </w:tc>
      </w:tr>
      <w:tr w:rsidR="00451CC2" w14:paraId="5DD124D4" w14:textId="77777777" w:rsidTr="00DA620A">
        <w:trPr>
          <w:trHeight w:val="170"/>
          <w:jc w:val="center"/>
        </w:trPr>
        <w:tc>
          <w:tcPr>
            <w:tcW w:w="3541" w:type="dxa"/>
            <w:tcMar>
              <w:top w:w="0" w:type="dxa"/>
              <w:left w:w="100" w:type="dxa"/>
              <w:bottom w:w="0" w:type="dxa"/>
              <w:right w:w="100" w:type="dxa"/>
            </w:tcMar>
            <w:vAlign w:val="center"/>
          </w:tcPr>
          <w:p w14:paraId="3A6A6833" w14:textId="77777777" w:rsidR="00451CC2" w:rsidRPr="00451CC2" w:rsidRDefault="00540671" w:rsidP="008A7CB8">
            <w:pPr>
              <w:pStyle w:val="Tabletext"/>
              <w:rPr>
                <w:rFonts w:eastAsia="Calibri"/>
              </w:rPr>
            </w:pPr>
            <w:r w:rsidRPr="00540671">
              <w:rPr>
                <w:rFonts w:eastAsia="Calibri"/>
                <w:b/>
              </w:rPr>
              <w:t>INVESTMENT 12:</w:t>
            </w:r>
            <w:r w:rsidR="00451CC2" w:rsidRPr="00451CC2">
              <w:rPr>
                <w:rFonts w:eastAsia="Calibri"/>
              </w:rPr>
              <w:t xml:space="preserve"> Urban Wastewater and Sludge Management Infrastructures from Wastewater Treatment</w:t>
            </w:r>
          </w:p>
        </w:tc>
        <w:tc>
          <w:tcPr>
            <w:tcW w:w="1423" w:type="dxa"/>
            <w:tcMar>
              <w:top w:w="0" w:type="dxa"/>
              <w:left w:w="100" w:type="dxa"/>
              <w:bottom w:w="0" w:type="dxa"/>
              <w:right w:w="100" w:type="dxa"/>
            </w:tcMar>
            <w:vAlign w:val="center"/>
          </w:tcPr>
          <w:p w14:paraId="1F2C4F96" w14:textId="77777777" w:rsidR="00451CC2" w:rsidRDefault="00451CC2" w:rsidP="008A7CB8">
            <w:pPr>
              <w:pStyle w:val="Tabletext"/>
              <w:rPr>
                <w:rFonts w:eastAsia="Calibri"/>
              </w:rPr>
            </w:pPr>
            <w:r>
              <w:rPr>
                <w:rFonts w:eastAsia="Calibri"/>
              </w:rPr>
              <w:t>RRF 16846</w:t>
            </w:r>
          </w:p>
        </w:tc>
        <w:tc>
          <w:tcPr>
            <w:tcW w:w="1605" w:type="dxa"/>
            <w:tcMar>
              <w:top w:w="0" w:type="dxa"/>
              <w:left w:w="100" w:type="dxa"/>
              <w:bottom w:w="0" w:type="dxa"/>
              <w:right w:w="100" w:type="dxa"/>
            </w:tcMar>
            <w:vAlign w:val="center"/>
          </w:tcPr>
          <w:p w14:paraId="01F5E5EB" w14:textId="77777777" w:rsidR="00451CC2" w:rsidRDefault="00451CC2" w:rsidP="008A7CB8">
            <w:pPr>
              <w:pStyle w:val="Tabletext"/>
              <w:rPr>
                <w:rFonts w:eastAsia="Calibri"/>
              </w:rPr>
            </w:pPr>
            <w:r>
              <w:rPr>
                <w:rFonts w:eastAsia="Calibri"/>
              </w:rPr>
              <w:t>2020 CSR 3.6</w:t>
            </w:r>
            <w:r>
              <w:rPr>
                <w:rFonts w:eastAsia="Calibri"/>
              </w:rPr>
              <w:br/>
              <w:t>2020 CSR 3.3</w:t>
            </w:r>
            <w:r>
              <w:rPr>
                <w:rFonts w:eastAsia="Calibri"/>
              </w:rPr>
              <w:br/>
              <w:t>2019 CSR 2.2</w:t>
            </w:r>
            <w:r>
              <w:rPr>
                <w:rFonts w:eastAsia="Calibri"/>
              </w:rPr>
              <w:br/>
              <w:t>2019 CSR 2.9</w:t>
            </w:r>
          </w:p>
        </w:tc>
        <w:tc>
          <w:tcPr>
            <w:tcW w:w="1224" w:type="dxa"/>
            <w:tcMar>
              <w:top w:w="0" w:type="dxa"/>
              <w:left w:w="100" w:type="dxa"/>
              <w:bottom w:w="0" w:type="dxa"/>
              <w:right w:w="100" w:type="dxa"/>
            </w:tcMar>
            <w:vAlign w:val="center"/>
          </w:tcPr>
          <w:p w14:paraId="5182133B" w14:textId="77777777" w:rsidR="00451CC2" w:rsidRDefault="00451CC2" w:rsidP="008A7CB8">
            <w:pPr>
              <w:pStyle w:val="Tabletext"/>
              <w:rPr>
                <w:rFonts w:eastAsia="Calibri"/>
              </w:rPr>
            </w:pPr>
            <w:r>
              <w:rPr>
                <w:rFonts w:eastAsia="Calibri"/>
              </w:rPr>
              <w:t xml:space="preserve"> Fair green &amp; digital transition</w:t>
            </w:r>
          </w:p>
        </w:tc>
        <w:tc>
          <w:tcPr>
            <w:tcW w:w="1140" w:type="dxa"/>
            <w:tcMar>
              <w:top w:w="0" w:type="dxa"/>
              <w:left w:w="100" w:type="dxa"/>
              <w:bottom w:w="0" w:type="dxa"/>
              <w:right w:w="100" w:type="dxa"/>
            </w:tcMar>
            <w:vAlign w:val="center"/>
          </w:tcPr>
          <w:p w14:paraId="06289462" w14:textId="77777777" w:rsidR="00451CC2" w:rsidRDefault="00451CC2" w:rsidP="008A7CB8">
            <w:pPr>
              <w:pStyle w:val="Tabletext"/>
              <w:rPr>
                <w:rFonts w:eastAsia="Calibri"/>
              </w:rPr>
            </w:pPr>
            <w:r>
              <w:rPr>
                <w:rFonts w:eastAsia="Calibri"/>
              </w:rPr>
              <w:t>On track</w:t>
            </w:r>
          </w:p>
        </w:tc>
      </w:tr>
      <w:tr w:rsidR="00451CC2" w14:paraId="0EA129F1" w14:textId="77777777" w:rsidTr="00DA620A">
        <w:trPr>
          <w:trHeight w:val="170"/>
          <w:jc w:val="center"/>
        </w:trPr>
        <w:tc>
          <w:tcPr>
            <w:tcW w:w="3541" w:type="dxa"/>
            <w:tcMar>
              <w:top w:w="0" w:type="dxa"/>
              <w:left w:w="100" w:type="dxa"/>
              <w:bottom w:w="0" w:type="dxa"/>
              <w:right w:w="100" w:type="dxa"/>
            </w:tcMar>
            <w:vAlign w:val="center"/>
          </w:tcPr>
          <w:p w14:paraId="3B7EBFD1" w14:textId="77777777" w:rsidR="00451CC2" w:rsidRPr="00451CC2" w:rsidRDefault="00540671" w:rsidP="008A7CB8">
            <w:pPr>
              <w:pStyle w:val="Tabletext"/>
              <w:rPr>
                <w:rFonts w:eastAsia="Calibri"/>
              </w:rPr>
            </w:pPr>
            <w:r w:rsidRPr="00540671">
              <w:rPr>
                <w:rFonts w:eastAsia="Calibri"/>
                <w:b/>
              </w:rPr>
              <w:t>INVESTMENT 13:</w:t>
            </w:r>
            <w:r w:rsidR="00451CC2" w:rsidRPr="00451CC2">
              <w:rPr>
                <w:rFonts w:eastAsia="Calibri"/>
              </w:rPr>
              <w:t xml:space="preserve"> 16995_Pilot projects</w:t>
            </w:r>
          </w:p>
          <w:p w14:paraId="089196DC" w14:textId="77777777" w:rsidR="00451CC2" w:rsidRPr="00451CC2" w:rsidRDefault="00451CC2" w:rsidP="008A7CB8">
            <w:pPr>
              <w:pStyle w:val="Tabletext"/>
              <w:rPr>
                <w:rFonts w:eastAsia="Calibri"/>
              </w:rPr>
            </w:pPr>
            <w:r w:rsidRPr="00451CC2">
              <w:rPr>
                <w:rFonts w:eastAsia="Calibri"/>
              </w:rPr>
              <w:t>for Biomethane and Renewable Hydrogen Production</w:t>
            </w:r>
          </w:p>
          <w:p w14:paraId="545538E8" w14:textId="77777777" w:rsidR="00451CC2" w:rsidRPr="00451CC2" w:rsidRDefault="00451CC2" w:rsidP="008A7CB8">
            <w:pPr>
              <w:pStyle w:val="Tabletext"/>
              <w:rPr>
                <w:rFonts w:eastAsia="Calibri"/>
              </w:rPr>
            </w:pPr>
            <w:r w:rsidRPr="00451CC2">
              <w:rPr>
                <w:rFonts w:eastAsia="Calibri"/>
              </w:rPr>
              <w:t xml:space="preserve"> </w:t>
            </w:r>
          </w:p>
        </w:tc>
        <w:tc>
          <w:tcPr>
            <w:tcW w:w="1423" w:type="dxa"/>
            <w:tcMar>
              <w:top w:w="0" w:type="dxa"/>
              <w:left w:w="100" w:type="dxa"/>
              <w:bottom w:w="0" w:type="dxa"/>
              <w:right w:w="100" w:type="dxa"/>
            </w:tcMar>
            <w:vAlign w:val="center"/>
          </w:tcPr>
          <w:p w14:paraId="647504F4" w14:textId="77777777" w:rsidR="00451CC2" w:rsidRDefault="00451CC2" w:rsidP="008A7CB8">
            <w:pPr>
              <w:pStyle w:val="Tabletext"/>
              <w:rPr>
                <w:rFonts w:eastAsia="Calibri"/>
              </w:rPr>
            </w:pPr>
            <w:r>
              <w:rPr>
                <w:rFonts w:eastAsia="Calibri"/>
              </w:rPr>
              <w:t>RRF 16995</w:t>
            </w:r>
          </w:p>
        </w:tc>
        <w:tc>
          <w:tcPr>
            <w:tcW w:w="1605" w:type="dxa"/>
            <w:tcMar>
              <w:top w:w="0" w:type="dxa"/>
              <w:left w:w="100" w:type="dxa"/>
              <w:bottom w:w="0" w:type="dxa"/>
              <w:right w:w="100" w:type="dxa"/>
            </w:tcMar>
            <w:vAlign w:val="center"/>
          </w:tcPr>
          <w:p w14:paraId="784BFB53" w14:textId="77777777" w:rsidR="00451CC2" w:rsidRPr="00451CC2" w:rsidRDefault="00451CC2" w:rsidP="008A7CB8">
            <w:pPr>
              <w:pStyle w:val="Tabletext"/>
              <w:rPr>
                <w:rFonts w:eastAsia="Calibri"/>
              </w:rPr>
            </w:pPr>
            <w:r w:rsidRPr="00451CC2">
              <w:rPr>
                <w:rFonts w:eastAsia="Calibri"/>
              </w:rPr>
              <w:t>2023 CSR 4.3</w:t>
            </w:r>
            <w:r w:rsidRPr="00451CC2">
              <w:rPr>
                <w:rFonts w:eastAsia="Calibri"/>
              </w:rPr>
              <w:br/>
              <w:t>2023 CSR 4.1</w:t>
            </w:r>
            <w:r w:rsidRPr="00451CC2">
              <w:rPr>
                <w:rFonts w:eastAsia="Calibri"/>
              </w:rPr>
              <w:br/>
              <w:t>2022.CSR 4.2</w:t>
            </w:r>
            <w:r w:rsidRPr="00451CC2">
              <w:rPr>
                <w:rFonts w:eastAsia="Calibri"/>
              </w:rPr>
              <w:br/>
              <w:t>2022 CSR 4.1</w:t>
            </w:r>
            <w:r w:rsidRPr="00451CC2">
              <w:rPr>
                <w:rFonts w:eastAsia="Calibri"/>
              </w:rPr>
              <w:br/>
              <w:t>2020 CSR 3.5</w:t>
            </w:r>
            <w:r w:rsidRPr="00451CC2">
              <w:rPr>
                <w:rFonts w:eastAsia="Calibri"/>
              </w:rPr>
              <w:br/>
              <w:t>2019 CSR 2.2</w:t>
            </w:r>
          </w:p>
        </w:tc>
        <w:tc>
          <w:tcPr>
            <w:tcW w:w="1224" w:type="dxa"/>
            <w:tcMar>
              <w:top w:w="0" w:type="dxa"/>
              <w:left w:w="100" w:type="dxa"/>
              <w:bottom w:w="0" w:type="dxa"/>
              <w:right w:w="100" w:type="dxa"/>
            </w:tcMar>
            <w:vAlign w:val="center"/>
          </w:tcPr>
          <w:p w14:paraId="15F59491" w14:textId="77777777" w:rsidR="00451CC2" w:rsidRDefault="00451CC2" w:rsidP="008A7CB8">
            <w:pPr>
              <w:pStyle w:val="Tabletext"/>
              <w:rPr>
                <w:rFonts w:eastAsia="Calibri"/>
              </w:rPr>
            </w:pPr>
            <w:r>
              <w:rPr>
                <w:rFonts w:eastAsia="Calibri"/>
              </w:rPr>
              <w:t>Energy Security</w:t>
            </w:r>
          </w:p>
        </w:tc>
        <w:tc>
          <w:tcPr>
            <w:tcW w:w="1140" w:type="dxa"/>
            <w:tcMar>
              <w:top w:w="0" w:type="dxa"/>
              <w:left w:w="100" w:type="dxa"/>
              <w:bottom w:w="0" w:type="dxa"/>
              <w:right w:w="100" w:type="dxa"/>
            </w:tcMar>
            <w:vAlign w:val="center"/>
          </w:tcPr>
          <w:p w14:paraId="09514A6F" w14:textId="77777777" w:rsidR="00451CC2" w:rsidRDefault="00451CC2" w:rsidP="008A7CB8">
            <w:pPr>
              <w:pStyle w:val="Tabletext"/>
              <w:rPr>
                <w:rFonts w:eastAsia="Calibri"/>
              </w:rPr>
            </w:pPr>
            <w:r>
              <w:rPr>
                <w:rFonts w:eastAsia="Calibri"/>
              </w:rPr>
              <w:t>On track</w:t>
            </w:r>
          </w:p>
        </w:tc>
      </w:tr>
      <w:tr w:rsidR="00451CC2" w14:paraId="4A8E0D73" w14:textId="77777777" w:rsidTr="00DA620A">
        <w:trPr>
          <w:trHeight w:val="170"/>
          <w:jc w:val="center"/>
        </w:trPr>
        <w:tc>
          <w:tcPr>
            <w:tcW w:w="3541" w:type="dxa"/>
            <w:tcMar>
              <w:top w:w="0" w:type="dxa"/>
              <w:left w:w="100" w:type="dxa"/>
              <w:bottom w:w="0" w:type="dxa"/>
              <w:right w:w="100" w:type="dxa"/>
            </w:tcMar>
            <w:vAlign w:val="center"/>
          </w:tcPr>
          <w:p w14:paraId="57D2BD12" w14:textId="77777777" w:rsidR="00451CC2" w:rsidRPr="00451CC2" w:rsidRDefault="00540671" w:rsidP="008A7CB8">
            <w:pPr>
              <w:pStyle w:val="Tabletext"/>
              <w:rPr>
                <w:rFonts w:eastAsia="Calibri"/>
              </w:rPr>
            </w:pPr>
            <w:r w:rsidRPr="00540671">
              <w:rPr>
                <w:rFonts w:eastAsia="Calibri"/>
                <w:b/>
              </w:rPr>
              <w:t>INVESTMENT 14:</w:t>
            </w:r>
            <w:r w:rsidR="00451CC2" w:rsidRPr="00451CC2">
              <w:rPr>
                <w:rFonts w:eastAsia="Calibri"/>
              </w:rPr>
              <w:t xml:space="preserve"> Drinking water supply and saving infrastructure</w:t>
            </w:r>
          </w:p>
        </w:tc>
        <w:tc>
          <w:tcPr>
            <w:tcW w:w="1423" w:type="dxa"/>
            <w:tcMar>
              <w:top w:w="0" w:type="dxa"/>
              <w:left w:w="100" w:type="dxa"/>
              <w:bottom w:w="0" w:type="dxa"/>
              <w:right w:w="100" w:type="dxa"/>
            </w:tcMar>
            <w:vAlign w:val="center"/>
          </w:tcPr>
          <w:p w14:paraId="4AAC300F" w14:textId="77777777" w:rsidR="00451CC2" w:rsidRDefault="00451CC2" w:rsidP="008A7CB8">
            <w:pPr>
              <w:pStyle w:val="Tabletext"/>
              <w:rPr>
                <w:rFonts w:eastAsia="Calibri"/>
              </w:rPr>
            </w:pPr>
            <w:r>
              <w:rPr>
                <w:rFonts w:eastAsia="Calibri"/>
              </w:rPr>
              <w:t>RRF 16850</w:t>
            </w:r>
          </w:p>
        </w:tc>
        <w:tc>
          <w:tcPr>
            <w:tcW w:w="1605" w:type="dxa"/>
            <w:tcMar>
              <w:top w:w="0" w:type="dxa"/>
              <w:left w:w="100" w:type="dxa"/>
              <w:bottom w:w="0" w:type="dxa"/>
              <w:right w:w="100" w:type="dxa"/>
            </w:tcMar>
            <w:vAlign w:val="center"/>
          </w:tcPr>
          <w:p w14:paraId="4ABC8518" w14:textId="77777777" w:rsidR="00451CC2" w:rsidRPr="00451CC2" w:rsidRDefault="00451CC2" w:rsidP="008A7CB8">
            <w:pPr>
              <w:pStyle w:val="Tabletext"/>
              <w:rPr>
                <w:rFonts w:eastAsia="Calibri"/>
              </w:rPr>
            </w:pPr>
            <w:r w:rsidRPr="00451CC2">
              <w:rPr>
                <w:rFonts w:eastAsia="Calibri"/>
              </w:rPr>
              <w:t>2025 CSR 4.6</w:t>
            </w:r>
          </w:p>
          <w:p w14:paraId="3D4AB4CC" w14:textId="77777777" w:rsidR="00451CC2" w:rsidRPr="00451CC2" w:rsidRDefault="00451CC2" w:rsidP="008A7CB8">
            <w:pPr>
              <w:pStyle w:val="Tabletext"/>
              <w:rPr>
                <w:rFonts w:eastAsia="Calibri"/>
              </w:rPr>
            </w:pPr>
            <w:r w:rsidRPr="00451CC2">
              <w:rPr>
                <w:rFonts w:eastAsia="Calibri"/>
              </w:rPr>
              <w:t>2020.CSR 3.6 2020.CSR 3.3 2020.CSR 3.9</w:t>
            </w:r>
            <w:r w:rsidRPr="00451CC2">
              <w:rPr>
                <w:rFonts w:eastAsia="Calibri"/>
              </w:rPr>
              <w:br/>
              <w:t>2019.CSR 2.2 2019.CSR 2.9</w:t>
            </w:r>
          </w:p>
        </w:tc>
        <w:tc>
          <w:tcPr>
            <w:tcW w:w="1224" w:type="dxa"/>
            <w:tcMar>
              <w:top w:w="0" w:type="dxa"/>
              <w:left w:w="100" w:type="dxa"/>
              <w:bottom w:w="0" w:type="dxa"/>
              <w:right w:w="100" w:type="dxa"/>
            </w:tcMar>
            <w:vAlign w:val="center"/>
          </w:tcPr>
          <w:p w14:paraId="7606D018" w14:textId="77777777" w:rsidR="00451CC2" w:rsidRDefault="00451CC2" w:rsidP="008A7CB8">
            <w:pPr>
              <w:pStyle w:val="Tabletext"/>
              <w:rPr>
                <w:rFonts w:eastAsia="Calibri"/>
              </w:rPr>
            </w:pPr>
            <w:r>
              <w:rPr>
                <w:rFonts w:eastAsia="Calibri"/>
              </w:rPr>
              <w:t>Fair green &amp; digital transition</w:t>
            </w:r>
          </w:p>
        </w:tc>
        <w:tc>
          <w:tcPr>
            <w:tcW w:w="1140" w:type="dxa"/>
            <w:tcMar>
              <w:top w:w="0" w:type="dxa"/>
              <w:left w:w="100" w:type="dxa"/>
              <w:bottom w:w="0" w:type="dxa"/>
              <w:right w:w="100" w:type="dxa"/>
            </w:tcMar>
            <w:vAlign w:val="center"/>
          </w:tcPr>
          <w:p w14:paraId="7E6A2EB0" w14:textId="77777777" w:rsidR="00451CC2" w:rsidRDefault="00451CC2" w:rsidP="008A7CB8">
            <w:pPr>
              <w:pStyle w:val="Tabletext"/>
              <w:rPr>
                <w:rFonts w:eastAsia="Calibri"/>
              </w:rPr>
            </w:pPr>
            <w:r>
              <w:rPr>
                <w:rFonts w:eastAsia="Calibri"/>
              </w:rPr>
              <w:t>On track</w:t>
            </w:r>
          </w:p>
        </w:tc>
      </w:tr>
      <w:tr w:rsidR="00451CC2" w14:paraId="1963A2C1" w14:textId="77777777" w:rsidTr="00DA620A">
        <w:trPr>
          <w:trHeight w:val="170"/>
          <w:jc w:val="center"/>
        </w:trPr>
        <w:tc>
          <w:tcPr>
            <w:tcW w:w="3541" w:type="dxa"/>
            <w:tcMar>
              <w:top w:w="0" w:type="dxa"/>
              <w:left w:w="100" w:type="dxa"/>
              <w:bottom w:w="0" w:type="dxa"/>
              <w:right w:w="100" w:type="dxa"/>
            </w:tcMar>
            <w:vAlign w:val="center"/>
          </w:tcPr>
          <w:p w14:paraId="46A6C3D4" w14:textId="77777777" w:rsidR="00451CC2" w:rsidRPr="00451CC2" w:rsidRDefault="00540671" w:rsidP="008A7CB8">
            <w:pPr>
              <w:pStyle w:val="Tabletext"/>
              <w:rPr>
                <w:rFonts w:eastAsia="Calibri"/>
              </w:rPr>
            </w:pPr>
            <w:r w:rsidRPr="00540671">
              <w:rPr>
                <w:rFonts w:eastAsia="Calibri"/>
                <w:b/>
              </w:rPr>
              <w:t>INVESTMENT 15:</w:t>
            </w:r>
            <w:r w:rsidR="00451CC2" w:rsidRPr="00451CC2">
              <w:rPr>
                <w:rFonts w:eastAsia="Calibri"/>
              </w:rPr>
              <w:t xml:space="preserve"> Drinking water supply projects to areas with water shortages</w:t>
            </w:r>
          </w:p>
        </w:tc>
        <w:tc>
          <w:tcPr>
            <w:tcW w:w="1423" w:type="dxa"/>
            <w:tcMar>
              <w:top w:w="0" w:type="dxa"/>
              <w:left w:w="100" w:type="dxa"/>
              <w:bottom w:w="0" w:type="dxa"/>
              <w:right w:w="100" w:type="dxa"/>
            </w:tcMar>
            <w:vAlign w:val="center"/>
          </w:tcPr>
          <w:p w14:paraId="06B367B2" w14:textId="77777777" w:rsidR="00451CC2" w:rsidRPr="00451CC2" w:rsidRDefault="00451CC2" w:rsidP="008A7CB8">
            <w:pPr>
              <w:pStyle w:val="Tabletext"/>
              <w:rPr>
                <w:rFonts w:eastAsia="Calibri"/>
              </w:rPr>
            </w:pPr>
            <w:r w:rsidRPr="00451CC2">
              <w:rPr>
                <w:rFonts w:eastAsia="Calibri"/>
              </w:rPr>
              <w:t xml:space="preserve"> </w:t>
            </w:r>
          </w:p>
        </w:tc>
        <w:tc>
          <w:tcPr>
            <w:tcW w:w="1605" w:type="dxa"/>
            <w:tcMar>
              <w:top w:w="0" w:type="dxa"/>
              <w:left w:w="100" w:type="dxa"/>
              <w:bottom w:w="0" w:type="dxa"/>
              <w:right w:w="100" w:type="dxa"/>
            </w:tcMar>
            <w:vAlign w:val="center"/>
          </w:tcPr>
          <w:p w14:paraId="2B9DDCAD" w14:textId="77777777" w:rsidR="00451CC2" w:rsidRPr="00451CC2" w:rsidRDefault="00451CC2" w:rsidP="008A7CB8">
            <w:pPr>
              <w:pStyle w:val="Tabletext"/>
              <w:rPr>
                <w:rFonts w:eastAsia="Calibri"/>
              </w:rPr>
            </w:pPr>
            <w:r w:rsidRPr="00451CC2">
              <w:rPr>
                <w:rFonts w:eastAsia="Calibri"/>
              </w:rPr>
              <w:t xml:space="preserve"> </w:t>
            </w:r>
          </w:p>
        </w:tc>
        <w:tc>
          <w:tcPr>
            <w:tcW w:w="1224" w:type="dxa"/>
            <w:tcMar>
              <w:top w:w="0" w:type="dxa"/>
              <w:left w:w="100" w:type="dxa"/>
              <w:bottom w:w="0" w:type="dxa"/>
              <w:right w:w="100" w:type="dxa"/>
            </w:tcMar>
            <w:vAlign w:val="center"/>
          </w:tcPr>
          <w:p w14:paraId="6227977C" w14:textId="77777777" w:rsidR="00451CC2" w:rsidRDefault="00451CC2" w:rsidP="008A7CB8">
            <w:pPr>
              <w:pStyle w:val="Tabletext"/>
              <w:rPr>
                <w:rFonts w:eastAsia="Calibri"/>
              </w:rPr>
            </w:pPr>
            <w:r>
              <w:rPr>
                <w:rFonts w:eastAsia="Calibri"/>
              </w:rPr>
              <w:t>Fair green &amp; digital transition</w:t>
            </w:r>
          </w:p>
        </w:tc>
        <w:tc>
          <w:tcPr>
            <w:tcW w:w="1140" w:type="dxa"/>
            <w:tcMar>
              <w:top w:w="0" w:type="dxa"/>
              <w:left w:w="100" w:type="dxa"/>
              <w:bottom w:w="0" w:type="dxa"/>
              <w:right w:w="100" w:type="dxa"/>
            </w:tcMar>
            <w:vAlign w:val="center"/>
          </w:tcPr>
          <w:p w14:paraId="23EB6A8F" w14:textId="77777777" w:rsidR="00451CC2" w:rsidRDefault="00451CC2" w:rsidP="008A7CB8">
            <w:pPr>
              <w:pStyle w:val="Tabletext"/>
              <w:rPr>
                <w:rFonts w:eastAsia="Calibri"/>
              </w:rPr>
            </w:pPr>
            <w:r>
              <w:rPr>
                <w:rFonts w:eastAsia="Calibri"/>
              </w:rPr>
              <w:t>On track</w:t>
            </w:r>
          </w:p>
        </w:tc>
      </w:tr>
      <w:tr w:rsidR="00451CC2" w14:paraId="0B3CCC81" w14:textId="77777777" w:rsidTr="00DA620A">
        <w:trPr>
          <w:trHeight w:val="170"/>
          <w:jc w:val="center"/>
        </w:trPr>
        <w:tc>
          <w:tcPr>
            <w:tcW w:w="3541" w:type="dxa"/>
            <w:tcMar>
              <w:top w:w="0" w:type="dxa"/>
              <w:left w:w="100" w:type="dxa"/>
              <w:bottom w:w="0" w:type="dxa"/>
              <w:right w:w="100" w:type="dxa"/>
            </w:tcMar>
            <w:vAlign w:val="center"/>
          </w:tcPr>
          <w:p w14:paraId="1E677F70" w14:textId="77777777" w:rsidR="00451CC2" w:rsidRPr="00451CC2" w:rsidRDefault="00540671" w:rsidP="008A7CB8">
            <w:pPr>
              <w:pStyle w:val="Tabletext"/>
              <w:rPr>
                <w:rFonts w:eastAsia="Calibri"/>
              </w:rPr>
            </w:pPr>
            <w:r w:rsidRPr="00540671">
              <w:rPr>
                <w:rFonts w:eastAsia="Calibri"/>
                <w:b/>
              </w:rPr>
              <w:t>INVESTMENT 16:</w:t>
            </w:r>
            <w:r w:rsidR="00451CC2" w:rsidRPr="00451CC2">
              <w:rPr>
                <w:rFonts w:eastAsia="Calibri"/>
              </w:rPr>
              <w:t xml:space="preserve"> Biodiversity Protection as a driver for sustainable growth</w:t>
            </w:r>
          </w:p>
        </w:tc>
        <w:tc>
          <w:tcPr>
            <w:tcW w:w="1423" w:type="dxa"/>
            <w:tcMar>
              <w:top w:w="0" w:type="dxa"/>
              <w:left w:w="100" w:type="dxa"/>
              <w:bottom w:w="0" w:type="dxa"/>
              <w:right w:w="100" w:type="dxa"/>
            </w:tcMar>
            <w:vAlign w:val="center"/>
          </w:tcPr>
          <w:p w14:paraId="03909D72" w14:textId="77777777" w:rsidR="00451CC2" w:rsidRDefault="00451CC2" w:rsidP="008A7CB8">
            <w:pPr>
              <w:pStyle w:val="Tabletext"/>
              <w:rPr>
                <w:rFonts w:eastAsia="Calibri"/>
              </w:rPr>
            </w:pPr>
            <w:r>
              <w:rPr>
                <w:rFonts w:eastAsia="Calibri"/>
              </w:rPr>
              <w:t>RRF 16851</w:t>
            </w:r>
          </w:p>
        </w:tc>
        <w:tc>
          <w:tcPr>
            <w:tcW w:w="1605" w:type="dxa"/>
            <w:tcMar>
              <w:top w:w="0" w:type="dxa"/>
              <w:left w:w="100" w:type="dxa"/>
              <w:bottom w:w="0" w:type="dxa"/>
              <w:right w:w="100" w:type="dxa"/>
            </w:tcMar>
            <w:vAlign w:val="center"/>
          </w:tcPr>
          <w:p w14:paraId="5DF4C2E7" w14:textId="77777777" w:rsidR="00451CC2" w:rsidRDefault="00451CC2" w:rsidP="008A7CB8">
            <w:pPr>
              <w:pStyle w:val="Tabletext"/>
              <w:rPr>
                <w:rFonts w:eastAsia="Calibri"/>
              </w:rPr>
            </w:pPr>
            <w:r>
              <w:rPr>
                <w:rFonts w:eastAsia="Calibri"/>
              </w:rPr>
              <w:t>2020.CSR 3.6</w:t>
            </w:r>
            <w:r>
              <w:rPr>
                <w:rFonts w:eastAsia="Calibri"/>
              </w:rPr>
              <w:br/>
              <w:t>2019.CSR 2.2</w:t>
            </w:r>
          </w:p>
        </w:tc>
        <w:tc>
          <w:tcPr>
            <w:tcW w:w="1224" w:type="dxa"/>
            <w:tcMar>
              <w:top w:w="0" w:type="dxa"/>
              <w:left w:w="100" w:type="dxa"/>
              <w:bottom w:w="0" w:type="dxa"/>
              <w:right w:w="100" w:type="dxa"/>
            </w:tcMar>
            <w:vAlign w:val="center"/>
          </w:tcPr>
          <w:p w14:paraId="11E6035E" w14:textId="77777777" w:rsidR="00451CC2" w:rsidRDefault="00451CC2" w:rsidP="008A7CB8">
            <w:pPr>
              <w:pStyle w:val="Tabletext"/>
              <w:rPr>
                <w:rFonts w:eastAsia="Calibri"/>
              </w:rPr>
            </w:pPr>
            <w:r>
              <w:rPr>
                <w:rFonts w:eastAsia="Calibri"/>
              </w:rPr>
              <w:t>Fair green &amp; digital transition</w:t>
            </w:r>
          </w:p>
        </w:tc>
        <w:tc>
          <w:tcPr>
            <w:tcW w:w="1140" w:type="dxa"/>
            <w:tcMar>
              <w:top w:w="0" w:type="dxa"/>
              <w:left w:w="100" w:type="dxa"/>
              <w:bottom w:w="0" w:type="dxa"/>
              <w:right w:w="100" w:type="dxa"/>
            </w:tcMar>
            <w:vAlign w:val="center"/>
          </w:tcPr>
          <w:p w14:paraId="401BF2C2" w14:textId="77777777" w:rsidR="00451CC2" w:rsidRDefault="00451CC2" w:rsidP="008A7CB8">
            <w:pPr>
              <w:pStyle w:val="Tabletext"/>
              <w:rPr>
                <w:rFonts w:eastAsia="Calibri"/>
              </w:rPr>
            </w:pPr>
            <w:r>
              <w:rPr>
                <w:rFonts w:eastAsia="Calibri"/>
              </w:rPr>
              <w:t>On track</w:t>
            </w:r>
          </w:p>
        </w:tc>
      </w:tr>
      <w:tr w:rsidR="00451CC2" w14:paraId="1B5C7200" w14:textId="77777777" w:rsidTr="00DA620A">
        <w:trPr>
          <w:trHeight w:val="170"/>
          <w:jc w:val="center"/>
        </w:trPr>
        <w:tc>
          <w:tcPr>
            <w:tcW w:w="3541" w:type="dxa"/>
            <w:tcMar>
              <w:top w:w="0" w:type="dxa"/>
              <w:left w:w="100" w:type="dxa"/>
              <w:bottom w:w="0" w:type="dxa"/>
              <w:right w:w="100" w:type="dxa"/>
            </w:tcMar>
            <w:vAlign w:val="center"/>
          </w:tcPr>
          <w:p w14:paraId="367E240A" w14:textId="77777777" w:rsidR="00451CC2" w:rsidRPr="00451CC2" w:rsidRDefault="00540671" w:rsidP="008A7CB8">
            <w:pPr>
              <w:pStyle w:val="Tabletext"/>
              <w:rPr>
                <w:rFonts w:eastAsia="Calibri"/>
              </w:rPr>
            </w:pPr>
            <w:r w:rsidRPr="00540671">
              <w:rPr>
                <w:rFonts w:eastAsia="Calibri"/>
                <w:b/>
              </w:rPr>
              <w:lastRenderedPageBreak/>
              <w:t>INVESTMENT 17:</w:t>
            </w:r>
            <w:r w:rsidR="00451CC2" w:rsidRPr="00451CC2">
              <w:rPr>
                <w:rFonts w:eastAsia="Calibri"/>
              </w:rPr>
              <w:t xml:space="preserve"> Tracing of illegal building and construction using state-of-the-art technological means</w:t>
            </w:r>
          </w:p>
        </w:tc>
        <w:tc>
          <w:tcPr>
            <w:tcW w:w="1423" w:type="dxa"/>
            <w:tcMar>
              <w:top w:w="0" w:type="dxa"/>
              <w:left w:w="100" w:type="dxa"/>
              <w:bottom w:w="0" w:type="dxa"/>
              <w:right w:w="100" w:type="dxa"/>
            </w:tcMar>
            <w:vAlign w:val="center"/>
          </w:tcPr>
          <w:p w14:paraId="20396FCC" w14:textId="77777777" w:rsidR="00451CC2" w:rsidRDefault="00451CC2" w:rsidP="008A7CB8">
            <w:pPr>
              <w:pStyle w:val="Tabletext"/>
              <w:rPr>
                <w:rFonts w:eastAsia="Calibri"/>
              </w:rPr>
            </w:pPr>
            <w:r>
              <w:rPr>
                <w:rFonts w:eastAsia="Calibri"/>
              </w:rPr>
              <w:t>RRF 16960</w:t>
            </w:r>
          </w:p>
        </w:tc>
        <w:tc>
          <w:tcPr>
            <w:tcW w:w="1605" w:type="dxa"/>
            <w:tcMar>
              <w:top w:w="0" w:type="dxa"/>
              <w:left w:w="100" w:type="dxa"/>
              <w:bottom w:w="0" w:type="dxa"/>
              <w:right w:w="100" w:type="dxa"/>
            </w:tcMar>
            <w:vAlign w:val="center"/>
          </w:tcPr>
          <w:p w14:paraId="5682A89E" w14:textId="77777777" w:rsidR="00451CC2" w:rsidRDefault="00451CC2" w:rsidP="008A7CB8">
            <w:pPr>
              <w:pStyle w:val="Tabletext"/>
              <w:rPr>
                <w:rFonts w:eastAsia="Calibri"/>
              </w:rPr>
            </w:pPr>
            <w:r>
              <w:rPr>
                <w:rFonts w:eastAsia="Calibri"/>
              </w:rPr>
              <w:t>2020.CSR 3.9 2020.CSR 3.6</w:t>
            </w:r>
            <w:r>
              <w:rPr>
                <w:rFonts w:eastAsia="Calibri"/>
              </w:rPr>
              <w:br/>
              <w:t>2019.CSR 2.3 2019.CSR 2.2</w:t>
            </w:r>
          </w:p>
        </w:tc>
        <w:tc>
          <w:tcPr>
            <w:tcW w:w="1224" w:type="dxa"/>
            <w:tcMar>
              <w:top w:w="0" w:type="dxa"/>
              <w:left w:w="100" w:type="dxa"/>
              <w:bottom w:w="0" w:type="dxa"/>
              <w:right w:w="100" w:type="dxa"/>
            </w:tcMar>
            <w:vAlign w:val="center"/>
          </w:tcPr>
          <w:p w14:paraId="6D8BA87C" w14:textId="77777777" w:rsidR="00451CC2" w:rsidRPr="00451CC2" w:rsidRDefault="00451CC2" w:rsidP="008A7CB8">
            <w:pPr>
              <w:pStyle w:val="Tabletext"/>
              <w:rPr>
                <w:rFonts w:eastAsia="Calibri"/>
              </w:rPr>
            </w:pPr>
            <w:r w:rsidRPr="00451CC2">
              <w:rPr>
                <w:rFonts w:eastAsia="Calibri"/>
              </w:rPr>
              <w:t>Private investment and transformation of the economy</w:t>
            </w:r>
          </w:p>
        </w:tc>
        <w:tc>
          <w:tcPr>
            <w:tcW w:w="1140" w:type="dxa"/>
            <w:tcMar>
              <w:top w:w="0" w:type="dxa"/>
              <w:left w:w="100" w:type="dxa"/>
              <w:bottom w:w="0" w:type="dxa"/>
              <w:right w:w="100" w:type="dxa"/>
            </w:tcMar>
            <w:vAlign w:val="center"/>
          </w:tcPr>
          <w:p w14:paraId="21CB9D40" w14:textId="77777777" w:rsidR="00451CC2" w:rsidRDefault="00451CC2" w:rsidP="008A7CB8">
            <w:pPr>
              <w:pStyle w:val="Tabletext"/>
              <w:rPr>
                <w:rFonts w:eastAsia="Calibri"/>
              </w:rPr>
            </w:pPr>
            <w:r>
              <w:rPr>
                <w:rFonts w:eastAsia="Calibri"/>
              </w:rPr>
              <w:t>On track</w:t>
            </w:r>
          </w:p>
        </w:tc>
      </w:tr>
      <w:tr w:rsidR="00451CC2" w14:paraId="215152EE" w14:textId="77777777" w:rsidTr="00DA620A">
        <w:trPr>
          <w:trHeight w:val="170"/>
          <w:jc w:val="center"/>
        </w:trPr>
        <w:tc>
          <w:tcPr>
            <w:tcW w:w="3541" w:type="dxa"/>
            <w:tcMar>
              <w:top w:w="0" w:type="dxa"/>
              <w:left w:w="100" w:type="dxa"/>
              <w:bottom w:w="0" w:type="dxa"/>
              <w:right w:w="100" w:type="dxa"/>
            </w:tcMar>
            <w:vAlign w:val="center"/>
          </w:tcPr>
          <w:p w14:paraId="448E23FF" w14:textId="77777777" w:rsidR="00451CC2" w:rsidRPr="00451CC2" w:rsidRDefault="00451CC2" w:rsidP="008A7CB8">
            <w:pPr>
              <w:pStyle w:val="Tabletext"/>
              <w:rPr>
                <w:rFonts w:eastAsia="Calibri"/>
              </w:rPr>
            </w:pPr>
            <w:r w:rsidRPr="00FA1AB3">
              <w:rPr>
                <w:rFonts w:eastAsia="Calibri"/>
                <w:b/>
              </w:rPr>
              <w:t>INVESTMENT 18:</w:t>
            </w:r>
            <w:r w:rsidRPr="00451CC2">
              <w:rPr>
                <w:rFonts w:eastAsia="Calibri"/>
              </w:rPr>
              <w:t xml:space="preserve"> 16900_HEDNO overhead network upgrading in forest areas</w:t>
            </w:r>
          </w:p>
          <w:p w14:paraId="1C07B7BE" w14:textId="77777777" w:rsidR="00451CC2" w:rsidRPr="00451CC2" w:rsidRDefault="00451CC2" w:rsidP="008A7CB8">
            <w:pPr>
              <w:pStyle w:val="Tabletext"/>
              <w:rPr>
                <w:rFonts w:eastAsia="Calibri"/>
              </w:rPr>
            </w:pPr>
            <w:r w:rsidRPr="00451CC2">
              <w:rPr>
                <w:rFonts w:eastAsia="Calibri"/>
              </w:rPr>
              <w:t xml:space="preserve"> </w:t>
            </w:r>
          </w:p>
        </w:tc>
        <w:tc>
          <w:tcPr>
            <w:tcW w:w="1423" w:type="dxa"/>
            <w:tcMar>
              <w:top w:w="0" w:type="dxa"/>
              <w:left w:w="100" w:type="dxa"/>
              <w:bottom w:w="0" w:type="dxa"/>
              <w:right w:w="100" w:type="dxa"/>
            </w:tcMar>
            <w:vAlign w:val="center"/>
          </w:tcPr>
          <w:p w14:paraId="6F20C026" w14:textId="77777777" w:rsidR="00451CC2" w:rsidRDefault="00451CC2" w:rsidP="008A7CB8">
            <w:pPr>
              <w:pStyle w:val="Tabletext"/>
              <w:rPr>
                <w:rFonts w:eastAsia="Calibri"/>
              </w:rPr>
            </w:pPr>
            <w:r>
              <w:rPr>
                <w:rFonts w:eastAsia="Calibri"/>
              </w:rPr>
              <w:t>RRF 16900</w:t>
            </w:r>
          </w:p>
        </w:tc>
        <w:tc>
          <w:tcPr>
            <w:tcW w:w="1605" w:type="dxa"/>
            <w:tcMar>
              <w:top w:w="0" w:type="dxa"/>
              <w:left w:w="100" w:type="dxa"/>
              <w:bottom w:w="0" w:type="dxa"/>
              <w:right w:w="100" w:type="dxa"/>
            </w:tcMar>
            <w:vAlign w:val="center"/>
          </w:tcPr>
          <w:p w14:paraId="5678609F" w14:textId="77777777" w:rsidR="00451CC2" w:rsidRPr="00451CC2" w:rsidRDefault="00451CC2" w:rsidP="008A7CB8">
            <w:pPr>
              <w:pStyle w:val="Tabletext"/>
              <w:rPr>
                <w:rFonts w:eastAsia="Calibri"/>
              </w:rPr>
            </w:pPr>
            <w:r w:rsidRPr="00451CC2">
              <w:rPr>
                <w:rFonts w:eastAsia="Calibri"/>
              </w:rPr>
              <w:t>2025 CSR 4.4</w:t>
            </w:r>
          </w:p>
          <w:p w14:paraId="631FA67A" w14:textId="77777777" w:rsidR="00451CC2" w:rsidRPr="00451CC2" w:rsidRDefault="00451CC2" w:rsidP="008A7CB8">
            <w:pPr>
              <w:pStyle w:val="Tabletext"/>
              <w:rPr>
                <w:rFonts w:eastAsia="Calibri"/>
              </w:rPr>
            </w:pPr>
            <w:r w:rsidRPr="00451CC2">
              <w:rPr>
                <w:rFonts w:eastAsia="Calibri"/>
              </w:rPr>
              <w:t>2023 CSR 4.1</w:t>
            </w:r>
            <w:r w:rsidRPr="00451CC2">
              <w:rPr>
                <w:rFonts w:eastAsia="Calibri"/>
              </w:rPr>
              <w:br/>
              <w:t>2023 CSR 4.3</w:t>
            </w:r>
            <w:r w:rsidRPr="00451CC2">
              <w:rPr>
                <w:rFonts w:eastAsia="Calibri"/>
              </w:rPr>
              <w:br/>
              <w:t>2022 CSR 4.3</w:t>
            </w:r>
            <w:r w:rsidRPr="00451CC2">
              <w:rPr>
                <w:rFonts w:eastAsia="Calibri"/>
              </w:rPr>
              <w:br/>
              <w:t>2020 CSR 3.2</w:t>
            </w:r>
            <w:r w:rsidRPr="00451CC2">
              <w:rPr>
                <w:rFonts w:eastAsia="Calibri"/>
              </w:rPr>
              <w:br/>
              <w:t>2020 CSR 3.6</w:t>
            </w:r>
            <w:r w:rsidRPr="00451CC2">
              <w:rPr>
                <w:rFonts w:eastAsia="Calibri"/>
              </w:rPr>
              <w:br/>
              <w:t>2019 CSR 2.2</w:t>
            </w:r>
          </w:p>
        </w:tc>
        <w:tc>
          <w:tcPr>
            <w:tcW w:w="1224" w:type="dxa"/>
            <w:tcMar>
              <w:top w:w="0" w:type="dxa"/>
              <w:left w:w="100" w:type="dxa"/>
              <w:bottom w:w="0" w:type="dxa"/>
              <w:right w:w="100" w:type="dxa"/>
            </w:tcMar>
            <w:vAlign w:val="center"/>
          </w:tcPr>
          <w:p w14:paraId="504273AE" w14:textId="77777777" w:rsidR="00451CC2" w:rsidRDefault="00451CC2" w:rsidP="008A7CB8">
            <w:pPr>
              <w:pStyle w:val="Tabletext"/>
              <w:rPr>
                <w:rFonts w:eastAsia="Calibri"/>
              </w:rPr>
            </w:pPr>
            <w:r>
              <w:rPr>
                <w:rFonts w:eastAsia="Calibri"/>
              </w:rPr>
              <w:t>Energy Security</w:t>
            </w:r>
          </w:p>
        </w:tc>
        <w:tc>
          <w:tcPr>
            <w:tcW w:w="1140" w:type="dxa"/>
            <w:tcMar>
              <w:top w:w="0" w:type="dxa"/>
              <w:left w:w="100" w:type="dxa"/>
              <w:bottom w:w="0" w:type="dxa"/>
              <w:right w:w="100" w:type="dxa"/>
            </w:tcMar>
            <w:vAlign w:val="center"/>
          </w:tcPr>
          <w:p w14:paraId="205CC07E" w14:textId="77777777" w:rsidR="00451CC2" w:rsidRDefault="00451CC2" w:rsidP="008A7CB8">
            <w:pPr>
              <w:pStyle w:val="Tabletext"/>
              <w:rPr>
                <w:rFonts w:eastAsia="Calibri"/>
              </w:rPr>
            </w:pPr>
            <w:r>
              <w:rPr>
                <w:rFonts w:eastAsia="Calibri"/>
              </w:rPr>
              <w:t>On track</w:t>
            </w:r>
          </w:p>
        </w:tc>
      </w:tr>
      <w:tr w:rsidR="00451CC2" w14:paraId="721F8DF0" w14:textId="77777777" w:rsidTr="00DA620A">
        <w:trPr>
          <w:trHeight w:val="170"/>
          <w:jc w:val="center"/>
        </w:trPr>
        <w:tc>
          <w:tcPr>
            <w:tcW w:w="3541" w:type="dxa"/>
            <w:tcMar>
              <w:top w:w="0" w:type="dxa"/>
              <w:left w:w="100" w:type="dxa"/>
              <w:bottom w:w="0" w:type="dxa"/>
              <w:right w:w="100" w:type="dxa"/>
            </w:tcMar>
            <w:vAlign w:val="center"/>
          </w:tcPr>
          <w:p w14:paraId="47E72DEE" w14:textId="77777777" w:rsidR="00451CC2" w:rsidRPr="00451CC2" w:rsidRDefault="00451CC2" w:rsidP="008A7CB8">
            <w:pPr>
              <w:pStyle w:val="Tabletext"/>
              <w:rPr>
                <w:rFonts w:eastAsia="Calibri"/>
              </w:rPr>
            </w:pPr>
            <w:r w:rsidRPr="00FA1AB3">
              <w:rPr>
                <w:rFonts w:eastAsia="Calibri"/>
                <w:b/>
              </w:rPr>
              <w:t>INVESTMENT 19:</w:t>
            </w:r>
            <w:r w:rsidRPr="00451CC2">
              <w:rPr>
                <w:rFonts w:eastAsia="Calibri"/>
              </w:rPr>
              <w:t xml:space="preserve"> 16901_HEDNO network upgrades aiming at enhancing resilience and protecting the environment</w:t>
            </w:r>
          </w:p>
          <w:p w14:paraId="0AD9E984" w14:textId="77777777" w:rsidR="00451CC2" w:rsidRPr="00451CC2" w:rsidRDefault="00451CC2" w:rsidP="008A7CB8">
            <w:pPr>
              <w:pStyle w:val="Tabletext"/>
              <w:rPr>
                <w:rFonts w:eastAsia="Calibri"/>
              </w:rPr>
            </w:pPr>
            <w:r w:rsidRPr="00451CC2">
              <w:rPr>
                <w:rFonts w:eastAsia="Calibri"/>
              </w:rPr>
              <w:t xml:space="preserve"> </w:t>
            </w:r>
          </w:p>
        </w:tc>
        <w:tc>
          <w:tcPr>
            <w:tcW w:w="1423" w:type="dxa"/>
            <w:tcMar>
              <w:top w:w="0" w:type="dxa"/>
              <w:left w:w="100" w:type="dxa"/>
              <w:bottom w:w="0" w:type="dxa"/>
              <w:right w:w="100" w:type="dxa"/>
            </w:tcMar>
            <w:vAlign w:val="center"/>
          </w:tcPr>
          <w:p w14:paraId="64E02F90" w14:textId="77777777" w:rsidR="00451CC2" w:rsidRDefault="00451CC2" w:rsidP="008A7CB8">
            <w:pPr>
              <w:pStyle w:val="Tabletext"/>
              <w:rPr>
                <w:rFonts w:eastAsia="Calibri"/>
              </w:rPr>
            </w:pPr>
            <w:r>
              <w:rPr>
                <w:rFonts w:eastAsia="Calibri"/>
              </w:rPr>
              <w:t>RRF 16901</w:t>
            </w:r>
          </w:p>
        </w:tc>
        <w:tc>
          <w:tcPr>
            <w:tcW w:w="1605" w:type="dxa"/>
            <w:tcMar>
              <w:top w:w="0" w:type="dxa"/>
              <w:left w:w="100" w:type="dxa"/>
              <w:bottom w:w="0" w:type="dxa"/>
              <w:right w:w="100" w:type="dxa"/>
            </w:tcMar>
            <w:vAlign w:val="center"/>
          </w:tcPr>
          <w:p w14:paraId="078D9383" w14:textId="77777777" w:rsidR="00451CC2" w:rsidRPr="00451CC2" w:rsidRDefault="00451CC2" w:rsidP="008A7CB8">
            <w:pPr>
              <w:pStyle w:val="Tabletext"/>
              <w:rPr>
                <w:rFonts w:eastAsia="Calibri"/>
              </w:rPr>
            </w:pPr>
            <w:r w:rsidRPr="00451CC2">
              <w:rPr>
                <w:rFonts w:eastAsia="Calibri"/>
              </w:rPr>
              <w:t>2025 CSR 4.4</w:t>
            </w:r>
          </w:p>
          <w:p w14:paraId="5D60C727" w14:textId="77777777" w:rsidR="00451CC2" w:rsidRPr="00451CC2" w:rsidRDefault="00451CC2" w:rsidP="008A7CB8">
            <w:pPr>
              <w:pStyle w:val="Tabletext"/>
              <w:rPr>
                <w:rFonts w:eastAsia="Calibri"/>
              </w:rPr>
            </w:pPr>
            <w:r w:rsidRPr="00451CC2">
              <w:rPr>
                <w:rFonts w:eastAsia="Calibri"/>
              </w:rPr>
              <w:t>2023 CSR 4.1</w:t>
            </w:r>
            <w:r w:rsidRPr="00451CC2">
              <w:rPr>
                <w:rFonts w:eastAsia="Calibri"/>
              </w:rPr>
              <w:br/>
              <w:t>2023 CSR 4.3</w:t>
            </w:r>
            <w:r w:rsidRPr="00451CC2">
              <w:rPr>
                <w:rFonts w:eastAsia="Calibri"/>
              </w:rPr>
              <w:br/>
              <w:t>2022 CSR 4.3</w:t>
            </w:r>
            <w:r w:rsidRPr="00451CC2">
              <w:rPr>
                <w:rFonts w:eastAsia="Calibri"/>
              </w:rPr>
              <w:br/>
              <w:t>2020 CSR 3.2</w:t>
            </w:r>
            <w:r w:rsidRPr="00451CC2">
              <w:rPr>
                <w:rFonts w:eastAsia="Calibri"/>
              </w:rPr>
              <w:br/>
              <w:t>2020 CSR 3.6</w:t>
            </w:r>
            <w:r w:rsidRPr="00451CC2">
              <w:rPr>
                <w:rFonts w:eastAsia="Calibri"/>
              </w:rPr>
              <w:br/>
              <w:t>2019 CSR 2.2</w:t>
            </w:r>
          </w:p>
        </w:tc>
        <w:tc>
          <w:tcPr>
            <w:tcW w:w="1224" w:type="dxa"/>
            <w:tcMar>
              <w:top w:w="0" w:type="dxa"/>
              <w:left w:w="100" w:type="dxa"/>
              <w:bottom w:w="0" w:type="dxa"/>
              <w:right w:w="100" w:type="dxa"/>
            </w:tcMar>
            <w:vAlign w:val="center"/>
          </w:tcPr>
          <w:p w14:paraId="64C516B5" w14:textId="77777777" w:rsidR="00451CC2" w:rsidRDefault="00451CC2" w:rsidP="008A7CB8">
            <w:pPr>
              <w:pStyle w:val="Tabletext"/>
              <w:rPr>
                <w:rFonts w:eastAsia="Calibri"/>
              </w:rPr>
            </w:pPr>
            <w:r>
              <w:rPr>
                <w:rFonts w:eastAsia="Calibri"/>
              </w:rPr>
              <w:t>Energy Security</w:t>
            </w:r>
          </w:p>
        </w:tc>
        <w:tc>
          <w:tcPr>
            <w:tcW w:w="1140" w:type="dxa"/>
            <w:tcMar>
              <w:top w:w="0" w:type="dxa"/>
              <w:left w:w="100" w:type="dxa"/>
              <w:bottom w:w="0" w:type="dxa"/>
              <w:right w:w="100" w:type="dxa"/>
            </w:tcMar>
            <w:vAlign w:val="center"/>
          </w:tcPr>
          <w:p w14:paraId="7804FB09" w14:textId="77777777" w:rsidR="00451CC2" w:rsidRDefault="00451CC2" w:rsidP="008A7CB8">
            <w:pPr>
              <w:pStyle w:val="Tabletext"/>
              <w:rPr>
                <w:rFonts w:eastAsia="Calibri"/>
              </w:rPr>
            </w:pPr>
            <w:r>
              <w:rPr>
                <w:rFonts w:eastAsia="Calibri"/>
              </w:rPr>
              <w:t>On track</w:t>
            </w:r>
          </w:p>
        </w:tc>
      </w:tr>
    </w:tbl>
    <w:p w14:paraId="3F953230" w14:textId="77777777" w:rsidR="00451CC2" w:rsidRPr="00451CC2" w:rsidRDefault="00451CC2" w:rsidP="00DA620A">
      <w:pPr>
        <w:spacing w:before="240"/>
        <w:rPr>
          <w:rFonts w:eastAsia="Calibri"/>
          <w:highlight w:val="white"/>
          <w:lang w:val="en-US"/>
        </w:rPr>
      </w:pPr>
      <w:r w:rsidRPr="00451CC2">
        <w:rPr>
          <w:rFonts w:eastAsia="Calibri"/>
          <w:lang w:val="en-US"/>
        </w:rPr>
        <w:t>The</w:t>
      </w:r>
      <w:r w:rsidRPr="00451CC2">
        <w:rPr>
          <w:rFonts w:eastAsia="Calibri"/>
          <w:highlight w:val="white"/>
          <w:lang w:val="en-US"/>
        </w:rPr>
        <w:t xml:space="preserve"> </w:t>
      </w:r>
      <w:r w:rsidRPr="00451CC2">
        <w:rPr>
          <w:rFonts w:eastAsia="Calibri"/>
          <w:b/>
          <w:bCs/>
          <w:highlight w:val="white"/>
          <w:lang w:val="en-US"/>
        </w:rPr>
        <w:t>RRF reform</w:t>
      </w:r>
      <w:r w:rsidRPr="00451CC2">
        <w:rPr>
          <w:rFonts w:eastAsia="Calibri"/>
          <w:highlight w:val="white"/>
          <w:lang w:val="en-US"/>
        </w:rPr>
        <w:t xml:space="preserve"> </w:t>
      </w:r>
      <w:r w:rsidRPr="00451CC2">
        <w:rPr>
          <w:rFonts w:eastAsia="Calibri"/>
          <w:b/>
          <w:highlight w:val="white"/>
          <w:lang w:val="en-US"/>
        </w:rPr>
        <w:t>“</w:t>
      </w:r>
      <w:r w:rsidRPr="00451CC2">
        <w:rPr>
          <w:rFonts w:eastAsia="Calibri"/>
          <w:b/>
          <w:bCs/>
          <w:highlight w:val="white"/>
          <w:lang w:val="en-US"/>
        </w:rPr>
        <w:t>Optimisation of land and sea space usage for the development of RES and offshore wind energy development”</w:t>
      </w:r>
      <w:r w:rsidRPr="00451CC2">
        <w:rPr>
          <w:rFonts w:eastAsia="Calibri"/>
          <w:highlight w:val="white"/>
          <w:lang w:val="en-US"/>
        </w:rPr>
        <w:t xml:space="preserve"> aims at enhancing the further development of renewable energy sources (hereinafter referred to as “RES”) in Greece. The reform’s objective has been updated to place greater emphasis on accelerating both offshore wind deployment (Pillar I) and the development of onshore renewable energy sources (Pillar II). </w:t>
      </w:r>
    </w:p>
    <w:p w14:paraId="59B33AF8" w14:textId="77777777" w:rsidR="00451CC2" w:rsidRPr="00451CC2" w:rsidRDefault="00451CC2" w:rsidP="00D31D31">
      <w:pPr>
        <w:rPr>
          <w:rFonts w:eastAsia="Calibri"/>
          <w:highlight w:val="white"/>
          <w:lang w:val="en-US"/>
        </w:rPr>
      </w:pPr>
      <w:r w:rsidRPr="00451CC2">
        <w:rPr>
          <w:rFonts w:eastAsia="Calibri"/>
          <w:highlight w:val="white"/>
          <w:lang w:val="en-US"/>
        </w:rPr>
        <w:t>The first pillar relates to the strengthening of the legal framework for offshore wind farms (as set out in Law 4964/2022).  Recent progress includes amendments Law 4964/2022, enabling the establishment of a Special Purpose Vehicle (SPV) for coordinating the collection of data for offshore wind farms, as well as the preparation of secondary legislation for grid capacity reservation (targeting 1.9 GW by 2030) and competitive tendering procedures, marking the transition to implementation.</w:t>
      </w:r>
    </w:p>
    <w:p w14:paraId="4BEA2CA3" w14:textId="77777777" w:rsidR="00451CC2" w:rsidRPr="00451CC2" w:rsidRDefault="00451CC2" w:rsidP="00D31D31">
      <w:pPr>
        <w:rPr>
          <w:rFonts w:eastAsia="Calibri"/>
          <w:highlight w:val="white"/>
          <w:lang w:val="en-US"/>
        </w:rPr>
      </w:pPr>
      <w:r w:rsidRPr="00451CC2">
        <w:rPr>
          <w:rFonts w:eastAsia="Calibri"/>
          <w:highlight w:val="white"/>
          <w:lang w:val="en-US"/>
        </w:rPr>
        <w:t xml:space="preserve">The second Pillar concerns onshore RES and follows a sequenced approach. </w:t>
      </w:r>
      <w:r>
        <w:rPr>
          <w:rFonts w:eastAsia="Calibri"/>
          <w:highlight w:val="white"/>
        </w:rPr>
        <w:t>Α</w:t>
      </w:r>
      <w:r w:rsidRPr="00451CC2">
        <w:rPr>
          <w:rFonts w:eastAsia="Calibri"/>
          <w:highlight w:val="white"/>
          <w:lang w:val="en-US"/>
        </w:rPr>
        <w:t xml:space="preserve"> spatial mapping study identified suitable areas for RES based on data from RAAEY, ADMIE, and HEDNO, considering grid capacity, environmental constraints, and project maturity. Building on this, “optimal areas,” within which “RES acceleration areas” will be defined, supported by simplified permitting and targeted incentives.</w:t>
      </w:r>
    </w:p>
    <w:p w14:paraId="71BF3C4F" w14:textId="77777777" w:rsidR="00451CC2" w:rsidRPr="00451CC2" w:rsidRDefault="00451CC2" w:rsidP="00D31D31">
      <w:pPr>
        <w:rPr>
          <w:rFonts w:eastAsia="Calibri"/>
          <w:highlight w:val="white"/>
          <w:lang w:val="en-US"/>
        </w:rPr>
      </w:pPr>
      <w:r w:rsidRPr="00451CC2">
        <w:rPr>
          <w:rFonts w:eastAsia="Calibri"/>
          <w:highlight w:val="white"/>
          <w:lang w:val="en-US"/>
        </w:rPr>
        <w:t>Overall, the reform progresses from planning to implementation, aligning spatial planning, regulation, and investment facilitation to accelerate RES deployment in Greece and is expected to be completed by July 2026.</w:t>
      </w:r>
    </w:p>
    <w:p w14:paraId="50798D65" w14:textId="77777777" w:rsidR="00451CC2" w:rsidRPr="00451CC2" w:rsidRDefault="00451CC2" w:rsidP="00D31D31">
      <w:pPr>
        <w:rPr>
          <w:rFonts w:eastAsia="Calibri"/>
          <w:highlight w:val="white"/>
          <w:lang w:val="en-US"/>
        </w:rPr>
      </w:pPr>
      <w:r w:rsidRPr="00451CC2">
        <w:rPr>
          <w:rFonts w:eastAsia="Calibri"/>
          <w:lang w:val="en-US"/>
        </w:rPr>
        <w:t>The</w:t>
      </w:r>
      <w:r w:rsidRPr="00451CC2">
        <w:rPr>
          <w:rFonts w:eastAsia="Calibri"/>
          <w:highlight w:val="white"/>
          <w:lang w:val="en-US"/>
        </w:rPr>
        <w:t xml:space="preserve"> </w:t>
      </w:r>
      <w:r w:rsidRPr="00451CC2">
        <w:rPr>
          <w:rFonts w:eastAsia="Calibri"/>
          <w:b/>
          <w:bCs/>
          <w:highlight w:val="white"/>
          <w:lang w:val="en-US"/>
        </w:rPr>
        <w:t>RRF reform</w:t>
      </w:r>
      <w:r w:rsidRPr="00451CC2">
        <w:rPr>
          <w:rFonts w:eastAsia="Calibri"/>
          <w:highlight w:val="white"/>
          <w:lang w:val="en-US"/>
        </w:rPr>
        <w:t xml:space="preserve"> </w:t>
      </w:r>
      <w:r w:rsidRPr="00451CC2">
        <w:rPr>
          <w:rFonts w:eastAsia="Calibri"/>
          <w:b/>
          <w:bCs/>
          <w:highlight w:val="white"/>
          <w:lang w:val="en-US"/>
        </w:rPr>
        <w:t>“Regulatory framework towards a smart grid”</w:t>
      </w:r>
      <w:r w:rsidRPr="00451CC2">
        <w:rPr>
          <w:rFonts w:eastAsia="Calibri"/>
          <w:highlight w:val="white"/>
          <w:lang w:val="en-US"/>
        </w:rPr>
        <w:t xml:space="preserve"> aims at accelerating the implementation of smart and digital technologies in the distribution network, and the pursuit of more efficient management of energy usage for the final consumer. The implementation of the proposed reform is planned in three distinct thematic areas which are: the Evolution of a system of incentives for deployment and usage of smart meters (Pillar 1), the digitalisation of the distribution network by the development of an active control center by Greek Distribution System Operator (Pillar 2), and the adoption of the secondary legislation and framework to </w:t>
      </w:r>
      <w:r w:rsidRPr="00451CC2">
        <w:rPr>
          <w:rFonts w:eastAsia="Calibri"/>
          <w:highlight w:val="white"/>
          <w:lang w:val="en-US"/>
        </w:rPr>
        <w:lastRenderedPageBreak/>
        <w:t>implement the dynamic pricing for all end-consumers as soon as a smart meter is installed in their service connection (Pillar 3). Significant progress has been achieved. An incentives-based regulatory framework for the rollout of smart meters has been established, including performance-based incentives and monitoring mechanisms for the DSO</w:t>
      </w:r>
      <w:r w:rsidRPr="00451CC2">
        <w:rPr>
          <w:rFonts w:eastAsia="Calibri"/>
          <w:color w:val="FF0000"/>
          <w:highlight w:val="white"/>
          <w:lang w:val="en-US"/>
        </w:rPr>
        <w:t xml:space="preserve"> </w:t>
      </w:r>
      <w:r w:rsidRPr="00451CC2">
        <w:rPr>
          <w:rFonts w:eastAsia="Calibri"/>
          <w:highlight w:val="white"/>
          <w:lang w:val="en-US"/>
        </w:rPr>
        <w:t xml:space="preserve">(July 2025). In addition, on 1st February a legal and regulatory framework for dynamic pricing contracts was introduced, defining tariff design, contractual terms, and the rights and obligations of all market participants, while enabling dynamic pricing for consumers equipped with smart meters. The remaining step, which is under revision, focuses on the </w:t>
      </w:r>
      <w:proofErr w:type="spellStart"/>
      <w:r w:rsidRPr="00451CC2">
        <w:rPr>
          <w:rFonts w:eastAsia="Calibri"/>
          <w:highlight w:val="white"/>
          <w:lang w:val="en-US"/>
        </w:rPr>
        <w:t>modernisation</w:t>
      </w:r>
      <w:proofErr w:type="spellEnd"/>
      <w:r w:rsidRPr="00451CC2">
        <w:rPr>
          <w:rFonts w:eastAsia="Calibri"/>
          <w:highlight w:val="white"/>
          <w:lang w:val="en-US"/>
        </w:rPr>
        <w:t xml:space="preserve"> of the DSO control centres through the deployment of SCADA-DMS systems, improved communication with substations, and supporting infrastructure for real-time network management and is expected to be completed by June 2026. </w:t>
      </w:r>
    </w:p>
    <w:p w14:paraId="62324EB4" w14:textId="77777777" w:rsidR="00451CC2" w:rsidRPr="00451CC2" w:rsidRDefault="00451CC2" w:rsidP="00D31D31">
      <w:pPr>
        <w:rPr>
          <w:rFonts w:eastAsia="Calibri"/>
          <w:highlight w:val="white"/>
          <w:lang w:val="en-US"/>
        </w:rPr>
      </w:pPr>
      <w:r w:rsidRPr="00451CC2">
        <w:rPr>
          <w:rFonts w:eastAsia="Calibri"/>
          <w:lang w:val="en-US"/>
        </w:rPr>
        <w:t>The</w:t>
      </w:r>
      <w:r w:rsidRPr="00451CC2">
        <w:rPr>
          <w:rFonts w:eastAsia="Calibri"/>
          <w:highlight w:val="white"/>
          <w:lang w:val="en-US"/>
        </w:rPr>
        <w:t xml:space="preserve"> </w:t>
      </w:r>
      <w:r w:rsidRPr="00451CC2">
        <w:rPr>
          <w:rFonts w:eastAsia="Calibri"/>
          <w:b/>
          <w:highlight w:val="white"/>
          <w:lang w:val="en-US"/>
        </w:rPr>
        <w:t xml:space="preserve">RRF reform </w:t>
      </w:r>
      <w:r w:rsidRPr="00451CC2">
        <w:rPr>
          <w:rFonts w:eastAsia="Calibri"/>
          <w:b/>
          <w:bCs/>
          <w:highlight w:val="white"/>
          <w:lang w:val="en-US"/>
        </w:rPr>
        <w:t>“Toolset to promote energy sharing, self-consumption and renewable Energy Communities”</w:t>
      </w:r>
      <w:r w:rsidRPr="00451CC2">
        <w:rPr>
          <w:rFonts w:eastAsia="Calibri"/>
          <w:highlight w:val="white"/>
          <w:lang w:val="en-US"/>
        </w:rPr>
        <w:t xml:space="preserve"> aims to facilitate and accelerate the installation of RES stations in buildings, to put in place the necessary regulatory framework for the implementation of self-consumption, collective self-consumption and self-consumption with virtual net billing, in accordance with Law 5037/2023 (A’ 78) and to establish a self-consumers registry and design and implementation of technical assistance measures for renewable Energy Communities and Citizen Energy Communities. Law 5215/2025 (</w:t>
      </w:r>
      <w:r>
        <w:rPr>
          <w:rFonts w:eastAsia="Calibri"/>
          <w:highlight w:val="white"/>
        </w:rPr>
        <w:t>Α</w:t>
      </w:r>
      <w:r w:rsidRPr="00451CC2">
        <w:rPr>
          <w:rFonts w:eastAsia="Calibri"/>
          <w:highlight w:val="white"/>
          <w:lang w:val="en-US"/>
        </w:rPr>
        <w:t xml:space="preserve">’ 116) introduced provisions to facilitate RES installations in multi-apartment buildings, including simplified procedures and majority-based decision-making. Moreover, the Self-Consumers Registry, with HEDNO designated as the responsible entity has been established (Law 5294/2026 (A’ 58)). The adoption of a Ministerial Decision defining its structure, operation and interoperability, enabling data monitoring and facilitating supplier switching will be finalized on 30 of April 2026. In parallel, a technical assistance mechanism for Energy Communities has been set up, with CRES providing advisory support, capacity-building activities and an interactive contact point. Overall, the reform has progressed from establishing the regulatory framework to implementing the necessary tools and support mechanism for energy sharing and self-consumption in Greece. </w:t>
      </w:r>
    </w:p>
    <w:p w14:paraId="3F0248A0" w14:textId="77777777" w:rsidR="00451CC2" w:rsidRPr="00451CC2" w:rsidRDefault="00451CC2" w:rsidP="00D31D31">
      <w:pPr>
        <w:rPr>
          <w:rFonts w:eastAsia="Calibri"/>
          <w:highlight w:val="white"/>
          <w:lang w:val="en-US"/>
        </w:rPr>
      </w:pPr>
      <w:r w:rsidRPr="00451CC2">
        <w:rPr>
          <w:rFonts w:eastAsia="Calibri"/>
          <w:lang w:val="en-US"/>
        </w:rPr>
        <w:t>The</w:t>
      </w:r>
      <w:r w:rsidRPr="00451CC2">
        <w:rPr>
          <w:rFonts w:eastAsia="Calibri"/>
          <w:highlight w:val="white"/>
          <w:lang w:val="en-US"/>
        </w:rPr>
        <w:t xml:space="preserve"> </w:t>
      </w:r>
      <w:r w:rsidRPr="00451CC2">
        <w:rPr>
          <w:rFonts w:eastAsia="Calibri"/>
          <w:b/>
          <w:bCs/>
          <w:highlight w:val="white"/>
          <w:lang w:val="en-US"/>
        </w:rPr>
        <w:t>RRF reform</w:t>
      </w:r>
      <w:r w:rsidRPr="00451CC2">
        <w:rPr>
          <w:rFonts w:eastAsia="Calibri"/>
          <w:highlight w:val="white"/>
          <w:lang w:val="en-US"/>
        </w:rPr>
        <w:t xml:space="preserve"> “</w:t>
      </w:r>
      <w:r w:rsidRPr="00451CC2">
        <w:rPr>
          <w:rFonts w:eastAsia="Calibri"/>
          <w:b/>
          <w:bCs/>
          <w:highlight w:val="white"/>
          <w:lang w:val="en-US"/>
        </w:rPr>
        <w:t xml:space="preserve">Roadmap for innovative energy efficiency interventions and identification of new financial instruments” </w:t>
      </w:r>
      <w:r w:rsidRPr="00451CC2">
        <w:rPr>
          <w:rFonts w:eastAsia="Calibri"/>
          <w:highlight w:val="white"/>
          <w:lang w:val="en-US"/>
        </w:rPr>
        <w:t xml:space="preserve">includes the introduction of non-grant financial instruments, in order to support energy efficiency investments in residential and industrial buildings, reducing reliance on grants and </w:t>
      </w:r>
      <w:proofErr w:type="spellStart"/>
      <w:r w:rsidRPr="00451CC2">
        <w:rPr>
          <w:rFonts w:eastAsia="Calibri"/>
          <w:highlight w:val="white"/>
          <w:lang w:val="en-US"/>
        </w:rPr>
        <w:t>mobilising</w:t>
      </w:r>
      <w:proofErr w:type="spellEnd"/>
      <w:r w:rsidRPr="00451CC2">
        <w:rPr>
          <w:rFonts w:eastAsia="Calibri"/>
          <w:highlight w:val="white"/>
          <w:lang w:val="en-US"/>
        </w:rPr>
        <w:t xml:space="preserve"> private capital. The non-grant financial instrument shall foresee fiscal incentives, </w:t>
      </w:r>
      <w:proofErr w:type="spellStart"/>
      <w:r w:rsidRPr="00451CC2">
        <w:rPr>
          <w:rFonts w:eastAsia="Calibri"/>
          <w:highlight w:val="white"/>
          <w:lang w:val="en-US"/>
        </w:rPr>
        <w:t>subsidised</w:t>
      </w:r>
      <w:proofErr w:type="spellEnd"/>
      <w:r w:rsidRPr="00451CC2">
        <w:rPr>
          <w:rFonts w:eastAsia="Calibri"/>
          <w:highlight w:val="white"/>
          <w:lang w:val="en-US"/>
        </w:rPr>
        <w:t xml:space="preserve"> or guaranteed loans and other financial tools to support energy efficiency investments in the building sector. This reform shall mark a shift away from financial instruments that are grant-based and is expected to increase the number of buildings that can be supported. The reform shall (</w:t>
      </w:r>
      <w:proofErr w:type="spellStart"/>
      <w:r w:rsidRPr="00451CC2">
        <w:rPr>
          <w:rFonts w:eastAsia="Calibri"/>
          <w:highlight w:val="white"/>
          <w:lang w:val="en-US"/>
        </w:rPr>
        <w:t>i</w:t>
      </w:r>
      <w:proofErr w:type="spellEnd"/>
      <w:r w:rsidRPr="00451CC2">
        <w:rPr>
          <w:rFonts w:eastAsia="Calibri"/>
          <w:highlight w:val="white"/>
          <w:lang w:val="en-US"/>
        </w:rPr>
        <w:t xml:space="preserve">) complete a roadmap defining innovative energy efficiency interventions; and (ii) launch an energy efficiency financial instrument as set out in the roadmap and based on non-grant financial sources. In July 2025, marked the entry into force of Ministerial Decision </w:t>
      </w:r>
      <w:r>
        <w:rPr>
          <w:rFonts w:eastAsia="Calibri"/>
          <w:highlight w:val="white"/>
        </w:rPr>
        <w:t>ΥΠΕΝ</w:t>
      </w:r>
      <w:r w:rsidRPr="00451CC2">
        <w:rPr>
          <w:rFonts w:eastAsia="Calibri"/>
          <w:highlight w:val="white"/>
          <w:lang w:val="en-US"/>
        </w:rPr>
        <w:t>/</w:t>
      </w:r>
      <w:r>
        <w:rPr>
          <w:rFonts w:eastAsia="Calibri"/>
          <w:highlight w:val="white"/>
        </w:rPr>
        <w:t>ΔΕΠΕΑ</w:t>
      </w:r>
      <w:r w:rsidRPr="00451CC2">
        <w:rPr>
          <w:rFonts w:eastAsia="Calibri"/>
          <w:highlight w:val="white"/>
          <w:lang w:val="en-US"/>
        </w:rPr>
        <w:t xml:space="preserve">/78489/637 (B’ 3686), approving the Roadmap for energy efficiency in buildings. The Roadmap defines a framework of innovative interventions, including non-grant instruments such as on-bill financing, </w:t>
      </w:r>
      <w:proofErr w:type="spellStart"/>
      <w:r w:rsidRPr="00451CC2">
        <w:rPr>
          <w:rFonts w:eastAsia="Calibri"/>
          <w:highlight w:val="white"/>
          <w:lang w:val="en-US"/>
        </w:rPr>
        <w:t>subsidised</w:t>
      </w:r>
      <w:proofErr w:type="spellEnd"/>
      <w:r w:rsidRPr="00451CC2">
        <w:rPr>
          <w:rFonts w:eastAsia="Calibri"/>
          <w:highlight w:val="white"/>
          <w:lang w:val="en-US"/>
        </w:rPr>
        <w:t xml:space="preserve"> or guaranteed loans, and other market-based tools. The Ministry of Environment and Energy has advanced the design and legislative preparation of an on-bill financing (OBF) scheme, enabling the financing of energy efficiency investments by suppliers or third parties, with repayment through energy bills. An enabling provision to amend the Electricity Supply Code has been established (Law 5294/2026 </w:t>
      </w:r>
      <w:r w:rsidRPr="00451CC2">
        <w:rPr>
          <w:rFonts w:eastAsia="Calibri"/>
          <w:highlight w:val="white"/>
          <w:lang w:val="en-US"/>
        </w:rPr>
        <w:lastRenderedPageBreak/>
        <w:t>(58 A’)). The issuance of a Ministerial Decision for the entry into force of the instrument will be issued by end of April 2026.</w:t>
      </w:r>
    </w:p>
    <w:p w14:paraId="55A8F7EB" w14:textId="77777777" w:rsidR="00451CC2" w:rsidRPr="00451CC2" w:rsidRDefault="00451CC2" w:rsidP="00D31D31">
      <w:pPr>
        <w:rPr>
          <w:rFonts w:eastAsia="Calibri"/>
          <w:highlight w:val="white"/>
          <w:lang w:val="en-US"/>
        </w:rPr>
      </w:pPr>
      <w:r w:rsidRPr="00451CC2">
        <w:rPr>
          <w:rFonts w:eastAsia="Calibri"/>
          <w:lang w:val="en-US"/>
        </w:rPr>
        <w:t>The</w:t>
      </w:r>
      <w:r w:rsidRPr="00451CC2">
        <w:rPr>
          <w:rFonts w:eastAsia="Calibri"/>
          <w:highlight w:val="white"/>
          <w:lang w:val="en-US"/>
        </w:rPr>
        <w:t xml:space="preserve"> </w:t>
      </w:r>
      <w:r w:rsidRPr="00451CC2">
        <w:rPr>
          <w:rFonts w:eastAsia="Calibri"/>
          <w:b/>
          <w:bCs/>
          <w:highlight w:val="white"/>
          <w:lang w:val="en-US"/>
        </w:rPr>
        <w:t>RRF reform</w:t>
      </w:r>
      <w:r w:rsidRPr="00451CC2">
        <w:rPr>
          <w:rFonts w:eastAsia="Calibri"/>
          <w:highlight w:val="white"/>
          <w:lang w:val="en-US"/>
        </w:rPr>
        <w:t xml:space="preserve"> </w:t>
      </w:r>
      <w:r w:rsidRPr="00451CC2">
        <w:rPr>
          <w:rFonts w:eastAsia="Calibri"/>
          <w:b/>
          <w:bCs/>
          <w:highlight w:val="white"/>
          <w:lang w:val="en-US"/>
        </w:rPr>
        <w:t>“Increase of grid and storage capacity – fostering of storage investments</w:t>
      </w:r>
      <w:r w:rsidRPr="00451CC2">
        <w:rPr>
          <w:rFonts w:eastAsia="Calibri"/>
          <w:highlight w:val="white"/>
          <w:lang w:val="en-US"/>
        </w:rPr>
        <w:t xml:space="preserve">” aims at promoting investments in energy storage solutions, both as standalone units and storage combined with renewable energy sources. Following, Law 5151/2024 (A’ 173) secondary legislation entered into force enabling provisions for standalone and RES-coupled storage, including priority in licensing and grid access (B’ 1248, B’ 2886, B’ 5156). In parallel, the support scheme for RES-storage projects was established via Joint Ministerial Decision </w:t>
      </w:r>
      <w:r>
        <w:rPr>
          <w:rFonts w:eastAsia="Calibri"/>
          <w:highlight w:val="white"/>
        </w:rPr>
        <w:t>ΥΠΕΝ</w:t>
      </w:r>
      <w:r w:rsidRPr="00451CC2">
        <w:rPr>
          <w:rFonts w:eastAsia="Calibri"/>
          <w:highlight w:val="white"/>
          <w:lang w:val="en-US"/>
        </w:rPr>
        <w:t>/</w:t>
      </w:r>
      <w:r>
        <w:rPr>
          <w:rFonts w:eastAsia="Calibri"/>
          <w:highlight w:val="white"/>
        </w:rPr>
        <w:t>ΔΑΠΕΕΚ</w:t>
      </w:r>
      <w:r w:rsidRPr="00451CC2">
        <w:rPr>
          <w:rFonts w:eastAsia="Calibri"/>
          <w:highlight w:val="white"/>
          <w:lang w:val="en-US"/>
        </w:rPr>
        <w:t>/146871/3297/2025 (B’ 7196) at the end of December 2025, followed by RAAEY Decision E-12/2026 (B’ 324), launching the first competitive tenders for PV-plus-storage projects. The Reform was completed in February 2026.</w:t>
      </w:r>
    </w:p>
    <w:p w14:paraId="4E3BCB63" w14:textId="77777777" w:rsidR="00451CC2" w:rsidRPr="00451CC2" w:rsidRDefault="00451CC2" w:rsidP="00D31D31">
      <w:pPr>
        <w:rPr>
          <w:rFonts w:eastAsia="Calibri"/>
          <w:highlight w:val="white"/>
          <w:lang w:val="en-US"/>
        </w:rPr>
      </w:pPr>
      <w:r w:rsidRPr="00451CC2">
        <w:rPr>
          <w:rFonts w:eastAsia="Calibri"/>
          <w:lang w:val="en-US"/>
        </w:rPr>
        <w:t>The</w:t>
      </w:r>
      <w:r w:rsidRPr="00451CC2">
        <w:rPr>
          <w:rFonts w:eastAsia="Calibri"/>
          <w:highlight w:val="white"/>
          <w:lang w:val="en-US"/>
        </w:rPr>
        <w:t xml:space="preserve"> </w:t>
      </w:r>
      <w:r w:rsidRPr="00451CC2">
        <w:rPr>
          <w:rFonts w:eastAsia="Calibri"/>
          <w:b/>
          <w:bCs/>
          <w:highlight w:val="white"/>
          <w:lang w:val="en-US"/>
        </w:rPr>
        <w:t>RRF reform</w:t>
      </w:r>
      <w:r w:rsidRPr="00451CC2">
        <w:rPr>
          <w:rFonts w:eastAsia="Calibri"/>
          <w:highlight w:val="white"/>
          <w:lang w:val="en-US"/>
        </w:rPr>
        <w:t xml:space="preserve"> for the </w:t>
      </w:r>
      <w:r w:rsidRPr="00451CC2">
        <w:rPr>
          <w:rFonts w:eastAsia="Calibri"/>
          <w:b/>
          <w:bCs/>
          <w:highlight w:val="white"/>
          <w:lang w:val="en-US"/>
        </w:rPr>
        <w:t>“Restructuring and enhancement of the RES &amp; Combined Heat and Power (CHP) Account revenues”</w:t>
      </w:r>
      <w:r w:rsidRPr="00451CC2">
        <w:rPr>
          <w:rFonts w:eastAsia="Calibri"/>
          <w:highlight w:val="white"/>
          <w:lang w:val="en-US"/>
        </w:rPr>
        <w:t xml:space="preserve"> aims at ensuring the financial sustainability of the RES CHP Account both for existing and new RES units, by measures that reduce legal risk, ensure the bankability of new projects, establish a new mechanism for new RES remunerations that will work automatically, ensure the viability of old RES </w:t>
      </w:r>
      <w:proofErr w:type="spellStart"/>
      <w:r w:rsidRPr="00451CC2">
        <w:rPr>
          <w:rFonts w:eastAsia="Calibri"/>
          <w:highlight w:val="white"/>
          <w:lang w:val="en-US"/>
        </w:rPr>
        <w:t>FiT</w:t>
      </w:r>
      <w:proofErr w:type="spellEnd"/>
      <w:r w:rsidRPr="00451CC2">
        <w:rPr>
          <w:rFonts w:eastAsia="Calibri"/>
          <w:highlight w:val="white"/>
          <w:lang w:val="en-US"/>
        </w:rPr>
        <w:t xml:space="preserve"> contracts and facilitate investments so as to reach NECP targets and raise investors’ confidence, along with the Guarantees of Origin trading system that includes accreditation for the green retail products and the green business standards. The reform has been completed</w:t>
      </w:r>
      <w:r w:rsidRPr="00451CC2">
        <w:rPr>
          <w:highlight w:val="white"/>
          <w:lang w:val="en-US"/>
        </w:rPr>
        <w:t xml:space="preserve">. </w:t>
      </w:r>
      <w:r w:rsidRPr="00451CC2">
        <w:rPr>
          <w:rFonts w:eastAsia="Calibri"/>
          <w:highlight w:val="white"/>
          <w:lang w:val="en-US"/>
        </w:rPr>
        <w:t>During the period April 2025 – early April 2026, the installed RES capacity increased by 2.4 GW. This represents a year-on-year growth rate of approximately 65.9% compared to the capacity additions recorded during the previous period which was confirmed by RES Operator and Guarantees of Origin (DAPEEP). The total installed RES capacity now stands at 9.6 GW.</w:t>
      </w:r>
    </w:p>
    <w:p w14:paraId="66F666B6" w14:textId="77777777" w:rsidR="00451CC2" w:rsidRPr="00451CC2" w:rsidRDefault="00451CC2" w:rsidP="00D31D31">
      <w:pPr>
        <w:rPr>
          <w:rFonts w:eastAsia="Calibri"/>
          <w:highlight w:val="white"/>
          <w:lang w:val="en-US"/>
        </w:rPr>
      </w:pPr>
      <w:r w:rsidRPr="00451CC2">
        <w:rPr>
          <w:rFonts w:eastAsia="Calibri"/>
          <w:highlight w:val="white"/>
          <w:lang w:val="en-US"/>
        </w:rPr>
        <w:t xml:space="preserve">The </w:t>
      </w:r>
      <w:r w:rsidRPr="00451CC2">
        <w:rPr>
          <w:rFonts w:eastAsia="Calibri"/>
          <w:b/>
          <w:bCs/>
          <w:highlight w:val="white"/>
          <w:lang w:val="en-US"/>
        </w:rPr>
        <w:t>RRF</w:t>
      </w:r>
      <w:r w:rsidRPr="00451CC2">
        <w:rPr>
          <w:rFonts w:eastAsia="Calibri"/>
          <w:highlight w:val="white"/>
          <w:lang w:val="en-US"/>
        </w:rPr>
        <w:t xml:space="preserve"> </w:t>
      </w:r>
      <w:r w:rsidRPr="00451CC2">
        <w:rPr>
          <w:rFonts w:eastAsia="Calibri"/>
          <w:b/>
          <w:bCs/>
          <w:highlight w:val="white"/>
          <w:lang w:val="en-US"/>
        </w:rPr>
        <w:t>reform</w:t>
      </w:r>
      <w:r w:rsidRPr="00451CC2">
        <w:rPr>
          <w:rFonts w:eastAsia="Calibri"/>
          <w:highlight w:val="white"/>
          <w:lang w:val="en-US"/>
        </w:rPr>
        <w:t xml:space="preserve"> </w:t>
      </w:r>
      <w:r w:rsidRPr="00451CC2">
        <w:rPr>
          <w:rFonts w:eastAsia="Calibri"/>
          <w:b/>
          <w:bCs/>
          <w:highlight w:val="white"/>
          <w:lang w:val="en-US"/>
        </w:rPr>
        <w:t xml:space="preserve">“Establishment of new spatial planning framework for renewable energy, industry, tourism and aquaculture” </w:t>
      </w:r>
      <w:r w:rsidRPr="00451CC2">
        <w:rPr>
          <w:rFonts w:eastAsia="Calibri"/>
          <w:highlight w:val="white"/>
          <w:lang w:val="en-US"/>
        </w:rPr>
        <w:t>aims at promoting climate mitigation and adaptation, protection of biodiversity, economic growth and job creation. The reform consists of four special spatial frameworks for renewable energy, industry, and tourism. The reform is expected to be completed by the end of June 2026 for renewable energy, industry and tourism. As far as special spatial framework for aquaculture is concerned, it is no longer incorporated within the scope of the RRF. Its completion is expected within 2027.</w:t>
      </w:r>
    </w:p>
    <w:p w14:paraId="15CF347A" w14:textId="77777777" w:rsidR="00451CC2" w:rsidRPr="00451CC2" w:rsidRDefault="00451CC2" w:rsidP="00D31D31">
      <w:pPr>
        <w:rPr>
          <w:rFonts w:eastAsia="Calibri"/>
          <w:highlight w:val="white"/>
          <w:lang w:val="en-US"/>
        </w:rPr>
      </w:pPr>
      <w:r w:rsidRPr="00451CC2">
        <w:rPr>
          <w:rFonts w:eastAsia="Calibri"/>
          <w:lang w:val="en-US"/>
        </w:rPr>
        <w:t xml:space="preserve">The </w:t>
      </w:r>
      <w:r w:rsidRPr="00451CC2">
        <w:rPr>
          <w:rFonts w:eastAsia="Calibri"/>
          <w:b/>
          <w:bCs/>
          <w:lang w:val="en-US"/>
        </w:rPr>
        <w:t>RRF reform</w:t>
      </w:r>
      <w:r w:rsidRPr="00451CC2">
        <w:rPr>
          <w:rFonts w:eastAsia="Calibri"/>
          <w:lang w:val="en-US"/>
        </w:rPr>
        <w:t xml:space="preserve"> “</w:t>
      </w:r>
      <w:r w:rsidRPr="00451CC2">
        <w:rPr>
          <w:rFonts w:eastAsia="Calibri"/>
          <w:b/>
          <w:bCs/>
          <w:lang w:val="en-US"/>
        </w:rPr>
        <w:t>Preparation of Urban Plans in implementation of the urban policy”</w:t>
      </w:r>
      <w:r w:rsidRPr="00451CC2">
        <w:rPr>
          <w:rFonts w:eastAsia="Calibri"/>
          <w:lang w:val="en-US"/>
        </w:rPr>
        <w:t xml:space="preserve"> consists of five actions: (a) the preparation of Local Urban Plans (covering municipalities or municipal units), (b) the preparation of Special Urban Plans (plans that can cover areas regardless of administrative boundaries), (c) Preparation of Independent Plans for the definition of the Development Rights Transfer Zones, (d) Preparation of Independent Plans for the Delimitation of Settlements, (e) Preparation of Independent Plans for the characterization of Municipal Roads. The reform shall address zoning and land use issues with a view to promoting sustainable economic activity and protecting the environment. The Local Urban Plans shall include a dedicated chapter on climate change measures and prevention and management of climate related risks. Overall, Local and Special Urban Plans shall be produced for 405 municipal units; Development Rights Transfer Zones shall be defined in 50 municipal units, the delimitation of </w:t>
      </w:r>
      <w:r w:rsidRPr="00451CC2">
        <w:rPr>
          <w:rFonts w:eastAsia="Calibri"/>
          <w:lang w:val="en-US"/>
        </w:rPr>
        <w:lastRenderedPageBreak/>
        <w:t xml:space="preserve">settlements shall be determined in 50 municipal units and municipal roads shall be determined in more than 700 municipal units. </w:t>
      </w:r>
      <w:r w:rsidRPr="00451CC2">
        <w:rPr>
          <w:rFonts w:eastAsia="Calibri"/>
          <w:highlight w:val="white"/>
          <w:lang w:val="en-US"/>
        </w:rPr>
        <w:t>Its completion is expected within June 2026.</w:t>
      </w:r>
    </w:p>
    <w:p w14:paraId="491CF66D" w14:textId="77777777" w:rsidR="00451CC2" w:rsidRPr="00451CC2" w:rsidRDefault="00451CC2" w:rsidP="00D31D31">
      <w:pPr>
        <w:rPr>
          <w:rFonts w:eastAsia="Calibri"/>
          <w:lang w:val="en-US"/>
        </w:rPr>
      </w:pPr>
      <w:r w:rsidRPr="00451CC2">
        <w:rPr>
          <w:rFonts w:eastAsia="Calibri"/>
          <w:lang w:val="en-US"/>
        </w:rPr>
        <w:t xml:space="preserve">Regarding the reduction of reliance on fossil fuels and further accelerate the diversification of energy supply routes, the reform </w:t>
      </w:r>
      <w:r w:rsidRPr="00451CC2">
        <w:rPr>
          <w:rFonts w:eastAsia="Calibri"/>
          <w:b/>
          <w:bCs/>
          <w:lang w:val="en-US"/>
        </w:rPr>
        <w:t>“Establishment of Decarbonization Fund for the Greek islands and utilization of its resources”</w:t>
      </w:r>
      <w:r w:rsidRPr="00451CC2">
        <w:rPr>
          <w:rFonts w:eastAsia="Calibri"/>
          <w:lang w:val="en-US"/>
        </w:rPr>
        <w:t xml:space="preserve"> is another vital source of funding which enables Greece to claim up to 25 million allowances under the EU emissions trading system.</w:t>
      </w:r>
      <w:r w:rsidRPr="00451CC2">
        <w:rPr>
          <w:rFonts w:eastAsia="Calibri"/>
          <w:color w:val="EE0000"/>
          <w:lang w:val="en-US"/>
        </w:rPr>
        <w:t xml:space="preserve"> </w:t>
      </w:r>
      <w:r w:rsidRPr="00451CC2">
        <w:rPr>
          <w:rFonts w:eastAsia="Calibri"/>
          <w:lang w:val="en-US"/>
        </w:rPr>
        <w:t>This reform constitutes the "key" to the energy transition of the islands and is structured around three principal pillars: (</w:t>
      </w:r>
      <w:proofErr w:type="spellStart"/>
      <w:r w:rsidRPr="00451CC2">
        <w:rPr>
          <w:rFonts w:eastAsia="Calibri"/>
          <w:lang w:val="en-US"/>
        </w:rPr>
        <w:t>i</w:t>
      </w:r>
      <w:proofErr w:type="spellEnd"/>
      <w:r w:rsidRPr="00451CC2">
        <w:rPr>
          <w:rFonts w:eastAsia="Calibri"/>
          <w:lang w:val="en-US"/>
        </w:rPr>
        <w:t xml:space="preserve">) measures to increase the penetration of renewable energy sources (RES), (ii) the development of new RES installations, and (iii) island interconnections. </w:t>
      </w:r>
    </w:p>
    <w:p w14:paraId="77267FB9" w14:textId="77777777" w:rsidR="00451CC2" w:rsidRPr="00451CC2" w:rsidRDefault="00451CC2" w:rsidP="00D31D31">
      <w:pPr>
        <w:rPr>
          <w:rFonts w:eastAsia="Calibri"/>
          <w:lang w:val="en-US"/>
        </w:rPr>
      </w:pPr>
      <w:r w:rsidRPr="00451CC2">
        <w:rPr>
          <w:rFonts w:eastAsia="Calibri"/>
          <w:lang w:val="en-US"/>
        </w:rPr>
        <w:t>The trilateral cooperation agreement between the European Commission (EC), the European Investment Bank (EIB) and the Hellenic Republic was signed in November 2024. Implementation of the project is expected within 2026. The next step focuses on the preparation and submission of comprehensive investment proposals for the execution of projects and initiatives intended for inclusion in the Islands Decarbonization Fund. At the same time, Greece is preparing state aid notifications which are required for the implementation of certain ETS-DF components. Following the EIB’s assessment of the Fund’s Project Proposal, disbursements are expected to commence within 2026.</w:t>
      </w:r>
    </w:p>
    <w:p w14:paraId="1AFECB07" w14:textId="77777777" w:rsidR="00451CC2" w:rsidRPr="00451CC2" w:rsidRDefault="00451CC2" w:rsidP="00D31D31">
      <w:pPr>
        <w:rPr>
          <w:rFonts w:eastAsia="Calibri"/>
          <w:lang w:val="en-US"/>
        </w:rPr>
      </w:pPr>
      <w:r w:rsidRPr="00451CC2">
        <w:rPr>
          <w:rFonts w:eastAsia="Calibri"/>
          <w:b/>
          <w:bCs/>
          <w:lang w:val="en-US"/>
        </w:rPr>
        <w:t>RRF reform</w:t>
      </w:r>
      <w:r w:rsidRPr="00451CC2">
        <w:rPr>
          <w:rFonts w:eastAsia="Calibri"/>
          <w:lang w:val="en-US"/>
        </w:rPr>
        <w:t xml:space="preserve"> “</w:t>
      </w:r>
      <w:r w:rsidRPr="00451CC2">
        <w:rPr>
          <w:rFonts w:eastAsia="Calibri"/>
          <w:b/>
          <w:bCs/>
          <w:lang w:val="en-US"/>
        </w:rPr>
        <w:t>Licensing framework for renewable hydrogen and sustainable biomethane</w:t>
      </w:r>
      <w:r w:rsidRPr="00451CC2">
        <w:rPr>
          <w:rFonts w:eastAsia="Calibri"/>
          <w:lang w:val="en-US"/>
        </w:rPr>
        <w:t>” establishes the required legislation for the effective development of renewable hydrogen and sustainable biomethane in Greece by removing potential barriers and establishing procedures for the development of the renewable gas sector and markets. The reform establishes a legislative framework aimed at promoting the production and consumption of renewable hydrogen and sustainable biomethane. This cover defining permitting procedures, including spatial planning provisions, defining technical specifications for transmission, storage and injection into the grid, clarifying the roles of the various stakeholders, including the public authorities involved, while ensuring a mechanism to certify that the hydrogen produced will be renewable and the biomethane sustainable, in line with the recent provisions of the RED II Directive delegated acts. The reform has been fully implemented through the adoption of a complete legislative package. Law 5215/2025 (A’ 116) sets the core framework for biomethane and hydrogen markets, including provisions on production and consumption, licensing and permitting, spatial planning, infrastructure requirements, and the roles of competent authorities, while partially transposing Directive (EU) 2024/1788. This framework is complemented by secondary legislation adopted in July 2025, including Ministerial Decision 86000/2136/2025 (B’ 4170) on biomethane plant licensing, RAAEY Decisions E-183/2025 (B’ 4125), E-184/2025 (B’ 4135) and E-185/2025 (B’ 4137) defining technical conditions for grid connection and injection, and RAAEY Decision E-186/2025 (B’ 4124) establishing certification and reporting rules for renewable hydrogen. Together, these measures establish a fully operational regulatory framework covering licensing, infrastructure integration, market organisation, and sustainability certification, marking the full implementation of the reform (July 2025).</w:t>
      </w:r>
    </w:p>
    <w:p w14:paraId="3BBF97E5" w14:textId="77777777" w:rsidR="00451CC2" w:rsidRPr="00451CC2" w:rsidRDefault="00451CC2" w:rsidP="00D31D31">
      <w:pPr>
        <w:rPr>
          <w:rFonts w:eastAsia="Calibri"/>
          <w:lang w:val="en-US"/>
        </w:rPr>
      </w:pPr>
      <w:r w:rsidRPr="00451CC2">
        <w:rPr>
          <w:rFonts w:eastAsia="Calibri"/>
          <w:b/>
          <w:bCs/>
          <w:lang w:val="en-US"/>
        </w:rPr>
        <w:t xml:space="preserve">RRF reform </w:t>
      </w:r>
      <w:r w:rsidRPr="00451CC2">
        <w:rPr>
          <w:rFonts w:eastAsia="Calibri"/>
          <w:b/>
          <w:lang w:val="en-US"/>
        </w:rPr>
        <w:t>“</w:t>
      </w:r>
      <w:r w:rsidRPr="00451CC2">
        <w:rPr>
          <w:rFonts w:eastAsia="Calibri"/>
          <w:b/>
          <w:bCs/>
          <w:lang w:val="en-US"/>
        </w:rPr>
        <w:t>Regulatory and market operation framework for carbon capture, usage, and storage technologies to foster industry decarbonization</w:t>
      </w:r>
      <w:r w:rsidRPr="00451CC2">
        <w:rPr>
          <w:rFonts w:eastAsia="Calibri"/>
          <w:b/>
          <w:lang w:val="en-US"/>
        </w:rPr>
        <w:t>”</w:t>
      </w:r>
      <w:r w:rsidRPr="00451CC2">
        <w:rPr>
          <w:rFonts w:eastAsia="Calibri"/>
          <w:lang w:val="en-US"/>
        </w:rPr>
        <w:t xml:space="preserve"> creates the legal, licensing and </w:t>
      </w:r>
      <w:r w:rsidRPr="00451CC2">
        <w:rPr>
          <w:rFonts w:eastAsia="Calibri"/>
          <w:lang w:val="en-US"/>
        </w:rPr>
        <w:lastRenderedPageBreak/>
        <w:t xml:space="preserve">regulatory framework for carbon capture, use and storage technologies. The framework includes the development and adoption of all necessary legislative and regulatory frameworks for carbon capture, use and storage technologies and incorporates a consultation process with relevant stakeholders. This objective has been achieved through the adoption and entry into force of a complete legislative framework, in line with EU requirements (January 2026). The core of the reform is Law 5261/2025 (A’ 231), which establishes an integrated regime governing the licensing, operation and supervision of CO₂ capture, transport, </w:t>
      </w:r>
      <w:proofErr w:type="spellStart"/>
      <w:r w:rsidRPr="00451CC2">
        <w:rPr>
          <w:rFonts w:eastAsia="Calibri"/>
          <w:lang w:val="en-US"/>
        </w:rPr>
        <w:t>utilisation</w:t>
      </w:r>
      <w:proofErr w:type="spellEnd"/>
      <w:r w:rsidRPr="00451CC2">
        <w:rPr>
          <w:rFonts w:eastAsia="Calibri"/>
          <w:lang w:val="en-US"/>
        </w:rPr>
        <w:t xml:space="preserve"> and storage. The law sets out key provisions on licensing, environmental permitting, CO₂ certification, third-party access, economic regulation (including tariffs and support mechanisms), and the allocation of responsibilities among competent authorities and market actors. The framework is further </w:t>
      </w:r>
      <w:proofErr w:type="spellStart"/>
      <w:r w:rsidRPr="00451CC2">
        <w:rPr>
          <w:rFonts w:eastAsia="Calibri"/>
          <w:lang w:val="en-US"/>
        </w:rPr>
        <w:t>operationalised</w:t>
      </w:r>
      <w:proofErr w:type="spellEnd"/>
      <w:r w:rsidRPr="00451CC2">
        <w:rPr>
          <w:rFonts w:eastAsia="Calibri"/>
          <w:lang w:val="en-US"/>
        </w:rPr>
        <w:t xml:space="preserve"> through key secondary acts issued by RAAEY: Decision E-28/2026 regarding Capacity Allocation Code (B’ 773, B’ 1092), Decision E-29/2026 regarding Tariff Regulation (B’ 774, B’ 1092), and Decision E-30/2026 regarding Market Test Guidelines (B’ 775, B’ 1092), which establish capacity allocation, tariff-setting and third-party access rules. Overall, the combined legislative package establishes a complete and operational regulatory framework for CCS in Greece, aligned with EU requirements and supporting industrial decarbonization.</w:t>
      </w:r>
    </w:p>
    <w:p w14:paraId="4033098D" w14:textId="77777777" w:rsidR="00451CC2" w:rsidRPr="00451CC2" w:rsidRDefault="00451CC2" w:rsidP="00D31D31">
      <w:pPr>
        <w:rPr>
          <w:rFonts w:eastAsia="Calibri"/>
          <w:highlight w:val="white"/>
          <w:lang w:val="en-US"/>
        </w:rPr>
      </w:pPr>
      <w:r w:rsidRPr="00451CC2">
        <w:rPr>
          <w:rFonts w:eastAsia="Calibri"/>
          <w:lang w:val="en-US"/>
        </w:rPr>
        <w:t xml:space="preserve">The reform </w:t>
      </w:r>
      <w:r w:rsidRPr="00451CC2">
        <w:rPr>
          <w:rFonts w:eastAsia="Calibri"/>
          <w:b/>
          <w:bCs/>
          <w:lang w:val="en-US"/>
        </w:rPr>
        <w:t>“Establishment of Thesally Water Management Organisation”</w:t>
      </w:r>
      <w:r w:rsidRPr="00451CC2">
        <w:rPr>
          <w:rFonts w:eastAsia="Calibri"/>
          <w:lang w:val="en-US"/>
        </w:rPr>
        <w:t xml:space="preserve"> aims to fulfill </w:t>
      </w:r>
      <w:r w:rsidRPr="00451CC2">
        <w:rPr>
          <w:rFonts w:eastAsia="Calibri"/>
          <w:highlight w:val="white"/>
          <w:lang w:val="en-US"/>
        </w:rPr>
        <w:t xml:space="preserve">the need for a stronger and more effective governmental mechanism for Thessaly </w:t>
      </w:r>
      <w:r w:rsidRPr="00451CC2">
        <w:rPr>
          <w:rFonts w:eastAsia="Calibri"/>
          <w:lang w:val="en-US"/>
        </w:rPr>
        <w:t>after the devastated results of storm “Daniel”</w:t>
      </w:r>
      <w:r w:rsidRPr="00451CC2">
        <w:rPr>
          <w:rFonts w:eastAsia="Calibri"/>
          <w:highlight w:val="white"/>
          <w:lang w:val="en-US"/>
        </w:rPr>
        <w:t xml:space="preserve">, and addresses the multi-level impacts of climate change in water management holistically. The reform introduces a new governmental model for the water management in Thessaly, through the establishment of a single body to coordinate the implementation of policy, strategic plans and measures and to protect and manage the waters in the water basin of Thessaly. The reform has been initiated through the respective Law entered  into force in 2024. </w:t>
      </w:r>
      <w:r>
        <w:rPr>
          <w:rFonts w:eastAsia="Calibri"/>
          <w:highlight w:val="white"/>
        </w:rPr>
        <w:t>Τ</w:t>
      </w:r>
      <w:proofErr w:type="spellStart"/>
      <w:r w:rsidRPr="00451CC2">
        <w:rPr>
          <w:rFonts w:eastAsia="Calibri"/>
          <w:highlight w:val="white"/>
          <w:lang w:val="en-US"/>
        </w:rPr>
        <w:t>argeted</w:t>
      </w:r>
      <w:proofErr w:type="spellEnd"/>
      <w:r w:rsidRPr="00451CC2">
        <w:rPr>
          <w:rFonts w:eastAsia="Calibri"/>
          <w:highlight w:val="white"/>
          <w:lang w:val="en-US"/>
        </w:rPr>
        <w:t xml:space="preserve"> actions were undertaken to enhance the overall efficiency and operational effectiveness of the organization. Emphasis was placed on strengthening its administrative and technical capacity through staffing initiatives. In parallel, significant progress was achieved in the finalization and formal approval of the Internal Rules of Operation, establishing a clear and structured framework for governance, roles and responsibilities.</w:t>
      </w:r>
    </w:p>
    <w:p w14:paraId="01024C81" w14:textId="77777777" w:rsidR="00451CC2" w:rsidRPr="00451CC2" w:rsidRDefault="00451CC2" w:rsidP="00D31D31">
      <w:pPr>
        <w:rPr>
          <w:rFonts w:eastAsia="Calibri"/>
          <w:highlight w:val="white"/>
          <w:lang w:val="en-US"/>
        </w:rPr>
      </w:pPr>
      <w:r w:rsidRPr="00451CC2">
        <w:rPr>
          <w:rFonts w:eastAsia="Calibri"/>
          <w:lang w:val="en-US"/>
        </w:rPr>
        <w:t xml:space="preserve">The reform </w:t>
      </w:r>
      <w:r w:rsidRPr="00451CC2">
        <w:rPr>
          <w:rFonts w:eastAsia="Calibri"/>
          <w:b/>
          <w:lang w:val="en-US"/>
        </w:rPr>
        <w:t>“</w:t>
      </w:r>
      <w:r w:rsidRPr="00451CC2">
        <w:rPr>
          <w:rFonts w:eastAsia="Calibri"/>
          <w:b/>
          <w:bCs/>
          <w:lang w:val="en-US"/>
        </w:rPr>
        <w:t xml:space="preserve">Modernization of the legal framework of municipal water supply and sewage enterprises” </w:t>
      </w:r>
      <w:r w:rsidRPr="00451CC2">
        <w:rPr>
          <w:rFonts w:eastAsia="Calibri"/>
          <w:lang w:val="en-US"/>
        </w:rPr>
        <w:t xml:space="preserve">involves the revision of the existing institutional framework for the organization and operation of municipal water service providers to rationalize their administrative and financial costs and to ensure a more efficient operational functioning of their services. The scope is the voluntary reorganization of the existing Water Supply and Sewerage Municipal Enterprises and the municipal services for water supply, sewerage and stormwater network management, as well as the updating of the existing legislative framework governing the Municipal Water Supply and Sewerage Enterprises. The reform has been revised, focusing on the </w:t>
      </w:r>
      <w:proofErr w:type="spellStart"/>
      <w:r w:rsidRPr="00451CC2">
        <w:rPr>
          <w:rFonts w:eastAsia="Calibri"/>
          <w:lang w:val="en-US"/>
        </w:rPr>
        <w:t>reorganisation</w:t>
      </w:r>
      <w:proofErr w:type="spellEnd"/>
      <w:r w:rsidRPr="00451CC2">
        <w:rPr>
          <w:rFonts w:eastAsia="Calibri"/>
          <w:lang w:val="en-US"/>
        </w:rPr>
        <w:t xml:space="preserve"> of the two major water service providers, EYDAP and EYATH, which involves the geographic expansion of EYDAP (water service provider of greater area of Athens) in Attica, Boeotia, Phocis, and Euboea, as well as the expansion of EYATH (water service provider of greater area of Thessaloniki) in </w:t>
      </w:r>
      <w:proofErr w:type="spellStart"/>
      <w:r w:rsidRPr="00451CC2">
        <w:rPr>
          <w:rFonts w:eastAsia="Calibri"/>
          <w:lang w:val="en-US"/>
        </w:rPr>
        <w:t>Chalkidiki</w:t>
      </w:r>
      <w:proofErr w:type="spellEnd"/>
      <w:r w:rsidRPr="00451CC2">
        <w:rPr>
          <w:rFonts w:eastAsia="Calibri"/>
          <w:lang w:val="en-US"/>
        </w:rPr>
        <w:t xml:space="preserve"> and Thessaloniki through the absorption of local water providers, generating thus economies of scale. Alongside the geographic expansion of their responsibilities, their competencies are also expected to extend to irrigation water.  </w:t>
      </w:r>
      <w:r w:rsidRPr="00451CC2">
        <w:rPr>
          <w:rFonts w:eastAsia="Calibri"/>
          <w:highlight w:val="white"/>
          <w:lang w:val="en-US"/>
        </w:rPr>
        <w:t>Its completion is expected within June 2026.</w:t>
      </w:r>
    </w:p>
    <w:p w14:paraId="503DA204" w14:textId="77777777" w:rsidR="00451CC2" w:rsidRPr="00451CC2" w:rsidRDefault="00451CC2" w:rsidP="00D31D31">
      <w:pPr>
        <w:rPr>
          <w:rFonts w:eastAsia="Calibri"/>
          <w:highlight w:val="white"/>
          <w:lang w:val="en-US"/>
        </w:rPr>
      </w:pPr>
      <w:r w:rsidRPr="00451CC2">
        <w:rPr>
          <w:rFonts w:eastAsia="Calibri"/>
          <w:lang w:val="en-US"/>
        </w:rPr>
        <w:lastRenderedPageBreak/>
        <w:t xml:space="preserve">The </w:t>
      </w:r>
      <w:r w:rsidRPr="00451CC2">
        <w:rPr>
          <w:rFonts w:eastAsia="Calibri"/>
          <w:b/>
          <w:bCs/>
          <w:lang w:val="en-US"/>
        </w:rPr>
        <w:t>RRF investment</w:t>
      </w:r>
      <w:r w:rsidRPr="00451CC2">
        <w:rPr>
          <w:rFonts w:eastAsia="Calibri"/>
          <w:lang w:val="en-US"/>
        </w:rPr>
        <w:t xml:space="preserve"> </w:t>
      </w:r>
      <w:r w:rsidRPr="00451CC2">
        <w:rPr>
          <w:rFonts w:eastAsia="Calibri"/>
          <w:b/>
          <w:lang w:val="en-US"/>
        </w:rPr>
        <w:t>“</w:t>
      </w:r>
      <w:r w:rsidRPr="00451CC2">
        <w:rPr>
          <w:rFonts w:eastAsia="Calibri"/>
          <w:b/>
          <w:bCs/>
          <w:lang w:val="en-US"/>
        </w:rPr>
        <w:t>Energy renovation on residential buildings”</w:t>
      </w:r>
      <w:r w:rsidRPr="00451CC2">
        <w:rPr>
          <w:rFonts w:eastAsia="Calibri"/>
          <w:lang w:val="en-US"/>
        </w:rPr>
        <w:t xml:space="preserve"> consists of four programs: “</w:t>
      </w:r>
      <w:proofErr w:type="spellStart"/>
      <w:r w:rsidRPr="00451CC2">
        <w:rPr>
          <w:rFonts w:eastAsia="Calibri"/>
          <w:lang w:val="en-US"/>
        </w:rPr>
        <w:t>Exoikonomo</w:t>
      </w:r>
      <w:proofErr w:type="spellEnd"/>
      <w:r w:rsidRPr="00451CC2">
        <w:rPr>
          <w:rFonts w:eastAsia="Calibri"/>
          <w:lang w:val="en-US"/>
        </w:rPr>
        <w:t xml:space="preserve"> 2020”, “</w:t>
      </w:r>
      <w:proofErr w:type="spellStart"/>
      <w:r w:rsidRPr="00451CC2">
        <w:rPr>
          <w:rFonts w:eastAsia="Calibri"/>
          <w:lang w:val="en-US"/>
        </w:rPr>
        <w:t>Exoikonomo</w:t>
      </w:r>
      <w:proofErr w:type="spellEnd"/>
      <w:r w:rsidRPr="00451CC2">
        <w:rPr>
          <w:rFonts w:eastAsia="Calibri"/>
          <w:lang w:val="en-US"/>
        </w:rPr>
        <w:t xml:space="preserve"> 2021”, “</w:t>
      </w:r>
      <w:proofErr w:type="spellStart"/>
      <w:r w:rsidRPr="00451CC2">
        <w:rPr>
          <w:rFonts w:eastAsia="Calibri"/>
          <w:lang w:val="en-US"/>
        </w:rPr>
        <w:t>Exoikonomo</w:t>
      </w:r>
      <w:proofErr w:type="spellEnd"/>
      <w:r w:rsidRPr="00451CC2">
        <w:rPr>
          <w:rFonts w:eastAsia="Calibri"/>
          <w:lang w:val="en-US"/>
        </w:rPr>
        <w:t xml:space="preserve"> 2023” and “</w:t>
      </w:r>
      <w:proofErr w:type="spellStart"/>
      <w:r w:rsidRPr="00451CC2">
        <w:rPr>
          <w:rFonts w:eastAsia="Calibri"/>
          <w:lang w:val="en-US"/>
        </w:rPr>
        <w:t>Exoikonomo</w:t>
      </w:r>
      <w:proofErr w:type="spellEnd"/>
      <w:r w:rsidRPr="00451CC2">
        <w:rPr>
          <w:rFonts w:eastAsia="Calibri"/>
          <w:lang w:val="en-US"/>
        </w:rPr>
        <w:t xml:space="preserve"> – </w:t>
      </w:r>
      <w:proofErr w:type="spellStart"/>
      <w:r w:rsidRPr="00451CC2">
        <w:rPr>
          <w:rFonts w:eastAsia="Calibri"/>
          <w:lang w:val="en-US"/>
        </w:rPr>
        <w:t>Anakainizw</w:t>
      </w:r>
      <w:proofErr w:type="spellEnd"/>
      <w:r w:rsidRPr="00451CC2">
        <w:rPr>
          <w:rFonts w:eastAsia="Calibri"/>
          <w:lang w:val="en-US"/>
        </w:rPr>
        <w:t xml:space="preserve"> </w:t>
      </w:r>
      <w:proofErr w:type="spellStart"/>
      <w:r w:rsidRPr="00451CC2">
        <w:rPr>
          <w:rFonts w:eastAsia="Calibri"/>
          <w:lang w:val="en-US"/>
        </w:rPr>
        <w:t>Newn</w:t>
      </w:r>
      <w:proofErr w:type="spellEnd"/>
      <w:r w:rsidRPr="00451CC2">
        <w:rPr>
          <w:rFonts w:eastAsia="Calibri"/>
          <w:lang w:val="en-US"/>
        </w:rPr>
        <w:t>”. A total number of 101</w:t>
      </w:r>
      <w:r w:rsidR="00A71765">
        <w:rPr>
          <w:rFonts w:eastAsia="Calibri"/>
          <w:lang w:val="en-US"/>
        </w:rPr>
        <w:t>,</w:t>
      </w:r>
      <w:r w:rsidRPr="00451CC2">
        <w:rPr>
          <w:rFonts w:eastAsia="Calibri"/>
          <w:lang w:val="en-US"/>
        </w:rPr>
        <w:t>820 applications have been accepted an addition of 13</w:t>
      </w:r>
      <w:r w:rsidR="00A71765">
        <w:rPr>
          <w:rFonts w:eastAsia="Calibri"/>
          <w:lang w:val="en-US"/>
        </w:rPr>
        <w:t>,</w:t>
      </w:r>
      <w:r w:rsidRPr="00451CC2">
        <w:rPr>
          <w:rFonts w:eastAsia="Calibri"/>
          <w:lang w:val="en-US"/>
        </w:rPr>
        <w:t>108 applications since April 2025 (“</w:t>
      </w:r>
      <w:proofErr w:type="spellStart"/>
      <w:r w:rsidRPr="00451CC2">
        <w:rPr>
          <w:rFonts w:eastAsia="Calibri"/>
          <w:lang w:val="en-US"/>
        </w:rPr>
        <w:t>Exoikonomo</w:t>
      </w:r>
      <w:proofErr w:type="spellEnd"/>
      <w:r w:rsidRPr="00451CC2">
        <w:rPr>
          <w:rFonts w:eastAsia="Calibri"/>
          <w:lang w:val="en-US"/>
        </w:rPr>
        <w:t xml:space="preserve"> 2021”: 69</w:t>
      </w:r>
      <w:r w:rsidR="008003BB">
        <w:rPr>
          <w:rFonts w:eastAsia="Calibri"/>
          <w:lang w:val="en-US"/>
        </w:rPr>
        <w:t>,</w:t>
      </w:r>
      <w:r w:rsidRPr="00451CC2">
        <w:rPr>
          <w:rFonts w:eastAsia="Calibri"/>
          <w:lang w:val="en-US"/>
        </w:rPr>
        <w:t>409 (addition of 261 applications, “</w:t>
      </w:r>
      <w:proofErr w:type="spellStart"/>
      <w:r w:rsidRPr="00451CC2">
        <w:rPr>
          <w:rFonts w:eastAsia="Calibri"/>
          <w:lang w:val="en-US"/>
        </w:rPr>
        <w:t>Exoikonomo</w:t>
      </w:r>
      <w:proofErr w:type="spellEnd"/>
      <w:r w:rsidRPr="00451CC2">
        <w:rPr>
          <w:rFonts w:eastAsia="Calibri"/>
          <w:lang w:val="en-US"/>
        </w:rPr>
        <w:t xml:space="preserve"> 2023”: 27</w:t>
      </w:r>
      <w:r w:rsidR="008003BB">
        <w:rPr>
          <w:rFonts w:eastAsia="Calibri"/>
          <w:lang w:val="en-US"/>
        </w:rPr>
        <w:t>,</w:t>
      </w:r>
      <w:r w:rsidRPr="00451CC2">
        <w:rPr>
          <w:rFonts w:eastAsia="Calibri"/>
          <w:lang w:val="en-US"/>
        </w:rPr>
        <w:t>562 (addition of 7</w:t>
      </w:r>
      <w:r w:rsidR="00A71765">
        <w:rPr>
          <w:rFonts w:eastAsia="Calibri"/>
          <w:lang w:val="en-US"/>
        </w:rPr>
        <w:t>,</w:t>
      </w:r>
      <w:r w:rsidRPr="00451CC2">
        <w:rPr>
          <w:rFonts w:eastAsia="Calibri"/>
          <w:lang w:val="en-US"/>
        </w:rPr>
        <w:t>998 applications, (“</w:t>
      </w:r>
      <w:proofErr w:type="spellStart"/>
      <w:r w:rsidRPr="00451CC2">
        <w:rPr>
          <w:rFonts w:eastAsia="Calibri"/>
          <w:lang w:val="en-US"/>
        </w:rPr>
        <w:t>Exoikonomo</w:t>
      </w:r>
      <w:proofErr w:type="spellEnd"/>
      <w:r w:rsidRPr="00451CC2">
        <w:rPr>
          <w:rFonts w:eastAsia="Calibri"/>
          <w:lang w:val="en-US"/>
        </w:rPr>
        <w:t xml:space="preserve"> </w:t>
      </w:r>
      <w:proofErr w:type="spellStart"/>
      <w:r w:rsidRPr="00451CC2">
        <w:rPr>
          <w:rFonts w:eastAsia="Calibri"/>
          <w:lang w:val="en-US"/>
        </w:rPr>
        <w:t>Anakainizw</w:t>
      </w:r>
      <w:proofErr w:type="spellEnd"/>
      <w:r w:rsidRPr="00451CC2">
        <w:rPr>
          <w:rFonts w:eastAsia="Calibri"/>
          <w:lang w:val="en-US"/>
        </w:rPr>
        <w:t xml:space="preserve"> </w:t>
      </w:r>
      <w:proofErr w:type="spellStart"/>
      <w:r w:rsidRPr="00451CC2">
        <w:rPr>
          <w:rFonts w:eastAsia="Calibri"/>
          <w:lang w:val="en-US"/>
        </w:rPr>
        <w:t>Newn</w:t>
      </w:r>
      <w:proofErr w:type="spellEnd"/>
      <w:r w:rsidRPr="00451CC2">
        <w:rPr>
          <w:rFonts w:eastAsia="Calibri"/>
          <w:lang w:val="en-US"/>
        </w:rPr>
        <w:t>” 4</w:t>
      </w:r>
      <w:r w:rsidR="008003BB">
        <w:rPr>
          <w:rFonts w:eastAsia="Calibri"/>
          <w:lang w:val="en-US"/>
        </w:rPr>
        <w:t>,</w:t>
      </w:r>
      <w:r w:rsidRPr="00451CC2">
        <w:rPr>
          <w:rFonts w:eastAsia="Calibri"/>
          <w:lang w:val="en-US"/>
        </w:rPr>
        <w:t>849 applications, all accepted between April 2025 till today). The acceptance process has been completed for “</w:t>
      </w:r>
      <w:proofErr w:type="spellStart"/>
      <w:r w:rsidRPr="00451CC2">
        <w:rPr>
          <w:rFonts w:eastAsia="Calibri"/>
          <w:lang w:val="en-US"/>
        </w:rPr>
        <w:t>Exoikonomo</w:t>
      </w:r>
      <w:proofErr w:type="spellEnd"/>
      <w:r w:rsidRPr="00451CC2">
        <w:rPr>
          <w:rFonts w:eastAsia="Calibri"/>
          <w:lang w:val="en-US"/>
        </w:rPr>
        <w:t xml:space="preserve"> 2021 &amp; 2023”. In total, 79</w:t>
      </w:r>
      <w:r w:rsidR="00A71765">
        <w:rPr>
          <w:rFonts w:eastAsia="Calibri"/>
          <w:lang w:val="en-US"/>
        </w:rPr>
        <w:t>,</w:t>
      </w:r>
      <w:r w:rsidRPr="00451CC2">
        <w:rPr>
          <w:rFonts w:eastAsia="Calibri"/>
          <w:lang w:val="en-US"/>
        </w:rPr>
        <w:t>204 renovations (addition of 31</w:t>
      </w:r>
      <w:r w:rsidR="00610510">
        <w:rPr>
          <w:rFonts w:eastAsia="Calibri"/>
          <w:lang w:val="en-US"/>
        </w:rPr>
        <w:t>,</w:t>
      </w:r>
      <w:r w:rsidRPr="00451CC2">
        <w:rPr>
          <w:rFonts w:eastAsia="Calibri"/>
          <w:lang w:val="en-US"/>
        </w:rPr>
        <w:t>098 applications) have already been completed (9</w:t>
      </w:r>
      <w:r w:rsidR="00A71765">
        <w:rPr>
          <w:rFonts w:eastAsia="Calibri"/>
          <w:lang w:val="en-US"/>
        </w:rPr>
        <w:t>,</w:t>
      </w:r>
      <w:r w:rsidRPr="00451CC2">
        <w:rPr>
          <w:rFonts w:eastAsia="Calibri"/>
          <w:lang w:val="en-US"/>
        </w:rPr>
        <w:t>539 through “</w:t>
      </w:r>
      <w:proofErr w:type="spellStart"/>
      <w:r w:rsidRPr="00451CC2">
        <w:rPr>
          <w:rFonts w:eastAsia="Calibri"/>
          <w:lang w:val="en-US"/>
        </w:rPr>
        <w:t>Exoikonomo</w:t>
      </w:r>
      <w:proofErr w:type="spellEnd"/>
      <w:r w:rsidRPr="00451CC2">
        <w:rPr>
          <w:rFonts w:eastAsia="Calibri"/>
          <w:lang w:val="en-US"/>
        </w:rPr>
        <w:t xml:space="preserve"> 2020”, 56</w:t>
      </w:r>
      <w:r w:rsidR="00A71765">
        <w:rPr>
          <w:rFonts w:eastAsia="Calibri"/>
          <w:lang w:val="en-US"/>
        </w:rPr>
        <w:t>,</w:t>
      </w:r>
      <w:r w:rsidRPr="00451CC2">
        <w:rPr>
          <w:rFonts w:eastAsia="Calibri"/>
          <w:lang w:val="en-US"/>
        </w:rPr>
        <w:t>545 through “</w:t>
      </w:r>
      <w:proofErr w:type="spellStart"/>
      <w:r w:rsidRPr="00451CC2">
        <w:rPr>
          <w:rFonts w:eastAsia="Calibri"/>
          <w:lang w:val="en-US"/>
        </w:rPr>
        <w:t>Exoikonomo</w:t>
      </w:r>
      <w:proofErr w:type="spellEnd"/>
      <w:r w:rsidRPr="00451CC2">
        <w:rPr>
          <w:rFonts w:eastAsia="Calibri"/>
          <w:lang w:val="en-US"/>
        </w:rPr>
        <w:t xml:space="preserve"> 2021” addition of 17</w:t>
      </w:r>
      <w:r w:rsidR="00A71765">
        <w:rPr>
          <w:rFonts w:eastAsia="Calibri"/>
          <w:lang w:val="en-US"/>
        </w:rPr>
        <w:t>,</w:t>
      </w:r>
      <w:r w:rsidRPr="00451CC2">
        <w:rPr>
          <w:rFonts w:eastAsia="Calibri"/>
          <w:lang w:val="en-US"/>
        </w:rPr>
        <w:t>972 applications, 12</w:t>
      </w:r>
      <w:r w:rsidR="00610510">
        <w:rPr>
          <w:rFonts w:eastAsia="Calibri"/>
          <w:lang w:val="en-US"/>
        </w:rPr>
        <w:t>,</w:t>
      </w:r>
      <w:r w:rsidRPr="00451CC2">
        <w:rPr>
          <w:rFonts w:eastAsia="Calibri"/>
          <w:lang w:val="en-US"/>
        </w:rPr>
        <w:t>624 though “</w:t>
      </w:r>
      <w:proofErr w:type="spellStart"/>
      <w:r w:rsidRPr="00451CC2">
        <w:rPr>
          <w:rFonts w:eastAsia="Calibri"/>
          <w:lang w:val="en-US"/>
        </w:rPr>
        <w:t>Exoikonomo</w:t>
      </w:r>
      <w:proofErr w:type="spellEnd"/>
      <w:r w:rsidRPr="00451CC2">
        <w:rPr>
          <w:rFonts w:eastAsia="Calibri"/>
          <w:lang w:val="en-US"/>
        </w:rPr>
        <w:t xml:space="preserve"> 2023” and 496 through “</w:t>
      </w:r>
      <w:proofErr w:type="spellStart"/>
      <w:r w:rsidRPr="00451CC2">
        <w:rPr>
          <w:rFonts w:eastAsia="Calibri"/>
          <w:lang w:val="en-US"/>
        </w:rPr>
        <w:t>Exoikonomo</w:t>
      </w:r>
      <w:proofErr w:type="spellEnd"/>
      <w:r w:rsidRPr="00451CC2">
        <w:rPr>
          <w:rFonts w:eastAsia="Calibri"/>
          <w:lang w:val="en-US"/>
        </w:rPr>
        <w:t xml:space="preserve"> </w:t>
      </w:r>
      <w:proofErr w:type="spellStart"/>
      <w:r w:rsidRPr="00451CC2">
        <w:rPr>
          <w:rFonts w:eastAsia="Calibri"/>
          <w:lang w:val="en-US"/>
        </w:rPr>
        <w:t>Anakainizw</w:t>
      </w:r>
      <w:proofErr w:type="spellEnd"/>
      <w:r w:rsidRPr="00451CC2">
        <w:rPr>
          <w:rFonts w:eastAsia="Calibri"/>
          <w:lang w:val="en-US"/>
        </w:rPr>
        <w:t xml:space="preserve"> </w:t>
      </w:r>
      <w:proofErr w:type="spellStart"/>
      <w:r w:rsidRPr="00451CC2">
        <w:rPr>
          <w:rFonts w:eastAsia="Calibri"/>
          <w:lang w:val="en-US"/>
        </w:rPr>
        <w:t>Newn</w:t>
      </w:r>
      <w:proofErr w:type="spellEnd"/>
      <w:r w:rsidRPr="00451CC2">
        <w:rPr>
          <w:rFonts w:eastAsia="Calibri"/>
          <w:lang w:val="en-US"/>
        </w:rPr>
        <w:t xml:space="preserve">”. </w:t>
      </w:r>
      <w:r w:rsidRPr="00451CC2">
        <w:rPr>
          <w:rFonts w:eastAsia="Calibri"/>
          <w:highlight w:val="white"/>
          <w:lang w:val="en-US"/>
        </w:rPr>
        <w:t>Its completion is expected within June 2026.</w:t>
      </w:r>
    </w:p>
    <w:p w14:paraId="677D5349" w14:textId="77777777" w:rsidR="00451CC2" w:rsidRPr="00451CC2" w:rsidRDefault="00451CC2" w:rsidP="00D31D31">
      <w:pPr>
        <w:rPr>
          <w:rFonts w:eastAsia="Calibri"/>
          <w:lang w:val="en-US"/>
        </w:rPr>
      </w:pPr>
      <w:r w:rsidRPr="00451CC2">
        <w:rPr>
          <w:rFonts w:eastAsia="Calibri"/>
          <w:lang w:val="en-US"/>
        </w:rPr>
        <w:t xml:space="preserve">The </w:t>
      </w:r>
      <w:r w:rsidRPr="00451CC2">
        <w:rPr>
          <w:rFonts w:eastAsia="Calibri"/>
          <w:b/>
          <w:bCs/>
          <w:lang w:val="en-US"/>
        </w:rPr>
        <w:t>RRF investment</w:t>
      </w:r>
      <w:r w:rsidRPr="00451CC2">
        <w:rPr>
          <w:rFonts w:eastAsia="Calibri"/>
          <w:lang w:val="en-US"/>
        </w:rPr>
        <w:t xml:space="preserve"> for the </w:t>
      </w:r>
      <w:r w:rsidRPr="00451CC2">
        <w:rPr>
          <w:rFonts w:eastAsia="Calibri"/>
          <w:b/>
          <w:bCs/>
          <w:lang w:val="en-US"/>
        </w:rPr>
        <w:t>“Installation of energy storage for additional RES penetration”</w:t>
      </w:r>
      <w:r w:rsidRPr="00451CC2">
        <w:rPr>
          <w:rFonts w:eastAsia="Calibri"/>
          <w:lang w:val="en-US"/>
        </w:rPr>
        <w:t xml:space="preserve"> (budget of €85 million) is designed to scale-up the second sub-programme of the investment “Support of the installation of storage systems to enhance RES penetration (ID 16926)". This measurement has been removed from RRF and it is incorporated into Investment 16926 in order to ensure greater coherence and alignment of objectives. As a result, its implementation is no longer monitored on a standalone basis but within the framework of 16926.   </w:t>
      </w:r>
    </w:p>
    <w:p w14:paraId="4DF10909" w14:textId="77777777" w:rsidR="00451CC2" w:rsidRPr="00451CC2" w:rsidRDefault="00451CC2" w:rsidP="00D31D31">
      <w:pPr>
        <w:rPr>
          <w:rFonts w:eastAsia="Calibri"/>
          <w:highlight w:val="white"/>
          <w:lang w:val="en-US"/>
        </w:rPr>
      </w:pPr>
      <w:r w:rsidRPr="00451CC2">
        <w:rPr>
          <w:rFonts w:eastAsia="Calibri"/>
          <w:lang w:val="en-US"/>
        </w:rPr>
        <w:t>The</w:t>
      </w:r>
      <w:r w:rsidRPr="00451CC2">
        <w:rPr>
          <w:rFonts w:eastAsia="Calibri"/>
          <w:b/>
          <w:bCs/>
          <w:lang w:val="en-US"/>
        </w:rPr>
        <w:t xml:space="preserve"> RRF investmen</w:t>
      </w:r>
      <w:r w:rsidRPr="00451CC2">
        <w:rPr>
          <w:rFonts w:eastAsia="Calibri"/>
          <w:lang w:val="en-US"/>
        </w:rPr>
        <w:t xml:space="preserve">t for </w:t>
      </w:r>
      <w:r w:rsidRPr="00451CC2">
        <w:rPr>
          <w:rFonts w:eastAsia="Calibri"/>
          <w:b/>
          <w:bCs/>
          <w:lang w:val="en-US"/>
        </w:rPr>
        <w:t>“Energy efficiency and promotion of RES for self-consumption”,</w:t>
      </w:r>
      <w:r w:rsidRPr="00451CC2">
        <w:rPr>
          <w:rFonts w:eastAsia="Calibri"/>
          <w:lang w:val="en-US"/>
        </w:rPr>
        <w:t xml:space="preserve"> has a total budget of €456.8 million and the objective is to improve energy efficiency and the deployment of renewable energy in the residential and non-residential buildings, agricultural sector and municipal water and sewerage utilities (DEYA), resulting in primary energy savings, reduction of greenhouse gas emissions and new renewable energy being connected to the grid. </w:t>
      </w:r>
      <w:r>
        <w:rPr>
          <w:rFonts w:eastAsia="Calibri"/>
        </w:rPr>
        <w:t>Τ</w:t>
      </w:r>
      <w:r w:rsidRPr="00451CC2">
        <w:rPr>
          <w:rFonts w:eastAsia="Calibri"/>
          <w:lang w:val="en-US"/>
        </w:rPr>
        <w:t>he final list of applications for the "Photovoltaic systems for auto-consumption in residential buildings and the agricultural sector" Program includes 21,290 applications, of which 18,527 has been approved. Following an update from HEDNO in April 2026, the number of installed photovoltaic systems has reached 13,681, including 2,384 for energy-poor households and 713 for farmers. Under the programmes “</w:t>
      </w:r>
      <w:proofErr w:type="spellStart"/>
      <w:r w:rsidRPr="00451CC2">
        <w:rPr>
          <w:rFonts w:eastAsia="Calibri"/>
          <w:lang w:val="en-US"/>
        </w:rPr>
        <w:t>Exoikonomo</w:t>
      </w:r>
      <w:proofErr w:type="spellEnd"/>
      <w:r w:rsidRPr="00451CC2">
        <w:rPr>
          <w:rFonts w:eastAsia="Calibri"/>
          <w:lang w:val="en-US"/>
        </w:rPr>
        <w:t xml:space="preserve"> 2025” and “Changing Heating System and Water Heater”, implementation is underway and Approval Decisions have been issued. “</w:t>
      </w:r>
      <w:proofErr w:type="spellStart"/>
      <w:r w:rsidRPr="00451CC2">
        <w:rPr>
          <w:rFonts w:eastAsia="Calibri"/>
          <w:lang w:val="en-US"/>
        </w:rPr>
        <w:t>Exoikonomo</w:t>
      </w:r>
      <w:proofErr w:type="spellEnd"/>
      <w:r w:rsidRPr="00451CC2">
        <w:rPr>
          <w:rFonts w:eastAsia="Calibri"/>
          <w:lang w:val="en-US"/>
        </w:rPr>
        <w:t xml:space="preserve"> 2025” includes four Approval Decisions covering 37,829 beneficiaries, with a committed budget of €829.4 million, and has been merged with Measure 16872. The “Changing Heating System and Water Heater” programme includes two Approval Decisions covering ~130,000 beneficiaries (budget ~€358 million), with a third expected soon. The </w:t>
      </w:r>
      <w:proofErr w:type="spellStart"/>
      <w:r w:rsidRPr="00451CC2">
        <w:rPr>
          <w:rFonts w:eastAsia="Calibri"/>
          <w:lang w:val="en-US"/>
        </w:rPr>
        <w:t>programme’s</w:t>
      </w:r>
      <w:proofErr w:type="spellEnd"/>
      <w:r w:rsidRPr="00451CC2">
        <w:rPr>
          <w:rFonts w:eastAsia="Calibri"/>
          <w:lang w:val="en-US"/>
        </w:rPr>
        <w:t xml:space="preserve"> target has been further increased by 67,955 beneficiaries (budget €41.8 million) from the other programme. Milestone T368 for the photovoltaic programme has been achieved, while an additional milestone for ~2,000 </w:t>
      </w:r>
      <w:proofErr w:type="spellStart"/>
      <w:r w:rsidRPr="00451CC2">
        <w:rPr>
          <w:rFonts w:eastAsia="Calibri"/>
          <w:lang w:val="en-US"/>
        </w:rPr>
        <w:t>pv</w:t>
      </w:r>
      <w:proofErr w:type="spellEnd"/>
      <w:r w:rsidRPr="00451CC2">
        <w:rPr>
          <w:rFonts w:eastAsia="Calibri"/>
          <w:lang w:val="en-US"/>
        </w:rPr>
        <w:t xml:space="preserve"> systems is under consideration. Applications for the programmes “Athena”, “Phoebus”, DEYA and “Mountain Tourist Accommodations” have been evaluated</w:t>
      </w:r>
      <w:r w:rsidRPr="00451CC2">
        <w:rPr>
          <w:rFonts w:eastAsia="Calibri"/>
          <w:b/>
          <w:bCs/>
          <w:lang w:val="en-US"/>
        </w:rPr>
        <w:t xml:space="preserve">. </w:t>
      </w:r>
      <w:r w:rsidRPr="00451CC2">
        <w:rPr>
          <w:rFonts w:eastAsia="Calibri"/>
          <w:lang w:val="en-US"/>
        </w:rPr>
        <w:t xml:space="preserve">The programme “Energy Storage Systems in Enterprises” is currently in progress, with the Approval Decision expected within May. Although the investment is under revision regarding a number of the programmes, </w:t>
      </w:r>
      <w:r w:rsidRPr="00451CC2">
        <w:rPr>
          <w:rFonts w:eastAsia="Calibri"/>
          <w:highlight w:val="white"/>
          <w:lang w:val="en-US"/>
        </w:rPr>
        <w:t>its completion is expected within June 2026.</w:t>
      </w:r>
    </w:p>
    <w:p w14:paraId="32F47F3A" w14:textId="77777777" w:rsidR="00451CC2" w:rsidRPr="00451CC2" w:rsidRDefault="00451CC2" w:rsidP="00D31D31">
      <w:pPr>
        <w:rPr>
          <w:rFonts w:eastAsia="Calibri"/>
          <w:lang w:val="en-US"/>
        </w:rPr>
      </w:pPr>
      <w:r w:rsidRPr="00451CC2">
        <w:rPr>
          <w:rFonts w:eastAsia="Calibri"/>
          <w:lang w:val="en-US"/>
        </w:rPr>
        <w:t xml:space="preserve">The objective of the </w:t>
      </w:r>
      <w:r w:rsidRPr="00451CC2">
        <w:rPr>
          <w:rFonts w:eastAsia="Calibri"/>
          <w:b/>
          <w:bCs/>
          <w:lang w:val="en-US"/>
        </w:rPr>
        <w:t>RRF investment “Promotion of CCS technologies to foster industry decarbonization”</w:t>
      </w:r>
      <w:r w:rsidRPr="00451CC2">
        <w:rPr>
          <w:rFonts w:eastAsia="Calibri"/>
          <w:lang w:val="en-US"/>
        </w:rPr>
        <w:t xml:space="preserve"> with a €75 million budget, is to boost the installation of carbon capture, usage, and storage technologies across the entire CCS value chain. This project has been removed from the Recovery and Resilience Facility (RRF) and is currently undergoing a redesign phase. Efforts are being made to reassess its scope, objectives, and implementation strategy, </w:t>
      </w:r>
      <w:r w:rsidRPr="00451CC2">
        <w:rPr>
          <w:rFonts w:eastAsia="Calibri"/>
          <w:lang w:val="en-US"/>
        </w:rPr>
        <w:lastRenderedPageBreak/>
        <w:t>while actively seeking alternative sources of funding to support its future development and completion.</w:t>
      </w:r>
    </w:p>
    <w:p w14:paraId="68C1AF8E" w14:textId="77777777" w:rsidR="00451CC2" w:rsidRPr="00451CC2" w:rsidRDefault="00451CC2" w:rsidP="00D31D31">
      <w:pPr>
        <w:rPr>
          <w:rFonts w:eastAsia="Calibri"/>
          <w:highlight w:val="white"/>
          <w:lang w:val="en-US"/>
        </w:rPr>
      </w:pPr>
      <w:r>
        <w:rPr>
          <w:rFonts w:eastAsia="Calibri"/>
        </w:rPr>
        <w:t>Τ</w:t>
      </w:r>
      <w:r w:rsidRPr="00451CC2">
        <w:rPr>
          <w:rFonts w:eastAsia="Calibri"/>
          <w:lang w:val="en-US"/>
        </w:rPr>
        <w:t xml:space="preserve">he </w:t>
      </w:r>
      <w:r w:rsidRPr="00451CC2">
        <w:rPr>
          <w:rFonts w:eastAsia="Calibri"/>
          <w:b/>
          <w:bCs/>
          <w:lang w:val="en-US"/>
        </w:rPr>
        <w:t>RRF investment</w:t>
      </w:r>
      <w:r w:rsidRPr="00451CC2">
        <w:rPr>
          <w:rFonts w:eastAsia="Calibri"/>
          <w:lang w:val="en-US"/>
        </w:rPr>
        <w:t xml:space="preserve"> “</w:t>
      </w:r>
      <w:r w:rsidRPr="00451CC2">
        <w:rPr>
          <w:rFonts w:eastAsia="Calibri"/>
          <w:b/>
          <w:bCs/>
          <w:lang w:val="en-US"/>
        </w:rPr>
        <w:t>Pilot projects for Biomethane and Renewable Hydrogen Production”</w:t>
      </w:r>
      <w:r w:rsidRPr="00451CC2">
        <w:rPr>
          <w:rFonts w:eastAsia="Calibri"/>
          <w:lang w:val="en-US"/>
        </w:rPr>
        <w:t xml:space="preserve"> has been redesigned and it consists of a Renewable Hydrogen Production project with a total budget of €111.77 million, aims to promote renewable hydrogen production in Greece by providing financial support to companies. The project involves the installation of </w:t>
      </w:r>
      <w:proofErr w:type="spellStart"/>
      <w:r w:rsidRPr="00451CC2">
        <w:rPr>
          <w:rFonts w:eastAsia="Calibri"/>
          <w:lang w:val="en-US"/>
        </w:rPr>
        <w:t>electrolysers</w:t>
      </w:r>
      <w:proofErr w:type="spellEnd"/>
      <w:r w:rsidRPr="00451CC2">
        <w:rPr>
          <w:rFonts w:eastAsia="Calibri"/>
          <w:lang w:val="en-US"/>
        </w:rPr>
        <w:t xml:space="preserve">, related supporting infrastructure, and a hydrogen network within the refinery. Specifically, the investment covers the installation of equipment for the production of renewable hydrogen through electrolysis, with a minimum capacity of 45 MW. This includes </w:t>
      </w:r>
      <w:proofErr w:type="spellStart"/>
      <w:r w:rsidRPr="00451CC2">
        <w:rPr>
          <w:rFonts w:eastAsia="Calibri"/>
          <w:lang w:val="en-US"/>
        </w:rPr>
        <w:t>electrolysers</w:t>
      </w:r>
      <w:proofErr w:type="spellEnd"/>
      <w:r w:rsidRPr="00451CC2">
        <w:rPr>
          <w:rFonts w:eastAsia="Calibri"/>
          <w:lang w:val="en-US"/>
        </w:rPr>
        <w:t xml:space="preserve">, ancillary equipment, and an electrical substation, as well as a hydrogen network for the compression, conditioning, metering, purification, transmission, and distribution of hydrogen produced by the </w:t>
      </w:r>
      <w:proofErr w:type="spellStart"/>
      <w:r w:rsidRPr="00451CC2">
        <w:rPr>
          <w:rFonts w:eastAsia="Calibri"/>
          <w:lang w:val="en-US"/>
        </w:rPr>
        <w:t>electrolysers</w:t>
      </w:r>
      <w:proofErr w:type="spellEnd"/>
      <w:r w:rsidRPr="00451CC2">
        <w:rPr>
          <w:rFonts w:eastAsia="Calibri"/>
          <w:lang w:val="en-US"/>
        </w:rPr>
        <w:t xml:space="preserve">, together with the injection facility. The Ministry has already successfully executed the advance payment to the beneficiary, while the first interim instalment is expected to be disbursed and received within April 2026. </w:t>
      </w:r>
      <w:r w:rsidRPr="00451CC2">
        <w:rPr>
          <w:rFonts w:eastAsia="Calibri"/>
          <w:highlight w:val="white"/>
          <w:lang w:val="en-US"/>
        </w:rPr>
        <w:t>Its completion is expected within June 2026.</w:t>
      </w:r>
    </w:p>
    <w:p w14:paraId="6978D278" w14:textId="77777777" w:rsidR="00451CC2" w:rsidRPr="00451CC2" w:rsidRDefault="00451CC2" w:rsidP="00D31D31">
      <w:pPr>
        <w:rPr>
          <w:rFonts w:eastAsia="Calibri"/>
          <w:highlight w:val="white"/>
          <w:lang w:val="en-US"/>
        </w:rPr>
      </w:pPr>
      <w:r w:rsidRPr="00451CC2">
        <w:rPr>
          <w:rFonts w:eastAsia="Calibri"/>
          <w:lang w:val="en-US"/>
        </w:rPr>
        <w:t xml:space="preserve">The </w:t>
      </w:r>
      <w:r w:rsidRPr="00451CC2">
        <w:rPr>
          <w:rFonts w:eastAsia="Calibri"/>
          <w:b/>
          <w:bCs/>
          <w:lang w:val="en-US"/>
        </w:rPr>
        <w:t>RRF investment</w:t>
      </w:r>
      <w:r w:rsidRPr="00451CC2">
        <w:rPr>
          <w:rFonts w:eastAsia="Calibri"/>
          <w:lang w:val="en-US"/>
        </w:rPr>
        <w:t xml:space="preserve"> </w:t>
      </w:r>
      <w:r w:rsidRPr="00451CC2">
        <w:rPr>
          <w:rFonts w:eastAsia="Calibri"/>
          <w:b/>
          <w:bCs/>
          <w:lang w:val="en-US"/>
        </w:rPr>
        <w:t>“Interventions for the electricity interconnection of islands and the upgrading of the electricity network</w:t>
      </w:r>
      <w:r w:rsidRPr="00451CC2">
        <w:rPr>
          <w:rFonts w:eastAsia="Calibri"/>
          <w:lang w:val="en-US"/>
        </w:rPr>
        <w:t xml:space="preserve">” includes the electricity interconnection of the Cyclades Islands (Phase D), an overhead line connecting Extra High Voltage Centre (EHVC) Corinth and EHVC </w:t>
      </w:r>
      <w:proofErr w:type="spellStart"/>
      <w:r w:rsidRPr="00451CC2">
        <w:rPr>
          <w:rFonts w:eastAsia="Calibri"/>
          <w:lang w:val="en-US"/>
        </w:rPr>
        <w:t>Koumoundouros</w:t>
      </w:r>
      <w:proofErr w:type="spellEnd"/>
      <w:r w:rsidRPr="00451CC2">
        <w:rPr>
          <w:rFonts w:eastAsia="Calibri"/>
          <w:lang w:val="en-US"/>
        </w:rPr>
        <w:t xml:space="preserve"> and accompanying projects. The projects shall boost energy system security, while also increasing the potential for electricity generation from RES in the islands and the Peloponnese. Specifically, regarding the cable connection </w:t>
      </w:r>
      <w:proofErr w:type="spellStart"/>
      <w:r w:rsidRPr="00451CC2">
        <w:rPr>
          <w:rFonts w:eastAsia="Calibri"/>
          <w:lang w:val="en-US"/>
        </w:rPr>
        <w:t>Lavrio</w:t>
      </w:r>
      <w:proofErr w:type="spellEnd"/>
      <w:r w:rsidRPr="00451CC2">
        <w:rPr>
          <w:rFonts w:eastAsia="Calibri"/>
          <w:lang w:val="en-US"/>
        </w:rPr>
        <w:t>/</w:t>
      </w:r>
      <w:proofErr w:type="spellStart"/>
      <w:r w:rsidRPr="00451CC2">
        <w:rPr>
          <w:rFonts w:eastAsia="Calibri"/>
          <w:lang w:val="en-US"/>
        </w:rPr>
        <w:t>Serifos</w:t>
      </w:r>
      <w:proofErr w:type="spellEnd"/>
      <w:r w:rsidRPr="00451CC2">
        <w:rPr>
          <w:rFonts w:eastAsia="Calibri"/>
          <w:lang w:val="en-US"/>
        </w:rPr>
        <w:t xml:space="preserve"> /Melos/Thera the construction of the underground parts is ongoing while works in Melos continue and works at Thera and </w:t>
      </w:r>
      <w:proofErr w:type="spellStart"/>
      <w:r w:rsidRPr="00451CC2">
        <w:rPr>
          <w:rFonts w:eastAsia="Calibri"/>
          <w:lang w:val="en-US"/>
        </w:rPr>
        <w:t>Lavrio</w:t>
      </w:r>
      <w:proofErr w:type="spellEnd"/>
      <w:r w:rsidRPr="00451CC2">
        <w:rPr>
          <w:rFonts w:eastAsia="Calibri"/>
          <w:lang w:val="en-US"/>
        </w:rPr>
        <w:t xml:space="preserve"> are completed. </w:t>
      </w:r>
      <w:proofErr w:type="spellStart"/>
      <w:r w:rsidRPr="00451CC2">
        <w:rPr>
          <w:rFonts w:eastAsia="Calibri"/>
          <w:lang w:val="en-US"/>
        </w:rPr>
        <w:t>Serifos</w:t>
      </w:r>
      <w:proofErr w:type="spellEnd"/>
      <w:r w:rsidRPr="00451CC2">
        <w:rPr>
          <w:rFonts w:eastAsia="Calibri"/>
          <w:lang w:val="en-US"/>
        </w:rPr>
        <w:t xml:space="preserve"> works started in early 2025 and continue until June 2026. Regarding the cable connection Melos/</w:t>
      </w:r>
      <w:proofErr w:type="spellStart"/>
      <w:r w:rsidRPr="00451CC2">
        <w:rPr>
          <w:rFonts w:eastAsia="Calibri"/>
          <w:lang w:val="en-US"/>
        </w:rPr>
        <w:t>Folegandros</w:t>
      </w:r>
      <w:proofErr w:type="spellEnd"/>
      <w:r w:rsidRPr="00451CC2">
        <w:rPr>
          <w:rFonts w:eastAsia="Calibri"/>
          <w:lang w:val="en-US"/>
        </w:rPr>
        <w:t xml:space="preserve">/Thera the construction of the underground parts is pending, while works in </w:t>
      </w:r>
      <w:proofErr w:type="spellStart"/>
      <w:r w:rsidRPr="00451CC2">
        <w:rPr>
          <w:rFonts w:eastAsia="Calibri"/>
          <w:lang w:val="en-US"/>
        </w:rPr>
        <w:t>Folegandros</w:t>
      </w:r>
      <w:proofErr w:type="spellEnd"/>
      <w:r w:rsidRPr="00451CC2">
        <w:rPr>
          <w:rFonts w:eastAsia="Calibri"/>
          <w:lang w:val="en-US"/>
        </w:rPr>
        <w:t xml:space="preserve"> and Melos continue. The Thera work is completed. Regarding the Naxos–Thera cable connection, the underground section has been completed; the inspection of the underground cable on Thera is still pending. Substations of </w:t>
      </w:r>
      <w:proofErr w:type="spellStart"/>
      <w:r w:rsidRPr="00451CC2">
        <w:rPr>
          <w:rFonts w:eastAsia="Calibri"/>
          <w:lang w:val="en-US"/>
        </w:rPr>
        <w:t>Serifos</w:t>
      </w:r>
      <w:proofErr w:type="spellEnd"/>
      <w:r w:rsidRPr="00451CC2">
        <w:rPr>
          <w:rFonts w:eastAsia="Calibri"/>
          <w:lang w:val="en-US"/>
        </w:rPr>
        <w:t xml:space="preserve">, Melos, </w:t>
      </w:r>
      <w:proofErr w:type="spellStart"/>
      <w:r w:rsidRPr="00451CC2">
        <w:rPr>
          <w:rFonts w:eastAsia="Calibri"/>
          <w:lang w:val="en-US"/>
        </w:rPr>
        <w:t>Folegandros</w:t>
      </w:r>
      <w:proofErr w:type="spellEnd"/>
      <w:r w:rsidRPr="00451CC2">
        <w:rPr>
          <w:rFonts w:eastAsia="Calibri"/>
          <w:lang w:val="en-US"/>
        </w:rPr>
        <w:t xml:space="preserve"> and Thera (with the SVC installation) are under construction. </w:t>
      </w:r>
      <w:r w:rsidRPr="00451CC2">
        <w:rPr>
          <w:rFonts w:eastAsia="Calibri"/>
          <w:highlight w:val="white"/>
          <w:lang w:val="en-US"/>
        </w:rPr>
        <w:t>Its completion is expected within June 2026.</w:t>
      </w:r>
    </w:p>
    <w:p w14:paraId="5B2F3769" w14:textId="77777777" w:rsidR="00451CC2" w:rsidRPr="00451CC2" w:rsidRDefault="00451CC2" w:rsidP="00D31D31">
      <w:pPr>
        <w:rPr>
          <w:rFonts w:eastAsia="Calibri"/>
          <w:highlight w:val="white"/>
          <w:lang w:val="en-US"/>
        </w:rPr>
      </w:pPr>
      <w:r w:rsidRPr="00451CC2">
        <w:rPr>
          <w:rFonts w:eastAsia="Calibri"/>
          <w:lang w:val="en-US"/>
        </w:rPr>
        <w:t xml:space="preserve">The </w:t>
      </w:r>
      <w:r w:rsidRPr="00451CC2">
        <w:rPr>
          <w:rFonts w:eastAsia="Calibri"/>
          <w:b/>
          <w:bCs/>
          <w:lang w:val="en-US"/>
        </w:rPr>
        <w:t>RRF investment</w:t>
      </w:r>
      <w:r w:rsidRPr="00451CC2">
        <w:rPr>
          <w:rFonts w:eastAsia="Calibri"/>
          <w:lang w:val="en-US"/>
        </w:rPr>
        <w:t xml:space="preserve"> </w:t>
      </w:r>
      <w:r w:rsidRPr="00451CC2">
        <w:rPr>
          <w:rFonts w:eastAsia="Calibri"/>
          <w:b/>
          <w:bCs/>
          <w:lang w:val="en-US"/>
        </w:rPr>
        <w:t>“Installed capacity increase in Hellenic Electricity Distribution Network Operator (HEDNO) HV/MV substations for new RES connection”</w:t>
      </w:r>
      <w:r w:rsidRPr="00451CC2">
        <w:rPr>
          <w:rFonts w:eastAsia="Calibri"/>
          <w:lang w:val="en-US"/>
        </w:rPr>
        <w:t xml:space="preserve"> aims at the expansion of the distribution network in order to allow for the optimal and timely </w:t>
      </w:r>
      <w:proofErr w:type="spellStart"/>
      <w:r w:rsidRPr="00451CC2">
        <w:rPr>
          <w:rFonts w:eastAsia="Calibri"/>
          <w:lang w:val="en-US"/>
        </w:rPr>
        <w:t>realisation</w:t>
      </w:r>
      <w:proofErr w:type="spellEnd"/>
      <w:r w:rsidRPr="00451CC2">
        <w:rPr>
          <w:rFonts w:eastAsia="Calibri"/>
          <w:lang w:val="en-US"/>
        </w:rPr>
        <w:t xml:space="preserve"> of new “medium and large scale” RES projects, avoiding long delays due to congested networks. It includes the installation of new HV/MV power transformers in existing HV/MV substations that are expandable or the replacement of existing HV/MV power transformers with power transformers of higher MVA. It includes the installed capacity increase in existing HV/MV substations by 725 MVA.As of April 2026, the physical scope is 72.41%, with 525</w:t>
      </w:r>
      <w:r w:rsidRPr="00451CC2">
        <w:rPr>
          <w:rFonts w:eastAsia="Calibri"/>
          <w:color w:val="EE0000"/>
          <w:lang w:val="en-US"/>
        </w:rPr>
        <w:t xml:space="preserve"> </w:t>
      </w:r>
      <w:r w:rsidRPr="00451CC2">
        <w:rPr>
          <w:rFonts w:eastAsia="Calibri"/>
          <w:lang w:val="en-US"/>
        </w:rPr>
        <w:t xml:space="preserve">MVA of installed capacity from completed projects out of a total of 725 MVA (4 completed contracts out of a total of 7), while the financial scope is 95.77%, amounting to €11,492,831.29 out of a total of €12,000,000. </w:t>
      </w:r>
      <w:r w:rsidRPr="00451CC2">
        <w:rPr>
          <w:rFonts w:eastAsia="Calibri"/>
          <w:highlight w:val="white"/>
          <w:lang w:val="en-US"/>
        </w:rPr>
        <w:t>Its completion is expected within June 2026.</w:t>
      </w:r>
    </w:p>
    <w:p w14:paraId="3D6D8D9D" w14:textId="77777777" w:rsidR="00451CC2" w:rsidRPr="00451CC2" w:rsidRDefault="00451CC2" w:rsidP="00D31D31">
      <w:pPr>
        <w:rPr>
          <w:rFonts w:eastAsia="Calibri"/>
          <w:highlight w:val="white"/>
          <w:lang w:val="en-US"/>
        </w:rPr>
      </w:pPr>
      <w:r w:rsidRPr="00451CC2">
        <w:rPr>
          <w:rFonts w:eastAsia="Calibri"/>
          <w:lang w:val="en-US"/>
        </w:rPr>
        <w:t xml:space="preserve">The </w:t>
      </w:r>
      <w:r w:rsidRPr="00451CC2">
        <w:rPr>
          <w:rFonts w:eastAsia="Calibri"/>
          <w:b/>
          <w:bCs/>
          <w:lang w:val="en-US"/>
        </w:rPr>
        <w:t xml:space="preserve">RRF investment </w:t>
      </w:r>
      <w:r w:rsidRPr="00451CC2">
        <w:rPr>
          <w:rFonts w:eastAsia="Calibri"/>
          <w:b/>
          <w:lang w:val="en-US"/>
        </w:rPr>
        <w:t>“</w:t>
      </w:r>
      <w:r w:rsidRPr="00451CC2">
        <w:rPr>
          <w:rFonts w:eastAsia="Calibri"/>
          <w:b/>
          <w:bCs/>
          <w:lang w:val="en-US"/>
        </w:rPr>
        <w:t>Support of the installation of storage systems to enhance RES penetration”</w:t>
      </w:r>
      <w:r w:rsidRPr="00451CC2">
        <w:rPr>
          <w:rFonts w:eastAsia="Calibri"/>
          <w:lang w:val="en-US"/>
        </w:rPr>
        <w:t xml:space="preserve"> intends to support the installation of up to 1,380 MW capacity of Energy Storage in the electricity system, ca. 50% of which will come as long duration storage from the </w:t>
      </w:r>
      <w:proofErr w:type="spellStart"/>
      <w:r w:rsidRPr="00451CC2">
        <w:rPr>
          <w:rFonts w:eastAsia="Calibri"/>
          <w:lang w:val="en-US"/>
        </w:rPr>
        <w:lastRenderedPageBreak/>
        <w:t>Amfilochia</w:t>
      </w:r>
      <w:proofErr w:type="spellEnd"/>
      <w:r w:rsidRPr="00451CC2">
        <w:rPr>
          <w:rFonts w:eastAsia="Calibri"/>
          <w:lang w:val="en-US"/>
        </w:rPr>
        <w:t xml:space="preserve"> Pumped Hydro Storage (PHS). These investments shall allow the system integration of new RES capacity which is required for the achievement of NECP targets. As of April 2026, regarding </w:t>
      </w:r>
      <w:proofErr w:type="spellStart"/>
      <w:r w:rsidRPr="00451CC2">
        <w:rPr>
          <w:rFonts w:eastAsia="Calibri"/>
          <w:lang w:val="en-US"/>
        </w:rPr>
        <w:t>Amfilochia</w:t>
      </w:r>
      <w:proofErr w:type="spellEnd"/>
      <w:r w:rsidRPr="00451CC2">
        <w:rPr>
          <w:rFonts w:eastAsia="Calibri"/>
          <w:lang w:val="en-US"/>
        </w:rPr>
        <w:t xml:space="preserve"> PHS there are delays in the progress of both physical scope and financial scope, although it is assured that the nine (9) construction milestones will be achieved within the RRF deadline. Moreover, there are potential delays related to the licensing and the grid connection of Battery Energy Storage System (BESS).  </w:t>
      </w:r>
      <w:r w:rsidRPr="00451CC2">
        <w:rPr>
          <w:rFonts w:eastAsia="Calibri"/>
          <w:highlight w:val="white"/>
          <w:lang w:val="en-US"/>
        </w:rPr>
        <w:t>Its completion is expected within June 2026.</w:t>
      </w:r>
    </w:p>
    <w:p w14:paraId="2EDE8B0A" w14:textId="77777777" w:rsidR="00451CC2" w:rsidRPr="00451CC2" w:rsidRDefault="00451CC2" w:rsidP="00D31D31">
      <w:pPr>
        <w:rPr>
          <w:rFonts w:eastAsia="Calibri"/>
          <w:color w:val="FF0000"/>
          <w:highlight w:val="white"/>
          <w:lang w:val="en-US"/>
        </w:rPr>
      </w:pPr>
      <w:r w:rsidRPr="00451CC2">
        <w:rPr>
          <w:rFonts w:eastAsia="Calibri"/>
          <w:lang w:val="en-US"/>
        </w:rPr>
        <w:t xml:space="preserve">The </w:t>
      </w:r>
      <w:r w:rsidRPr="00451CC2">
        <w:rPr>
          <w:rFonts w:eastAsia="Calibri"/>
          <w:b/>
          <w:bCs/>
          <w:lang w:val="en-US"/>
        </w:rPr>
        <w:t>RRF investment</w:t>
      </w:r>
      <w:r w:rsidRPr="00451CC2">
        <w:rPr>
          <w:rFonts w:eastAsia="Calibri"/>
          <w:lang w:val="en-US"/>
        </w:rPr>
        <w:t xml:space="preserve"> </w:t>
      </w:r>
      <w:r w:rsidRPr="00451CC2">
        <w:rPr>
          <w:rFonts w:eastAsia="Calibri"/>
          <w:b/>
          <w:lang w:val="en-US"/>
        </w:rPr>
        <w:t>“</w:t>
      </w:r>
      <w:r w:rsidRPr="00451CC2">
        <w:rPr>
          <w:rFonts w:eastAsia="Calibri"/>
          <w:b/>
          <w:bCs/>
          <w:lang w:val="en-US"/>
        </w:rPr>
        <w:t xml:space="preserve">Energy and entrepreneurship” </w:t>
      </w:r>
      <w:r w:rsidRPr="00451CC2">
        <w:rPr>
          <w:rFonts w:eastAsia="Calibri"/>
          <w:lang w:val="en-US"/>
        </w:rPr>
        <w:t>aims to optimize the cost effectiveness of private companies through financial support targeting energy efficiency. The investment includes two (2) sub-programs: (a) energy efficiency in the tertiary and secondary sector for medium, large and very large organizations and (b) installation of energy efficient equipment in very small enterprises. A total of 5,111 private entities have already been approved, representing a 32.9% increase compared to the previous period. This includes 1,835 applications under Sub</w:t>
      </w:r>
      <w:r w:rsidRPr="00451CC2">
        <w:rPr>
          <w:rFonts w:ascii="Times New Roman" w:eastAsia="Times New Roman" w:hAnsi="Times New Roman" w:cs="Times New Roman"/>
          <w:lang w:val="en-US"/>
        </w:rPr>
        <w:t>‑</w:t>
      </w:r>
      <w:r w:rsidRPr="00451CC2">
        <w:rPr>
          <w:rFonts w:eastAsia="Calibri"/>
          <w:lang w:val="en-US"/>
        </w:rPr>
        <w:t>project 1 (total budget €147,892,374.83), reflecting a 37.0% increase year</w:t>
      </w:r>
      <w:r w:rsidRPr="00451CC2">
        <w:rPr>
          <w:rFonts w:ascii="Times New Roman" w:eastAsia="Times New Roman" w:hAnsi="Times New Roman" w:cs="Times New Roman"/>
          <w:lang w:val="en-US"/>
        </w:rPr>
        <w:t>‑</w:t>
      </w:r>
      <w:r w:rsidRPr="00451CC2">
        <w:rPr>
          <w:rFonts w:eastAsia="Calibri"/>
          <w:lang w:val="en-US"/>
        </w:rPr>
        <w:t>on</w:t>
      </w:r>
      <w:r w:rsidRPr="00451CC2">
        <w:rPr>
          <w:rFonts w:ascii="Times New Roman" w:eastAsia="Times New Roman" w:hAnsi="Times New Roman" w:cs="Times New Roman"/>
          <w:lang w:val="en-US"/>
        </w:rPr>
        <w:t>‑</w:t>
      </w:r>
      <w:r w:rsidRPr="00451CC2">
        <w:rPr>
          <w:rFonts w:eastAsia="Calibri"/>
          <w:lang w:val="en-US"/>
        </w:rPr>
        <w:t>year, and 3,276 applications under Sub</w:t>
      </w:r>
      <w:r w:rsidRPr="00451CC2">
        <w:rPr>
          <w:rFonts w:ascii="Times New Roman" w:eastAsia="Times New Roman" w:hAnsi="Times New Roman" w:cs="Times New Roman"/>
          <w:lang w:val="en-US"/>
        </w:rPr>
        <w:t>‑</w:t>
      </w:r>
      <w:r w:rsidRPr="00451CC2">
        <w:rPr>
          <w:rFonts w:eastAsia="Calibri"/>
          <w:lang w:val="en-US"/>
        </w:rPr>
        <w:t xml:space="preserve">project 2 (total budget €35,380,800), corresponding to a 30.9% increase compared to the previous period. </w:t>
      </w:r>
      <w:r w:rsidRPr="00451CC2">
        <w:rPr>
          <w:rFonts w:eastAsia="Calibri"/>
          <w:highlight w:val="white"/>
          <w:lang w:val="en-US"/>
        </w:rPr>
        <w:t>Its completion is expected within June 2026</w:t>
      </w:r>
      <w:r w:rsidRPr="00451CC2">
        <w:rPr>
          <w:rFonts w:eastAsia="Calibri"/>
          <w:color w:val="FF0000"/>
          <w:highlight w:val="white"/>
          <w:lang w:val="en-US"/>
        </w:rPr>
        <w:t>.</w:t>
      </w:r>
    </w:p>
    <w:p w14:paraId="2A88D1A8" w14:textId="77777777" w:rsidR="00451CC2" w:rsidRPr="00451CC2" w:rsidRDefault="00451CC2" w:rsidP="00D31D31">
      <w:pPr>
        <w:rPr>
          <w:rFonts w:eastAsia="Calibri"/>
          <w:lang w:val="en-US"/>
        </w:rPr>
      </w:pPr>
      <w:r w:rsidRPr="00451CC2">
        <w:rPr>
          <w:rFonts w:eastAsia="Calibri"/>
          <w:lang w:val="en-US"/>
        </w:rPr>
        <w:t xml:space="preserve">The </w:t>
      </w:r>
      <w:r w:rsidRPr="00451CC2">
        <w:rPr>
          <w:rFonts w:eastAsia="Calibri"/>
          <w:b/>
          <w:bCs/>
          <w:lang w:val="en-US"/>
        </w:rPr>
        <w:t>RRF investment “Energy upgrade of public sector buildings”</w:t>
      </w:r>
      <w:r w:rsidRPr="00451CC2">
        <w:rPr>
          <w:rFonts w:eastAsia="Calibri"/>
          <w:lang w:val="en-US"/>
        </w:rPr>
        <w:t xml:space="preserve"> under the “ILEKTRA” title, aims at encouraging the development of an Energy Saving Companies (ESCOs) market for the energy renovation of existing buildings and infrastructure of the (wider) public sector. The Ministry of Environment and Energy is currently examining potential funding sources for the programs’ implementation. This investment is out of the scope of the RRF. </w:t>
      </w:r>
    </w:p>
    <w:p w14:paraId="5DDFD765" w14:textId="77777777" w:rsidR="00451CC2" w:rsidRPr="00451CC2" w:rsidRDefault="00451CC2" w:rsidP="00D31D31">
      <w:pPr>
        <w:rPr>
          <w:rFonts w:eastAsia="Calibri"/>
          <w:highlight w:val="white"/>
          <w:lang w:val="en-US"/>
        </w:rPr>
      </w:pPr>
      <w:r w:rsidRPr="00451CC2">
        <w:rPr>
          <w:rFonts w:eastAsia="Calibri"/>
          <w:lang w:val="en-US"/>
        </w:rPr>
        <w:t xml:space="preserve">The </w:t>
      </w:r>
      <w:r w:rsidRPr="00451CC2">
        <w:rPr>
          <w:rFonts w:eastAsia="Calibri"/>
          <w:b/>
          <w:bCs/>
          <w:lang w:val="en-US"/>
        </w:rPr>
        <w:t>RRF investment “</w:t>
      </w:r>
      <w:proofErr w:type="spellStart"/>
      <w:r w:rsidRPr="00451CC2">
        <w:rPr>
          <w:rFonts w:eastAsia="Calibri"/>
          <w:b/>
          <w:bCs/>
          <w:lang w:val="en-US"/>
        </w:rPr>
        <w:t>Produc</w:t>
      </w:r>
      <w:proofErr w:type="spellEnd"/>
      <w:r w:rsidRPr="00451CC2">
        <w:rPr>
          <w:rFonts w:eastAsia="Calibri"/>
          <w:b/>
          <w:bCs/>
          <w:lang w:val="en-US"/>
        </w:rPr>
        <w:t xml:space="preserve">-E Green” </w:t>
      </w:r>
      <w:r w:rsidRPr="00451CC2">
        <w:rPr>
          <w:rFonts w:eastAsia="Calibri"/>
          <w:lang w:val="en-US"/>
        </w:rPr>
        <w:t xml:space="preserve">aims at establishing production capacity in products and services that promote green economy and innovation and at promoting storage of CO2 emissions; and is composed of two sub projects. (1) The funding, in the form of grants, of industrial production units to make products in the green economy sector and (2) The development of the first CO2 storage facility in Greece. The proposed site at </w:t>
      </w:r>
      <w:proofErr w:type="spellStart"/>
      <w:r w:rsidRPr="00451CC2">
        <w:rPr>
          <w:rFonts w:eastAsia="Calibri"/>
          <w:lang w:val="en-US"/>
        </w:rPr>
        <w:t>Prinos</w:t>
      </w:r>
      <w:proofErr w:type="spellEnd"/>
      <w:r w:rsidRPr="00451CC2">
        <w:rPr>
          <w:rFonts w:eastAsia="Calibri"/>
          <w:lang w:val="en-US"/>
        </w:rPr>
        <w:t xml:space="preserve">, Kavala is an extensively mapped and surveyed location, where oil drilling operations have been taking place for decades. Regarding the first sub-project, as of April 2026, 36 applications for investment plans have been submitted, 24 investment plans have received the Decision of Acceptance, and 21 investment plans have submitted their loan contracts. The program is currently in progress, and as a result, more than 10 investment projects (IPs) are estimated to be completed by the end of May 2026. Regarding the second subproject, which is currently under revision, the issuance of the CO₂ storage permit has been completed; the permit was issued and published in the Government Gazette on 25/02/2026. </w:t>
      </w:r>
      <w:r w:rsidRPr="00451CC2">
        <w:rPr>
          <w:rFonts w:eastAsia="Calibri"/>
          <w:highlight w:val="white"/>
          <w:lang w:val="en-US"/>
        </w:rPr>
        <w:t>Its completion is expected within June 2026.</w:t>
      </w:r>
    </w:p>
    <w:p w14:paraId="6F5734D3" w14:textId="77777777" w:rsidR="00451CC2" w:rsidRPr="00451CC2" w:rsidRDefault="00451CC2" w:rsidP="00D31D31">
      <w:pPr>
        <w:rPr>
          <w:rFonts w:eastAsia="Calibri"/>
          <w:lang w:val="en-US"/>
        </w:rPr>
      </w:pPr>
      <w:r w:rsidRPr="00451CC2">
        <w:rPr>
          <w:rFonts w:eastAsia="Calibri"/>
          <w:lang w:val="en-US"/>
        </w:rPr>
        <w:t xml:space="preserve">The </w:t>
      </w:r>
      <w:r w:rsidRPr="00451CC2">
        <w:rPr>
          <w:rFonts w:eastAsia="Calibri"/>
          <w:b/>
          <w:bCs/>
          <w:lang w:val="en-US"/>
        </w:rPr>
        <w:t>RRF investment</w:t>
      </w:r>
      <w:r w:rsidRPr="00451CC2">
        <w:rPr>
          <w:rFonts w:eastAsia="Calibri"/>
          <w:lang w:val="en-US"/>
        </w:rPr>
        <w:t xml:space="preserve"> </w:t>
      </w:r>
      <w:r w:rsidRPr="00451CC2">
        <w:rPr>
          <w:rFonts w:eastAsia="Calibri"/>
          <w:b/>
          <w:bCs/>
          <w:lang w:val="en-US"/>
        </w:rPr>
        <w:t>“National Reforestation Plan restoration and prevention (“</w:t>
      </w:r>
      <w:proofErr w:type="spellStart"/>
      <w:r w:rsidRPr="00451CC2">
        <w:rPr>
          <w:rFonts w:eastAsia="Calibri"/>
          <w:b/>
          <w:bCs/>
          <w:lang w:val="en-US"/>
        </w:rPr>
        <w:t>antiNERO</w:t>
      </w:r>
      <w:proofErr w:type="spellEnd"/>
      <w:r w:rsidRPr="00451CC2">
        <w:rPr>
          <w:rFonts w:eastAsia="Calibri"/>
          <w:b/>
          <w:bCs/>
          <w:lang w:val="en-US"/>
        </w:rPr>
        <w:t>”)</w:t>
      </w:r>
      <w:r w:rsidRPr="00451CC2">
        <w:rPr>
          <w:rFonts w:eastAsia="Calibri"/>
          <w:lang w:val="en-US"/>
        </w:rPr>
        <w:t xml:space="preserve">, anti-erosion and flood protection measures” aims at restoring selected forest ecosystems in Greece that suffered from natural disasters and implementation of actions for adaptation of forests to climate change. This investment has three parts. First, the restoration of 5084 ha of degraded forest ecosystems in Greece through planting of saplings. The project shall cover both reforestation studies and their implementation. In addition, the investment shall include the upgrade of four public forest nurseries (Ambrosian, </w:t>
      </w:r>
      <w:proofErr w:type="spellStart"/>
      <w:r w:rsidRPr="00451CC2">
        <w:rPr>
          <w:rFonts w:eastAsia="Calibri"/>
          <w:lang w:val="en-US"/>
        </w:rPr>
        <w:t>Lagada</w:t>
      </w:r>
      <w:proofErr w:type="spellEnd"/>
      <w:r w:rsidRPr="00451CC2">
        <w:rPr>
          <w:rFonts w:eastAsia="Calibri"/>
          <w:lang w:val="en-US"/>
        </w:rPr>
        <w:t xml:space="preserve">, </w:t>
      </w:r>
      <w:proofErr w:type="spellStart"/>
      <w:r w:rsidRPr="00451CC2">
        <w:rPr>
          <w:rFonts w:eastAsia="Calibri"/>
          <w:lang w:val="en-US"/>
        </w:rPr>
        <w:t>Organi</w:t>
      </w:r>
      <w:proofErr w:type="spellEnd"/>
      <w:r w:rsidRPr="00451CC2">
        <w:rPr>
          <w:rFonts w:eastAsia="Calibri"/>
          <w:lang w:val="en-US"/>
        </w:rPr>
        <w:t xml:space="preserve"> and </w:t>
      </w:r>
      <w:proofErr w:type="spellStart"/>
      <w:r w:rsidRPr="00451CC2">
        <w:rPr>
          <w:rFonts w:eastAsia="Calibri"/>
          <w:lang w:val="en-US"/>
        </w:rPr>
        <w:t>Aliarto</w:t>
      </w:r>
      <w:proofErr w:type="spellEnd"/>
      <w:r w:rsidRPr="00451CC2">
        <w:rPr>
          <w:rFonts w:eastAsia="Calibri"/>
          <w:lang w:val="en-US"/>
        </w:rPr>
        <w:t xml:space="preserve">) and the </w:t>
      </w:r>
      <w:r w:rsidRPr="00451CC2">
        <w:rPr>
          <w:rFonts w:eastAsia="Calibri"/>
          <w:lang w:val="en-US"/>
        </w:rPr>
        <w:lastRenderedPageBreak/>
        <w:t xml:space="preserve">implementation of all the activities foreseen in the Pilot Implementation of the National Reforestation Plan. Second, as part of the </w:t>
      </w:r>
      <w:proofErr w:type="spellStart"/>
      <w:r w:rsidRPr="00451CC2">
        <w:rPr>
          <w:rFonts w:eastAsia="Calibri"/>
          <w:lang w:val="en-US"/>
        </w:rPr>
        <w:t>antiNERO</w:t>
      </w:r>
      <w:proofErr w:type="spellEnd"/>
      <w:r w:rsidRPr="00451CC2">
        <w:rPr>
          <w:rFonts w:eastAsia="Calibri"/>
          <w:lang w:val="en-US"/>
        </w:rPr>
        <w:t xml:space="preserve"> programs, the investment shall finance fire prevention measures, including forest and woodland clearings and the maintenance and construction of the forest road network. In addition, the investment shall include the maintenance and creation of fire zones (and mixed fire zones), together with the creation of zones of pure or mixed vegetation and the preparation of reforestation studies for selected areas. Third, the investment shall finance actions concerning anti-erosion and flood protection in the areas of Evros, Rhodope, and </w:t>
      </w:r>
      <w:proofErr w:type="spellStart"/>
      <w:r w:rsidRPr="00451CC2">
        <w:rPr>
          <w:rFonts w:eastAsia="Calibri"/>
          <w:lang w:val="en-US"/>
        </w:rPr>
        <w:t>Parnitha</w:t>
      </w:r>
      <w:proofErr w:type="spellEnd"/>
      <w:r w:rsidRPr="00451CC2">
        <w:rPr>
          <w:rFonts w:eastAsia="Calibri"/>
          <w:lang w:val="en-US"/>
        </w:rPr>
        <w:t>,</w:t>
      </w:r>
      <w:r w:rsidRPr="00451CC2">
        <w:rPr>
          <w:lang w:val="en-US"/>
        </w:rPr>
        <w:t xml:space="preserve"> </w:t>
      </w:r>
      <w:r w:rsidRPr="00451CC2">
        <w:rPr>
          <w:rFonts w:eastAsia="Calibri"/>
          <w:lang w:val="en-US"/>
        </w:rPr>
        <w:t xml:space="preserve">as well as additional areas, affected by forest fires and floods throughout Greece. Through the </w:t>
      </w:r>
      <w:proofErr w:type="spellStart"/>
      <w:r w:rsidRPr="00451CC2">
        <w:rPr>
          <w:rFonts w:eastAsia="Calibri"/>
          <w:lang w:val="en-US"/>
        </w:rPr>
        <w:t>Antinero</w:t>
      </w:r>
      <w:proofErr w:type="spellEnd"/>
      <w:r w:rsidRPr="00451CC2">
        <w:rPr>
          <w:rFonts w:eastAsia="Calibri"/>
          <w:lang w:val="en-US"/>
        </w:rPr>
        <w:t xml:space="preserve"> I and II programs, upgrade interventions including vegetation clearance, maintenance of the forest road network, and the opening and maintenance of firebreak zones have been successfully completed across more than 37,000 ha. Additionally, through </w:t>
      </w:r>
      <w:proofErr w:type="spellStart"/>
      <w:r w:rsidRPr="00451CC2">
        <w:rPr>
          <w:rFonts w:eastAsia="Calibri"/>
          <w:lang w:val="en-US"/>
        </w:rPr>
        <w:t>AntiNERO</w:t>
      </w:r>
      <w:proofErr w:type="spellEnd"/>
      <w:r w:rsidRPr="00451CC2">
        <w:rPr>
          <w:rFonts w:eastAsia="Calibri"/>
          <w:lang w:val="en-US"/>
        </w:rPr>
        <w:t xml:space="preserve"> III, IV and V, (actions for prevention, protection and upgrading) more than one hundred and thirty (130) contracts have been signed through 2024, 2025 and 2026. The relevant forest works have been completed for </w:t>
      </w:r>
      <w:proofErr w:type="spellStart"/>
      <w:r w:rsidRPr="00451CC2">
        <w:rPr>
          <w:rFonts w:eastAsia="Calibri"/>
          <w:lang w:val="en-US"/>
        </w:rPr>
        <w:t>AntiNERO</w:t>
      </w:r>
      <w:proofErr w:type="spellEnd"/>
      <w:r w:rsidRPr="00451CC2">
        <w:rPr>
          <w:rFonts w:eastAsia="Calibri"/>
          <w:lang w:val="en-US"/>
        </w:rPr>
        <w:t xml:space="preserve"> III and are on-going for </w:t>
      </w:r>
      <w:proofErr w:type="spellStart"/>
      <w:r w:rsidRPr="00451CC2">
        <w:rPr>
          <w:rFonts w:eastAsia="Calibri"/>
          <w:lang w:val="en-US"/>
        </w:rPr>
        <w:t>AntiNERO</w:t>
      </w:r>
      <w:proofErr w:type="spellEnd"/>
      <w:r w:rsidRPr="00451CC2">
        <w:rPr>
          <w:rFonts w:eastAsia="Calibri"/>
          <w:lang w:val="en-US"/>
        </w:rPr>
        <w:t xml:space="preserve"> IV &amp; V. The implementation of the whole </w:t>
      </w:r>
      <w:proofErr w:type="spellStart"/>
      <w:r w:rsidRPr="00451CC2">
        <w:rPr>
          <w:rFonts w:eastAsia="Calibri"/>
          <w:lang w:val="en-US"/>
        </w:rPr>
        <w:t>AntiNERO</w:t>
      </w:r>
      <w:proofErr w:type="spellEnd"/>
      <w:r w:rsidRPr="00451CC2">
        <w:rPr>
          <w:rFonts w:eastAsia="Calibri"/>
          <w:lang w:val="en-US"/>
        </w:rPr>
        <w:t xml:space="preserve"> program is expected to be completed by June 2026 and concerns 91,640 ha. </w:t>
      </w:r>
      <w:r w:rsidRPr="00451CC2">
        <w:rPr>
          <w:rFonts w:eastAsia="Calibri"/>
          <w:color w:val="EE0000"/>
          <w:lang w:val="en-US"/>
        </w:rPr>
        <w:t xml:space="preserve">  </w:t>
      </w:r>
    </w:p>
    <w:p w14:paraId="7F927B82" w14:textId="77777777" w:rsidR="00451CC2" w:rsidRPr="00451CC2" w:rsidRDefault="00451CC2" w:rsidP="00D31D31">
      <w:pPr>
        <w:rPr>
          <w:rFonts w:eastAsia="Calibri"/>
          <w:highlight w:val="white"/>
          <w:lang w:val="en-US"/>
        </w:rPr>
      </w:pPr>
      <w:r w:rsidRPr="00451CC2">
        <w:rPr>
          <w:rFonts w:eastAsia="Calibri"/>
          <w:lang w:val="en-US"/>
        </w:rPr>
        <w:t xml:space="preserve">The </w:t>
      </w:r>
      <w:r w:rsidRPr="00451CC2">
        <w:rPr>
          <w:rFonts w:eastAsia="Calibri"/>
          <w:b/>
          <w:bCs/>
          <w:lang w:val="en-US"/>
        </w:rPr>
        <w:t>RRF investment</w:t>
      </w:r>
      <w:r w:rsidRPr="00451CC2">
        <w:rPr>
          <w:rFonts w:eastAsia="Calibri"/>
          <w:lang w:val="en-US"/>
        </w:rPr>
        <w:t xml:space="preserve"> “</w:t>
      </w:r>
      <w:r w:rsidRPr="00451CC2">
        <w:rPr>
          <w:rFonts w:eastAsia="Calibri"/>
          <w:b/>
          <w:bCs/>
          <w:lang w:val="en-US"/>
        </w:rPr>
        <w:t>Urban Wastewater and Sludge Management Infrastructures from Wastewater Treatment”</w:t>
      </w:r>
      <w:r w:rsidRPr="00451CC2">
        <w:rPr>
          <w:rFonts w:eastAsia="Calibri"/>
          <w:lang w:val="en-US"/>
        </w:rPr>
        <w:t xml:space="preserve"> aims at reducing pollution in the natural and human-made environment arising from wastewater treatment facilities, by constructing new and upgrading existing infrastructure. The investment consists of three (3) subprojects: (a) construction of new sewage network infrastructures and wastewater treatment plants (WWTPs), (b) upgrading, extension and modernization of WWTPs and reuse of treated water and (c) construction of sludge management infrastructures from WWTPs. In total, 72 urban wastewater and sludge management projects</w:t>
      </w:r>
      <w:r w:rsidRPr="00451CC2">
        <w:rPr>
          <w:lang w:val="en-US"/>
        </w:rPr>
        <w:t xml:space="preserve"> </w:t>
      </w:r>
      <w:r w:rsidRPr="00451CC2">
        <w:rPr>
          <w:rFonts w:eastAsia="Calibri"/>
          <w:lang w:val="en-US"/>
        </w:rPr>
        <w:t>are currently under construction: (a) 39 projects regarding the construction of new sewage network infrastructures, sewage connection pipes and wastewater treatment plants</w:t>
      </w:r>
      <w:r w:rsidRPr="00451CC2">
        <w:rPr>
          <w:rFonts w:eastAsia="Calibri"/>
          <w:color w:val="EE0000"/>
          <w:lang w:val="en-US"/>
        </w:rPr>
        <w:t xml:space="preserve"> </w:t>
      </w:r>
      <w:r w:rsidRPr="00451CC2">
        <w:rPr>
          <w:rFonts w:eastAsia="Calibri"/>
          <w:lang w:val="en-US"/>
        </w:rPr>
        <w:t xml:space="preserve">(WWTPs), (b) 15 projects regarding the upgrading, the extension and the modernization of wastewater treatment plants, and the reuse of treated water, and (c) 18 projects regarding the construction of sludge management infrastructures from WWTPs. The current implementation rate of construction works stands at 75%. </w:t>
      </w:r>
      <w:r w:rsidRPr="00451CC2">
        <w:rPr>
          <w:rFonts w:eastAsia="Calibri"/>
          <w:highlight w:val="white"/>
          <w:lang w:val="en-US"/>
        </w:rPr>
        <w:t>Its completion is expected within June 2026.</w:t>
      </w:r>
    </w:p>
    <w:p w14:paraId="319929FB" w14:textId="77777777" w:rsidR="00451CC2" w:rsidRPr="00451CC2" w:rsidRDefault="00451CC2" w:rsidP="00D31D31">
      <w:pPr>
        <w:rPr>
          <w:rFonts w:eastAsia="Calibri"/>
          <w:highlight w:val="white"/>
          <w:lang w:val="en-US"/>
        </w:rPr>
      </w:pPr>
      <w:r w:rsidRPr="00451CC2">
        <w:rPr>
          <w:rFonts w:eastAsia="Calibri"/>
          <w:lang w:val="en-US"/>
        </w:rPr>
        <w:t xml:space="preserve">The </w:t>
      </w:r>
      <w:r w:rsidRPr="00451CC2">
        <w:rPr>
          <w:rFonts w:eastAsia="Calibri"/>
          <w:b/>
          <w:bCs/>
          <w:lang w:val="en-US"/>
        </w:rPr>
        <w:t>RRF investment “Drinking Water Supply and Saving Infrastructures”</w:t>
      </w:r>
      <w:r w:rsidRPr="00451CC2">
        <w:rPr>
          <w:rFonts w:eastAsia="Calibri"/>
          <w:lang w:val="en-US"/>
        </w:rPr>
        <w:t xml:space="preserve"> aims to improve the availability and quality of drinking water and reduce leakage and public health risks related to water infrastructure. The investment consists of three sub-projects: (a) construction of new water supply infrastructures in at least seven areas and at least three desalination plants, (b) establishment of telemetry - remote control systems for the detection of leaks in water supply networks, and (c) procurement of digital hydrometers. The proposals of the Municipal Authorities have been evaluated and a list of applications has been approved in Q2 of 2023, whilst the implementation of the investments is scheduled to be completed by the Q2 of 2026.  Furthermore, to address performance shortcomings of the water supply services, particularly regarding distribution leakages, the mandate of the independent regulatory authority for energy has been extended, to include water, wastewater, and waste. </w:t>
      </w:r>
      <w:r w:rsidRPr="00451CC2">
        <w:rPr>
          <w:rFonts w:eastAsia="Calibri"/>
          <w:highlight w:val="white"/>
          <w:lang w:val="en-US"/>
        </w:rPr>
        <w:t>Its completion is expected by June 2026.</w:t>
      </w:r>
    </w:p>
    <w:p w14:paraId="5BEC507B" w14:textId="77777777" w:rsidR="00451CC2" w:rsidRPr="00451CC2" w:rsidRDefault="00451CC2" w:rsidP="00D31D31">
      <w:pPr>
        <w:rPr>
          <w:rFonts w:eastAsia="Calibri"/>
          <w:lang w:val="en-US"/>
        </w:rPr>
      </w:pPr>
      <w:r w:rsidRPr="00451CC2">
        <w:rPr>
          <w:rFonts w:eastAsia="Calibri"/>
          <w:lang w:val="en-US"/>
        </w:rPr>
        <w:lastRenderedPageBreak/>
        <w:t xml:space="preserve">The </w:t>
      </w:r>
      <w:r w:rsidRPr="00451CC2">
        <w:rPr>
          <w:rFonts w:eastAsia="Calibri"/>
          <w:b/>
          <w:bCs/>
          <w:lang w:val="en-US"/>
        </w:rPr>
        <w:t>RRF investment</w:t>
      </w:r>
      <w:r w:rsidRPr="00451CC2">
        <w:rPr>
          <w:rFonts w:eastAsia="Calibri"/>
          <w:lang w:val="en-US"/>
        </w:rPr>
        <w:t xml:space="preserve"> </w:t>
      </w:r>
      <w:r w:rsidRPr="00451CC2">
        <w:rPr>
          <w:rFonts w:eastAsia="Calibri"/>
          <w:b/>
          <w:bCs/>
          <w:lang w:val="en-US"/>
        </w:rPr>
        <w:t>“Biodiversity Protection as a driver for sustainable growth”</w:t>
      </w:r>
      <w:r w:rsidRPr="00451CC2">
        <w:rPr>
          <w:rFonts w:eastAsia="Calibri"/>
          <w:lang w:val="en-US"/>
        </w:rPr>
        <w:t xml:space="preserve"> will be a driver for sustainable growth, aiming at the effective conservation of biodiversity. In line with the EU Biodiversity Strategy for 2030, the investment includes the establishment of a national network of paths and hiking trails, a National Monitoring and Surveillance System of species and habitat types, and the </w:t>
      </w:r>
      <w:proofErr w:type="spellStart"/>
      <w:r w:rsidRPr="00451CC2">
        <w:rPr>
          <w:rFonts w:eastAsia="Calibri"/>
          <w:lang w:val="en-US"/>
        </w:rPr>
        <w:t>digitisation</w:t>
      </w:r>
      <w:proofErr w:type="spellEnd"/>
      <w:r w:rsidRPr="00451CC2">
        <w:rPr>
          <w:rFonts w:eastAsia="Calibri"/>
          <w:lang w:val="en-US"/>
        </w:rPr>
        <w:t xml:space="preserve"> of Greek Natural History Collections. Its completion is expected by June 2026.</w:t>
      </w:r>
    </w:p>
    <w:p w14:paraId="13D877C5" w14:textId="77777777" w:rsidR="00451CC2" w:rsidRPr="00451CC2" w:rsidRDefault="00451CC2" w:rsidP="00D31D31">
      <w:pPr>
        <w:rPr>
          <w:rFonts w:eastAsia="Calibri"/>
          <w:color w:val="EE0000"/>
          <w:lang w:val="en-US"/>
        </w:rPr>
      </w:pPr>
      <w:r w:rsidRPr="00451CC2">
        <w:rPr>
          <w:rFonts w:eastAsia="Calibri"/>
          <w:lang w:val="en-US"/>
        </w:rPr>
        <w:t xml:space="preserve">The </w:t>
      </w:r>
      <w:r w:rsidRPr="00451CC2">
        <w:rPr>
          <w:rFonts w:eastAsia="Calibri"/>
          <w:b/>
          <w:bCs/>
          <w:lang w:val="en-US"/>
        </w:rPr>
        <w:t>RRF investment</w:t>
      </w:r>
      <w:r w:rsidRPr="00451CC2">
        <w:rPr>
          <w:rFonts w:eastAsia="Calibri"/>
          <w:lang w:val="en-US"/>
        </w:rPr>
        <w:t xml:space="preserve"> </w:t>
      </w:r>
      <w:r w:rsidRPr="00451CC2">
        <w:rPr>
          <w:rFonts w:eastAsia="Calibri"/>
          <w:b/>
          <w:bCs/>
          <w:lang w:val="en-US"/>
        </w:rPr>
        <w:t>“Tracing of illegal buildings and construction using state-of-the-art technological means”</w:t>
      </w:r>
      <w:r w:rsidRPr="00451CC2">
        <w:rPr>
          <w:rFonts w:eastAsia="Calibri"/>
          <w:lang w:val="en-US"/>
        </w:rPr>
        <w:t xml:space="preserve"> is aiming to create an integrated system that will use new GIS and AI technologies combined to the existing information systems of the Technical Chamber of Greece (e.g. e-</w:t>
      </w:r>
      <w:proofErr w:type="spellStart"/>
      <w:r w:rsidRPr="00451CC2">
        <w:rPr>
          <w:rFonts w:eastAsia="Calibri"/>
          <w:lang w:val="en-US"/>
        </w:rPr>
        <w:t>adeies</w:t>
      </w:r>
      <w:proofErr w:type="spellEnd"/>
      <w:r w:rsidRPr="00451CC2">
        <w:rPr>
          <w:rFonts w:eastAsia="Calibri"/>
          <w:lang w:val="en-US"/>
        </w:rPr>
        <w:t xml:space="preserve">, Arbitrary Arrangement, Building Electronic Identity and Single Digital Map) and new and repeatedly high-resolution aerial photographs using manned aircraft and UAVs, in order to effectively detect and immediately control arbitrary constructions in appliance to Law 4495/17 and locally enforce and implement the relevant legislation. It thus becomes possible to detect and check if any arbitrary construction is being made. The implementation of the investment is expected to be completed by Q2 2026. </w:t>
      </w:r>
    </w:p>
    <w:p w14:paraId="7277886B" w14:textId="77777777" w:rsidR="00451CC2" w:rsidRPr="00451CC2" w:rsidRDefault="00451CC2" w:rsidP="00D31D31">
      <w:pPr>
        <w:rPr>
          <w:rFonts w:eastAsia="Calibri"/>
          <w:lang w:val="en-US"/>
        </w:rPr>
      </w:pPr>
      <w:r w:rsidRPr="00451CC2">
        <w:rPr>
          <w:rFonts w:eastAsia="Calibri"/>
          <w:lang w:val="en-US"/>
        </w:rPr>
        <w:t>The investment</w:t>
      </w:r>
      <w:r w:rsidRPr="00451CC2">
        <w:rPr>
          <w:rFonts w:eastAsia="Calibri"/>
          <w:b/>
          <w:lang w:val="en-US"/>
        </w:rPr>
        <w:t xml:space="preserve"> “</w:t>
      </w:r>
      <w:r w:rsidRPr="00451CC2">
        <w:rPr>
          <w:rFonts w:eastAsia="Calibri"/>
          <w:b/>
          <w:bCs/>
          <w:lang w:val="en-US"/>
        </w:rPr>
        <w:t>Drinking water supply projects to areas with water shortages</w:t>
      </w:r>
      <w:r w:rsidRPr="00451CC2">
        <w:rPr>
          <w:rFonts w:eastAsia="Calibri"/>
          <w:b/>
          <w:lang w:val="en-US"/>
        </w:rPr>
        <w:t>”</w:t>
      </w:r>
      <w:r w:rsidRPr="00451CC2">
        <w:rPr>
          <w:rFonts w:eastAsia="Calibri"/>
          <w:lang w:val="en-US"/>
        </w:rPr>
        <w:t xml:space="preserve"> is a funding driver for the implementation of water supply projects to parts of Greece that have prolonged water shortage issues which have been intense due to persistent drought occurrences over the past years. Those areas and the associated water supply projects (e.g. drinking water supply infrastructure, </w:t>
      </w:r>
      <w:proofErr w:type="spellStart"/>
      <w:r w:rsidRPr="00451CC2">
        <w:rPr>
          <w:rFonts w:eastAsia="Calibri"/>
          <w:lang w:val="en-US"/>
        </w:rPr>
        <w:t>modernisation</w:t>
      </w:r>
      <w:proofErr w:type="spellEnd"/>
      <w:r w:rsidRPr="00451CC2">
        <w:rPr>
          <w:rFonts w:eastAsia="Calibri"/>
          <w:lang w:val="en-US"/>
        </w:rPr>
        <w:t xml:space="preserve"> of water supply networks to reduce water leakages) will be selected upon the funding requests of water service providers, following a respective prioritization procedure.</w:t>
      </w:r>
    </w:p>
    <w:p w14:paraId="6EB9787D" w14:textId="77777777" w:rsidR="00451CC2" w:rsidRPr="00451CC2" w:rsidRDefault="00451CC2" w:rsidP="00D31D31">
      <w:pPr>
        <w:rPr>
          <w:rFonts w:eastAsia="Calibri"/>
          <w:lang w:val="en-US"/>
        </w:rPr>
      </w:pPr>
      <w:r w:rsidRPr="00451CC2">
        <w:rPr>
          <w:rFonts w:eastAsia="Calibri"/>
          <w:lang w:val="en-US"/>
        </w:rPr>
        <w:t xml:space="preserve">Regarding the implementation of investments </w:t>
      </w:r>
      <w:r w:rsidRPr="00451CC2">
        <w:rPr>
          <w:rFonts w:eastAsia="Calibri"/>
          <w:b/>
          <w:lang w:val="en-US"/>
        </w:rPr>
        <w:t>“</w:t>
      </w:r>
      <w:r w:rsidRPr="00451CC2">
        <w:rPr>
          <w:rFonts w:eastAsia="Calibri"/>
          <w:b/>
          <w:bCs/>
          <w:lang w:val="en-US"/>
        </w:rPr>
        <w:t>HEDNO – Overhead network upgrading in forest areas</w:t>
      </w:r>
      <w:r w:rsidRPr="00451CC2">
        <w:rPr>
          <w:rFonts w:eastAsia="Calibri"/>
          <w:b/>
          <w:lang w:val="en-US"/>
        </w:rPr>
        <w:t>”</w:t>
      </w:r>
      <w:r w:rsidRPr="00451CC2">
        <w:rPr>
          <w:rFonts w:eastAsia="Calibri"/>
          <w:lang w:val="en-US"/>
        </w:rPr>
        <w:t xml:space="preserve"> and </w:t>
      </w:r>
      <w:r w:rsidRPr="00451CC2">
        <w:rPr>
          <w:rFonts w:eastAsia="Calibri"/>
          <w:b/>
          <w:lang w:val="en-US"/>
        </w:rPr>
        <w:t>“</w:t>
      </w:r>
      <w:r w:rsidRPr="00451CC2">
        <w:rPr>
          <w:rFonts w:eastAsia="Calibri"/>
          <w:b/>
          <w:bCs/>
          <w:lang w:val="en-US"/>
        </w:rPr>
        <w:t>HEDNO – network upgrades aiming at enhancing resilience and protecting the environment</w:t>
      </w:r>
      <w:r w:rsidRPr="00451CC2">
        <w:rPr>
          <w:rFonts w:eastAsia="Calibri"/>
          <w:b/>
          <w:lang w:val="en-US"/>
        </w:rPr>
        <w:t xml:space="preserve">” </w:t>
      </w:r>
      <w:r w:rsidRPr="00451CC2">
        <w:rPr>
          <w:rFonts w:eastAsia="Calibri"/>
          <w:lang w:val="en-US"/>
        </w:rPr>
        <w:t>have been combined under a common milestone.</w:t>
      </w:r>
      <w:r w:rsidRPr="00451CC2">
        <w:rPr>
          <w:rFonts w:eastAsia="Calibri"/>
          <w:color w:val="EE0000"/>
          <w:lang w:val="en-US"/>
        </w:rPr>
        <w:t xml:space="preserve"> </w:t>
      </w:r>
      <w:r w:rsidRPr="00451CC2">
        <w:rPr>
          <w:rFonts w:eastAsia="Calibri"/>
          <w:lang w:val="en-US"/>
        </w:rPr>
        <w:t>It consists of a replacement of bare conductors in the overhead electricity distribution network (with covered ones or a twisted cable), installation of insulating covers, and undergrounding or relocation of the electricity distribution network passing through forest areas and city zones. The project shall improve the resilience and reliability of the network (energy quality indicators SAIDI, SAIFI) and better protect the environment (forests, wildlife) and city zones. As of April 2026, the progress of the physical scope is 67%, with 2.258 km of network installed out of a total of 3.372 km. The financial implementation rate is at 65</w:t>
      </w:r>
      <w:r w:rsidRPr="00451CC2">
        <w:rPr>
          <w:rFonts w:eastAsia="Calibri"/>
          <w:color w:val="EE0000"/>
          <w:lang w:val="en-US"/>
        </w:rPr>
        <w:t xml:space="preserve"> </w:t>
      </w:r>
      <w:r w:rsidRPr="00451CC2">
        <w:rPr>
          <w:rFonts w:eastAsia="Calibri"/>
          <w:lang w:val="en-US"/>
        </w:rPr>
        <w:t>%, with €64,872,531.37 allocated out of a total budget of €100.000.000). The implementation of the investment is expected to be completed by June 2026.</w:t>
      </w:r>
    </w:p>
    <w:p w14:paraId="5C504AEB" w14:textId="77777777" w:rsidR="00451CC2" w:rsidRPr="009D64B1" w:rsidRDefault="009D64B1" w:rsidP="0038201C">
      <w:pPr>
        <w:pStyle w:val="Heading2"/>
        <w:pBdr>
          <w:bottom w:val="single" w:sz="4" w:space="1" w:color="4F81BD" w:themeColor="accent1"/>
        </w:pBdr>
        <w:spacing w:before="1920"/>
        <w:rPr>
          <w:rFonts w:eastAsia="Calibri"/>
          <w:sz w:val="36"/>
          <w:lang w:val="en-US"/>
        </w:rPr>
      </w:pPr>
      <w:bookmarkStart w:id="62" w:name="_Toc227932501"/>
      <w:bookmarkStart w:id="63" w:name="_Toc228279094"/>
      <w:r>
        <w:rPr>
          <w:rFonts w:eastAsia="Calibri"/>
          <w:sz w:val="36"/>
          <w:lang w:val="en-US"/>
        </w:rPr>
        <w:lastRenderedPageBreak/>
        <w:t>M</w:t>
      </w:r>
      <w:r w:rsidRPr="009D64B1">
        <w:rPr>
          <w:rFonts w:eastAsia="Calibri"/>
          <w:sz w:val="36"/>
          <w:lang w:val="en-US"/>
        </w:rPr>
        <w:t xml:space="preserve">inistry of </w:t>
      </w:r>
      <w:r>
        <w:rPr>
          <w:rFonts w:eastAsia="Calibri"/>
          <w:sz w:val="36"/>
          <w:lang w:val="en-US"/>
        </w:rPr>
        <w:t>D</w:t>
      </w:r>
      <w:r w:rsidRPr="009D64B1">
        <w:rPr>
          <w:rFonts w:eastAsia="Calibri"/>
          <w:sz w:val="36"/>
          <w:lang w:val="en-US"/>
        </w:rPr>
        <w:t>evelopment</w:t>
      </w:r>
      <w:bookmarkEnd w:id="62"/>
      <w:bookmarkEnd w:id="63"/>
    </w:p>
    <w:tbl>
      <w:tblPr>
        <w:tblW w:w="8902" w:type="dxa"/>
        <w:jc w:val="center"/>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Layout w:type="fixed"/>
        <w:tblLook w:val="0600" w:firstRow="0" w:lastRow="0" w:firstColumn="0" w:lastColumn="0" w:noHBand="1" w:noVBand="1"/>
      </w:tblPr>
      <w:tblGrid>
        <w:gridCol w:w="2680"/>
        <w:gridCol w:w="1474"/>
        <w:gridCol w:w="1602"/>
        <w:gridCol w:w="1701"/>
        <w:gridCol w:w="1445"/>
      </w:tblGrid>
      <w:tr w:rsidR="00451CC2" w:rsidRPr="008A7CB8" w14:paraId="032AF392" w14:textId="77777777" w:rsidTr="00DA620A">
        <w:trPr>
          <w:trHeight w:val="170"/>
          <w:jc w:val="center"/>
        </w:trPr>
        <w:tc>
          <w:tcPr>
            <w:tcW w:w="2820" w:type="dxa"/>
            <w:shd w:val="clear" w:color="auto" w:fill="CFE2F3"/>
            <w:tcMar>
              <w:top w:w="0" w:type="dxa"/>
              <w:left w:w="100" w:type="dxa"/>
              <w:bottom w:w="0" w:type="dxa"/>
              <w:right w:w="100" w:type="dxa"/>
            </w:tcMar>
            <w:vAlign w:val="center"/>
          </w:tcPr>
          <w:p w14:paraId="0F570EC9" w14:textId="77777777" w:rsidR="00451CC2" w:rsidRPr="008A7CB8" w:rsidRDefault="00451CC2" w:rsidP="008A7CB8">
            <w:pPr>
              <w:pStyle w:val="Tabletext"/>
              <w:rPr>
                <w:rFonts w:eastAsia="Calibri"/>
                <w:b/>
              </w:rPr>
            </w:pPr>
            <w:r w:rsidRPr="008A7CB8">
              <w:rPr>
                <w:rFonts w:eastAsia="Calibri"/>
                <w:b/>
              </w:rPr>
              <w:t>REFORM / INVESTMENT</w:t>
            </w:r>
          </w:p>
        </w:tc>
        <w:tc>
          <w:tcPr>
            <w:tcW w:w="1545" w:type="dxa"/>
            <w:shd w:val="clear" w:color="auto" w:fill="CFE2F3"/>
            <w:tcMar>
              <w:top w:w="0" w:type="dxa"/>
              <w:left w:w="100" w:type="dxa"/>
              <w:bottom w:w="0" w:type="dxa"/>
              <w:right w:w="100" w:type="dxa"/>
            </w:tcMar>
            <w:vAlign w:val="center"/>
          </w:tcPr>
          <w:p w14:paraId="19DF00B3" w14:textId="77777777" w:rsidR="00451CC2" w:rsidRPr="008A7CB8" w:rsidRDefault="00451CC2" w:rsidP="008A7CB8">
            <w:pPr>
              <w:pStyle w:val="Tabletext"/>
              <w:rPr>
                <w:rFonts w:eastAsia="Calibri"/>
                <w:b/>
              </w:rPr>
            </w:pPr>
            <w:r w:rsidRPr="008A7CB8">
              <w:rPr>
                <w:rFonts w:eastAsia="Calibri"/>
                <w:b/>
              </w:rPr>
              <w:t>RRF / MFF</w:t>
            </w:r>
          </w:p>
        </w:tc>
        <w:tc>
          <w:tcPr>
            <w:tcW w:w="1680" w:type="dxa"/>
            <w:shd w:val="clear" w:color="auto" w:fill="CFE2F3"/>
            <w:tcMar>
              <w:top w:w="0" w:type="dxa"/>
              <w:left w:w="100" w:type="dxa"/>
              <w:bottom w:w="0" w:type="dxa"/>
              <w:right w:w="100" w:type="dxa"/>
            </w:tcMar>
            <w:vAlign w:val="center"/>
          </w:tcPr>
          <w:p w14:paraId="1B2A980A" w14:textId="77777777" w:rsidR="00451CC2" w:rsidRPr="008A7CB8" w:rsidRDefault="00451CC2" w:rsidP="008A7CB8">
            <w:pPr>
              <w:pStyle w:val="Tabletext"/>
              <w:rPr>
                <w:rFonts w:eastAsia="Calibri"/>
                <w:b/>
              </w:rPr>
            </w:pPr>
            <w:r w:rsidRPr="008A7CB8">
              <w:rPr>
                <w:rFonts w:eastAsia="Calibri"/>
                <w:b/>
              </w:rPr>
              <w:t>CSR</w:t>
            </w:r>
          </w:p>
        </w:tc>
        <w:tc>
          <w:tcPr>
            <w:tcW w:w="1785" w:type="dxa"/>
            <w:shd w:val="clear" w:color="auto" w:fill="CFE2F3"/>
            <w:tcMar>
              <w:top w:w="0" w:type="dxa"/>
              <w:left w:w="100" w:type="dxa"/>
              <w:bottom w:w="0" w:type="dxa"/>
              <w:right w:w="100" w:type="dxa"/>
            </w:tcMar>
            <w:vAlign w:val="center"/>
          </w:tcPr>
          <w:p w14:paraId="4C177646" w14:textId="77777777" w:rsidR="00451CC2" w:rsidRPr="008A7CB8" w:rsidRDefault="00451CC2" w:rsidP="008A7CB8">
            <w:pPr>
              <w:pStyle w:val="Tabletext"/>
              <w:rPr>
                <w:rFonts w:eastAsia="Calibri"/>
                <w:b/>
              </w:rPr>
            </w:pPr>
            <w:r w:rsidRPr="008A7CB8">
              <w:rPr>
                <w:rFonts w:eastAsia="Calibri"/>
                <w:b/>
              </w:rPr>
              <w:t>COMMON PRIORITIES</w:t>
            </w:r>
          </w:p>
        </w:tc>
        <w:tc>
          <w:tcPr>
            <w:tcW w:w="1515" w:type="dxa"/>
            <w:shd w:val="clear" w:color="auto" w:fill="CFE2F3"/>
            <w:tcMar>
              <w:top w:w="0" w:type="dxa"/>
              <w:left w:w="100" w:type="dxa"/>
              <w:bottom w:w="0" w:type="dxa"/>
              <w:right w:w="100" w:type="dxa"/>
            </w:tcMar>
            <w:vAlign w:val="center"/>
          </w:tcPr>
          <w:p w14:paraId="3B212F93" w14:textId="77777777" w:rsidR="00451CC2" w:rsidRPr="008A7CB8" w:rsidRDefault="00451CC2" w:rsidP="008A7CB8">
            <w:pPr>
              <w:pStyle w:val="Tabletext"/>
              <w:rPr>
                <w:rFonts w:eastAsia="Calibri"/>
                <w:b/>
              </w:rPr>
            </w:pPr>
            <w:r w:rsidRPr="008A7CB8">
              <w:rPr>
                <w:rFonts w:eastAsia="Calibri"/>
                <w:b/>
              </w:rPr>
              <w:t>On-track status</w:t>
            </w:r>
          </w:p>
        </w:tc>
      </w:tr>
      <w:tr w:rsidR="00451CC2" w:rsidRPr="008A7CB8" w14:paraId="0D6EA618" w14:textId="77777777" w:rsidTr="00DA620A">
        <w:trPr>
          <w:trHeight w:val="170"/>
          <w:jc w:val="center"/>
        </w:trPr>
        <w:tc>
          <w:tcPr>
            <w:tcW w:w="2820" w:type="dxa"/>
            <w:tcMar>
              <w:top w:w="0" w:type="dxa"/>
              <w:left w:w="100" w:type="dxa"/>
              <w:bottom w:w="0" w:type="dxa"/>
              <w:right w:w="100" w:type="dxa"/>
            </w:tcMar>
            <w:vAlign w:val="center"/>
          </w:tcPr>
          <w:p w14:paraId="21CEE15D" w14:textId="77777777" w:rsidR="00451CC2" w:rsidRPr="008A7CB8" w:rsidRDefault="00540671" w:rsidP="008A7CB8">
            <w:pPr>
              <w:pStyle w:val="Tabletext"/>
              <w:rPr>
                <w:rFonts w:eastAsia="Calibri"/>
              </w:rPr>
            </w:pPr>
            <w:r w:rsidRPr="00540671">
              <w:rPr>
                <w:rFonts w:eastAsia="Calibri"/>
                <w:b/>
              </w:rPr>
              <w:t>REFORM 1:</w:t>
            </w:r>
            <w:r w:rsidR="00451CC2" w:rsidRPr="008A7CB8">
              <w:rPr>
                <w:rFonts w:eastAsia="Calibri"/>
              </w:rPr>
              <w:t xml:space="preserve"> Actions for the simplification of the business environment and its upgrading in quality and safety</w:t>
            </w:r>
          </w:p>
        </w:tc>
        <w:tc>
          <w:tcPr>
            <w:tcW w:w="1545" w:type="dxa"/>
            <w:tcMar>
              <w:top w:w="0" w:type="dxa"/>
              <w:left w:w="100" w:type="dxa"/>
              <w:bottom w:w="0" w:type="dxa"/>
              <w:right w:w="100" w:type="dxa"/>
            </w:tcMar>
            <w:vAlign w:val="center"/>
          </w:tcPr>
          <w:p w14:paraId="18A85E8B" w14:textId="77777777" w:rsidR="00451CC2" w:rsidRPr="008A7CB8" w:rsidRDefault="00451CC2" w:rsidP="008A7CB8">
            <w:pPr>
              <w:pStyle w:val="Tabletext"/>
              <w:rPr>
                <w:rFonts w:eastAsia="Calibri"/>
              </w:rPr>
            </w:pPr>
            <w:r w:rsidRPr="008A7CB8">
              <w:rPr>
                <w:rFonts w:eastAsia="Calibri"/>
              </w:rPr>
              <w:t>RRF 16543</w:t>
            </w:r>
          </w:p>
        </w:tc>
        <w:tc>
          <w:tcPr>
            <w:tcW w:w="1680" w:type="dxa"/>
            <w:tcMar>
              <w:top w:w="0" w:type="dxa"/>
              <w:left w:w="100" w:type="dxa"/>
              <w:bottom w:w="0" w:type="dxa"/>
              <w:right w:w="100" w:type="dxa"/>
            </w:tcMar>
            <w:vAlign w:val="center"/>
          </w:tcPr>
          <w:p w14:paraId="0E3FB5FE" w14:textId="77777777" w:rsidR="00451CC2" w:rsidRPr="008A7CB8" w:rsidRDefault="00451CC2" w:rsidP="008A7CB8">
            <w:pPr>
              <w:pStyle w:val="Tabletext"/>
              <w:rPr>
                <w:rFonts w:eastAsia="Calibri"/>
              </w:rPr>
            </w:pPr>
            <w:r w:rsidRPr="008A7CB8">
              <w:rPr>
                <w:rFonts w:eastAsia="Calibri"/>
              </w:rPr>
              <w:t>2025 CSR 3.1</w:t>
            </w:r>
          </w:p>
          <w:p w14:paraId="3D358D4B" w14:textId="77777777" w:rsidR="00451CC2" w:rsidRPr="008A7CB8" w:rsidRDefault="00451CC2" w:rsidP="008A7CB8">
            <w:pPr>
              <w:pStyle w:val="Tabletext"/>
              <w:rPr>
                <w:rFonts w:eastAsia="Calibri"/>
              </w:rPr>
            </w:pPr>
            <w:r w:rsidRPr="008A7CB8">
              <w:rPr>
                <w:rFonts w:eastAsia="Calibri"/>
              </w:rPr>
              <w:t>2025 CSR 3.4</w:t>
            </w:r>
          </w:p>
          <w:p w14:paraId="4A7A3CAE" w14:textId="1A14BFEA" w:rsidR="00451CC2" w:rsidRPr="008A7CB8" w:rsidRDefault="00451CC2" w:rsidP="008A7CB8">
            <w:pPr>
              <w:pStyle w:val="Tabletext"/>
              <w:rPr>
                <w:rFonts w:eastAsia="Calibri"/>
              </w:rPr>
            </w:pPr>
            <w:r w:rsidRPr="008A7CB8">
              <w:rPr>
                <w:rFonts w:eastAsia="Calibri"/>
              </w:rPr>
              <w:t>2024 CSR 1.7</w:t>
            </w:r>
            <w:r w:rsidRPr="008A7CB8">
              <w:rPr>
                <w:rFonts w:eastAsia="Calibri"/>
              </w:rPr>
              <w:br/>
              <w:t>2020 CSR 3.3</w:t>
            </w:r>
            <w:r w:rsidRPr="008A7CB8">
              <w:rPr>
                <w:rFonts w:eastAsia="Calibri"/>
              </w:rPr>
              <w:br/>
              <w:t>2020 CSR 3.9</w:t>
            </w:r>
          </w:p>
        </w:tc>
        <w:tc>
          <w:tcPr>
            <w:tcW w:w="1785" w:type="dxa"/>
            <w:tcMar>
              <w:top w:w="0" w:type="dxa"/>
              <w:left w:w="100" w:type="dxa"/>
              <w:bottom w:w="0" w:type="dxa"/>
              <w:right w:w="100" w:type="dxa"/>
            </w:tcMar>
            <w:vAlign w:val="center"/>
          </w:tcPr>
          <w:p w14:paraId="4E76AF29" w14:textId="77777777" w:rsidR="00451CC2" w:rsidRPr="008A7CB8" w:rsidRDefault="00451CC2" w:rsidP="008A7CB8">
            <w:pPr>
              <w:pStyle w:val="Tabletext"/>
              <w:rPr>
                <w:rFonts w:eastAsia="Calibri"/>
              </w:rPr>
            </w:pPr>
            <w:r w:rsidRPr="008A7CB8">
              <w:rPr>
                <w:rFonts w:eastAsia="Calibri"/>
              </w:rPr>
              <w:t>Social and Economic resilience</w:t>
            </w:r>
          </w:p>
          <w:p w14:paraId="3A2A8A77" w14:textId="77777777" w:rsidR="00451CC2" w:rsidRPr="008A7CB8" w:rsidRDefault="00451CC2" w:rsidP="008A7CB8">
            <w:pPr>
              <w:pStyle w:val="Tabletext"/>
              <w:rPr>
                <w:rFonts w:eastAsia="Calibri"/>
              </w:rPr>
            </w:pPr>
            <w:r w:rsidRPr="008A7CB8">
              <w:rPr>
                <w:rFonts w:eastAsia="Calibri"/>
              </w:rPr>
              <w:t xml:space="preserve"> </w:t>
            </w:r>
          </w:p>
        </w:tc>
        <w:tc>
          <w:tcPr>
            <w:tcW w:w="1515" w:type="dxa"/>
            <w:tcMar>
              <w:top w:w="0" w:type="dxa"/>
              <w:left w:w="100" w:type="dxa"/>
              <w:bottom w:w="0" w:type="dxa"/>
              <w:right w:w="100" w:type="dxa"/>
            </w:tcMar>
            <w:vAlign w:val="center"/>
          </w:tcPr>
          <w:p w14:paraId="0D0ED784" w14:textId="552845A9" w:rsidR="00451CC2" w:rsidRPr="008A7CB8" w:rsidRDefault="00451CC2" w:rsidP="008A7CB8">
            <w:pPr>
              <w:pStyle w:val="Tabletext"/>
              <w:rPr>
                <w:rFonts w:eastAsia="Calibri"/>
              </w:rPr>
            </w:pPr>
            <w:r w:rsidRPr="008A7CB8">
              <w:rPr>
                <w:rFonts w:eastAsia="Calibri"/>
              </w:rPr>
              <w:t>On</w:t>
            </w:r>
            <w:r w:rsidR="00A802F4">
              <w:rPr>
                <w:rFonts w:eastAsia="Calibri"/>
              </w:rPr>
              <w:t xml:space="preserve"> </w:t>
            </w:r>
            <w:r w:rsidRPr="008A7CB8">
              <w:rPr>
                <w:rFonts w:eastAsia="Calibri"/>
              </w:rPr>
              <w:t>track</w:t>
            </w:r>
          </w:p>
        </w:tc>
      </w:tr>
      <w:tr w:rsidR="00451CC2" w:rsidRPr="008A7CB8" w14:paraId="3486F390" w14:textId="77777777" w:rsidTr="00DA620A">
        <w:trPr>
          <w:trHeight w:val="170"/>
          <w:jc w:val="center"/>
        </w:trPr>
        <w:tc>
          <w:tcPr>
            <w:tcW w:w="2820" w:type="dxa"/>
            <w:tcMar>
              <w:top w:w="0" w:type="dxa"/>
              <w:left w:w="100" w:type="dxa"/>
              <w:bottom w:w="0" w:type="dxa"/>
              <w:right w:w="100" w:type="dxa"/>
            </w:tcMar>
            <w:vAlign w:val="center"/>
          </w:tcPr>
          <w:p w14:paraId="68E6909A" w14:textId="77777777" w:rsidR="00451CC2" w:rsidRPr="008A7CB8" w:rsidRDefault="00540671" w:rsidP="008A7CB8">
            <w:pPr>
              <w:pStyle w:val="Tabletext"/>
              <w:rPr>
                <w:rFonts w:eastAsia="Calibri"/>
              </w:rPr>
            </w:pPr>
            <w:r w:rsidRPr="00540671">
              <w:rPr>
                <w:rFonts w:eastAsia="Calibri"/>
                <w:b/>
              </w:rPr>
              <w:t>REFORM 2:</w:t>
            </w:r>
            <w:r w:rsidR="00451CC2" w:rsidRPr="008A7CB8">
              <w:rPr>
                <w:rFonts w:eastAsia="Calibri"/>
              </w:rPr>
              <w:t xml:space="preserve"> Amendment of the legal framework for the attraction of strategic investment</w:t>
            </w:r>
          </w:p>
          <w:p w14:paraId="70465263" w14:textId="77777777" w:rsidR="00451CC2" w:rsidRPr="008A7CB8" w:rsidRDefault="00451CC2" w:rsidP="008A7CB8">
            <w:pPr>
              <w:pStyle w:val="Tabletext"/>
              <w:rPr>
                <w:rFonts w:eastAsia="Calibri"/>
              </w:rPr>
            </w:pPr>
            <w:r w:rsidRPr="008A7CB8">
              <w:rPr>
                <w:rFonts w:eastAsia="Calibri"/>
              </w:rPr>
              <w:t xml:space="preserve"> </w:t>
            </w:r>
          </w:p>
        </w:tc>
        <w:tc>
          <w:tcPr>
            <w:tcW w:w="1545" w:type="dxa"/>
            <w:tcMar>
              <w:top w:w="0" w:type="dxa"/>
              <w:left w:w="100" w:type="dxa"/>
              <w:bottom w:w="0" w:type="dxa"/>
              <w:right w:w="100" w:type="dxa"/>
            </w:tcMar>
            <w:vAlign w:val="center"/>
          </w:tcPr>
          <w:p w14:paraId="54D39620" w14:textId="77777777" w:rsidR="00451CC2" w:rsidRPr="008A7CB8" w:rsidRDefault="00451CC2" w:rsidP="008A7CB8">
            <w:pPr>
              <w:pStyle w:val="Tabletext"/>
              <w:rPr>
                <w:rFonts w:eastAsia="Calibri"/>
              </w:rPr>
            </w:pPr>
            <w:r w:rsidRPr="008A7CB8">
              <w:rPr>
                <w:rFonts w:eastAsia="Calibri"/>
              </w:rPr>
              <w:t>RRF 16593</w:t>
            </w:r>
          </w:p>
        </w:tc>
        <w:tc>
          <w:tcPr>
            <w:tcW w:w="1680" w:type="dxa"/>
            <w:tcMar>
              <w:top w:w="0" w:type="dxa"/>
              <w:left w:w="100" w:type="dxa"/>
              <w:bottom w:w="0" w:type="dxa"/>
              <w:right w:w="100" w:type="dxa"/>
            </w:tcMar>
            <w:vAlign w:val="center"/>
          </w:tcPr>
          <w:p w14:paraId="543334B2" w14:textId="5D22B8B5" w:rsidR="00451CC2" w:rsidRPr="008A7CB8" w:rsidRDefault="00451CC2" w:rsidP="008A7CB8">
            <w:pPr>
              <w:pStyle w:val="Tabletext"/>
              <w:rPr>
                <w:rFonts w:eastAsia="Calibri"/>
              </w:rPr>
            </w:pPr>
            <w:r w:rsidRPr="008A7CB8">
              <w:rPr>
                <w:rFonts w:eastAsia="Calibri"/>
              </w:rPr>
              <w:t>2024 CSR 1.7</w:t>
            </w:r>
            <w:r w:rsidRPr="008A7CB8">
              <w:rPr>
                <w:rFonts w:eastAsia="Calibri"/>
              </w:rPr>
              <w:br/>
              <w:t>2023 CSR 4.3</w:t>
            </w:r>
            <w:r w:rsidRPr="008A7CB8">
              <w:rPr>
                <w:rFonts w:eastAsia="Calibri"/>
              </w:rPr>
              <w:br/>
              <w:t>2022 CSR 4.2</w:t>
            </w:r>
            <w:r w:rsidRPr="008A7CB8">
              <w:rPr>
                <w:rFonts w:eastAsia="Calibri"/>
              </w:rPr>
              <w:br/>
              <w:t>2022 CSR 4.5</w:t>
            </w:r>
            <w:r w:rsidRPr="008A7CB8">
              <w:rPr>
                <w:rFonts w:eastAsia="Calibri"/>
              </w:rPr>
              <w:br/>
              <w:t>2020 CSR 3.3</w:t>
            </w:r>
            <w:r w:rsidRPr="008A7CB8">
              <w:rPr>
                <w:rFonts w:eastAsia="Calibri"/>
              </w:rPr>
              <w:br/>
              <w:t>2019 CSR 2.2</w:t>
            </w:r>
          </w:p>
        </w:tc>
        <w:tc>
          <w:tcPr>
            <w:tcW w:w="1785" w:type="dxa"/>
            <w:tcMar>
              <w:top w:w="0" w:type="dxa"/>
              <w:left w:w="100" w:type="dxa"/>
              <w:bottom w:w="0" w:type="dxa"/>
              <w:right w:w="100" w:type="dxa"/>
            </w:tcMar>
            <w:vAlign w:val="center"/>
          </w:tcPr>
          <w:p w14:paraId="4B798028" w14:textId="77777777" w:rsidR="00451CC2" w:rsidRPr="008A7CB8" w:rsidRDefault="00451CC2" w:rsidP="008A7CB8">
            <w:pPr>
              <w:pStyle w:val="Tabletext"/>
              <w:rPr>
                <w:rFonts w:eastAsia="Calibri"/>
              </w:rPr>
            </w:pPr>
            <w:r w:rsidRPr="008A7CB8">
              <w:rPr>
                <w:rFonts w:eastAsia="Calibri"/>
              </w:rPr>
              <w:t>Social and Economic resilience</w:t>
            </w:r>
          </w:p>
        </w:tc>
        <w:tc>
          <w:tcPr>
            <w:tcW w:w="1515" w:type="dxa"/>
            <w:tcMar>
              <w:top w:w="0" w:type="dxa"/>
              <w:left w:w="100" w:type="dxa"/>
              <w:bottom w:w="0" w:type="dxa"/>
              <w:right w:w="100" w:type="dxa"/>
            </w:tcMar>
            <w:vAlign w:val="center"/>
          </w:tcPr>
          <w:p w14:paraId="0F36632A" w14:textId="343460DA" w:rsidR="00451CC2" w:rsidRPr="008A7CB8" w:rsidRDefault="00451CC2" w:rsidP="008A7CB8">
            <w:pPr>
              <w:pStyle w:val="Tabletext"/>
              <w:rPr>
                <w:rFonts w:eastAsia="Calibri"/>
              </w:rPr>
            </w:pPr>
            <w:r w:rsidRPr="008A7CB8">
              <w:rPr>
                <w:rFonts w:eastAsia="Calibri"/>
              </w:rPr>
              <w:t>On</w:t>
            </w:r>
            <w:r w:rsidR="00A802F4">
              <w:rPr>
                <w:rFonts w:eastAsia="Calibri"/>
              </w:rPr>
              <w:t xml:space="preserve"> </w:t>
            </w:r>
            <w:r w:rsidRPr="008A7CB8">
              <w:rPr>
                <w:rFonts w:eastAsia="Calibri"/>
              </w:rPr>
              <w:t>track</w:t>
            </w:r>
          </w:p>
        </w:tc>
      </w:tr>
      <w:tr w:rsidR="00451CC2" w:rsidRPr="008A7CB8" w14:paraId="4810C30F" w14:textId="77777777" w:rsidTr="00DA620A">
        <w:trPr>
          <w:trHeight w:val="170"/>
          <w:jc w:val="center"/>
        </w:trPr>
        <w:tc>
          <w:tcPr>
            <w:tcW w:w="2820" w:type="dxa"/>
            <w:tcMar>
              <w:top w:w="0" w:type="dxa"/>
              <w:left w:w="100" w:type="dxa"/>
              <w:bottom w:w="0" w:type="dxa"/>
              <w:right w:w="100" w:type="dxa"/>
            </w:tcMar>
            <w:vAlign w:val="center"/>
          </w:tcPr>
          <w:p w14:paraId="383AA2B8" w14:textId="77777777" w:rsidR="00451CC2" w:rsidRPr="008A7CB8" w:rsidRDefault="00540671" w:rsidP="008A7CB8">
            <w:pPr>
              <w:pStyle w:val="Tabletext"/>
              <w:rPr>
                <w:rFonts w:eastAsia="Calibri"/>
              </w:rPr>
            </w:pPr>
            <w:r w:rsidRPr="00540671">
              <w:rPr>
                <w:rFonts w:eastAsia="Calibri"/>
                <w:b/>
              </w:rPr>
              <w:t>REFORM 3:</w:t>
            </w:r>
            <w:r w:rsidR="00451CC2" w:rsidRPr="008A7CB8">
              <w:rPr>
                <w:rFonts w:eastAsia="Calibri"/>
              </w:rPr>
              <w:t xml:space="preserve"> Extroversion of the Research and Innovation Ecosystem of Greece</w:t>
            </w:r>
          </w:p>
        </w:tc>
        <w:tc>
          <w:tcPr>
            <w:tcW w:w="1545" w:type="dxa"/>
            <w:tcMar>
              <w:top w:w="0" w:type="dxa"/>
              <w:left w:w="100" w:type="dxa"/>
              <w:bottom w:w="0" w:type="dxa"/>
              <w:right w:w="100" w:type="dxa"/>
            </w:tcMar>
            <w:vAlign w:val="center"/>
          </w:tcPr>
          <w:p w14:paraId="3C814AA8" w14:textId="77777777" w:rsidR="00451CC2" w:rsidRPr="008A7CB8" w:rsidRDefault="00451CC2" w:rsidP="008A7CB8">
            <w:pPr>
              <w:pStyle w:val="Tabletext"/>
              <w:rPr>
                <w:rFonts w:eastAsia="Calibri"/>
              </w:rPr>
            </w:pPr>
            <w:r w:rsidRPr="008A7CB8">
              <w:rPr>
                <w:rFonts w:eastAsia="Calibri"/>
              </w:rPr>
              <w:t>RRF 16621</w:t>
            </w:r>
          </w:p>
        </w:tc>
        <w:tc>
          <w:tcPr>
            <w:tcW w:w="1680" w:type="dxa"/>
            <w:tcMar>
              <w:top w:w="0" w:type="dxa"/>
              <w:left w:w="100" w:type="dxa"/>
              <w:bottom w:w="0" w:type="dxa"/>
              <w:right w:w="100" w:type="dxa"/>
            </w:tcMar>
            <w:vAlign w:val="center"/>
          </w:tcPr>
          <w:p w14:paraId="4719D264" w14:textId="154CA4CF" w:rsidR="00451CC2" w:rsidRPr="008A7CB8" w:rsidRDefault="00451CC2" w:rsidP="008A7CB8">
            <w:pPr>
              <w:pStyle w:val="Tabletext"/>
              <w:rPr>
                <w:rFonts w:eastAsia="Calibri"/>
              </w:rPr>
            </w:pPr>
            <w:r w:rsidRPr="008A7CB8">
              <w:rPr>
                <w:rFonts w:eastAsia="Calibri"/>
              </w:rPr>
              <w:t>2024 CSR 1.7</w:t>
            </w:r>
            <w:r w:rsidRPr="008A7CB8">
              <w:rPr>
                <w:rFonts w:eastAsia="Calibri"/>
              </w:rPr>
              <w:br/>
              <w:t>2020 CSR 3.3</w:t>
            </w:r>
            <w:r w:rsidRPr="008A7CB8">
              <w:rPr>
                <w:rFonts w:eastAsia="Calibri"/>
              </w:rPr>
              <w:br/>
              <w:t>2020 CSR 3.9</w:t>
            </w:r>
            <w:r w:rsidRPr="008A7CB8">
              <w:rPr>
                <w:rFonts w:eastAsia="Calibri"/>
              </w:rPr>
              <w:br/>
              <w:t>2019 CSR 2.3</w:t>
            </w:r>
            <w:r w:rsidRPr="008A7CB8">
              <w:rPr>
                <w:rFonts w:eastAsia="Calibri"/>
              </w:rPr>
              <w:br/>
              <w:t>2019 CSR 2.4</w:t>
            </w:r>
          </w:p>
        </w:tc>
        <w:tc>
          <w:tcPr>
            <w:tcW w:w="1785" w:type="dxa"/>
            <w:tcMar>
              <w:top w:w="0" w:type="dxa"/>
              <w:left w:w="100" w:type="dxa"/>
              <w:bottom w:w="0" w:type="dxa"/>
              <w:right w:w="100" w:type="dxa"/>
            </w:tcMar>
            <w:vAlign w:val="center"/>
          </w:tcPr>
          <w:p w14:paraId="44A92B7B" w14:textId="77777777" w:rsidR="00451CC2" w:rsidRPr="008A7CB8" w:rsidRDefault="00451CC2" w:rsidP="008A7CB8">
            <w:pPr>
              <w:pStyle w:val="Tabletext"/>
              <w:rPr>
                <w:rFonts w:eastAsia="Calibri"/>
              </w:rPr>
            </w:pPr>
            <w:r w:rsidRPr="008A7CB8">
              <w:rPr>
                <w:rFonts w:eastAsia="Calibri"/>
              </w:rPr>
              <w:t>Social and Economic resilience</w:t>
            </w:r>
          </w:p>
        </w:tc>
        <w:tc>
          <w:tcPr>
            <w:tcW w:w="1515" w:type="dxa"/>
            <w:tcMar>
              <w:top w:w="0" w:type="dxa"/>
              <w:left w:w="100" w:type="dxa"/>
              <w:bottom w:w="0" w:type="dxa"/>
              <w:right w:w="100" w:type="dxa"/>
            </w:tcMar>
            <w:vAlign w:val="center"/>
          </w:tcPr>
          <w:p w14:paraId="28F5EFC4" w14:textId="77777777" w:rsidR="00451CC2" w:rsidRPr="008A7CB8" w:rsidRDefault="00451CC2" w:rsidP="008A7CB8">
            <w:pPr>
              <w:pStyle w:val="Tabletext"/>
              <w:rPr>
                <w:rFonts w:eastAsia="Calibri"/>
              </w:rPr>
            </w:pPr>
            <w:r w:rsidRPr="008A7CB8">
              <w:rPr>
                <w:rFonts w:eastAsia="Calibri"/>
              </w:rPr>
              <w:t>Not Completed</w:t>
            </w:r>
          </w:p>
          <w:p w14:paraId="7DFC031F" w14:textId="77777777" w:rsidR="00451CC2" w:rsidRPr="008A7CB8" w:rsidRDefault="00451CC2" w:rsidP="008A7CB8">
            <w:pPr>
              <w:pStyle w:val="Tabletext"/>
              <w:rPr>
                <w:rFonts w:eastAsia="Calibri"/>
              </w:rPr>
            </w:pPr>
            <w:r w:rsidRPr="008A7CB8">
              <w:rPr>
                <w:rFonts w:eastAsia="Calibri"/>
              </w:rPr>
              <w:t xml:space="preserve"> </w:t>
            </w:r>
          </w:p>
        </w:tc>
      </w:tr>
      <w:tr w:rsidR="00451CC2" w:rsidRPr="008A7CB8" w14:paraId="23F17071" w14:textId="77777777" w:rsidTr="00DA620A">
        <w:trPr>
          <w:trHeight w:val="170"/>
          <w:jc w:val="center"/>
        </w:trPr>
        <w:tc>
          <w:tcPr>
            <w:tcW w:w="2820" w:type="dxa"/>
            <w:tcMar>
              <w:top w:w="0" w:type="dxa"/>
              <w:left w:w="100" w:type="dxa"/>
              <w:bottom w:w="0" w:type="dxa"/>
              <w:right w:w="100" w:type="dxa"/>
            </w:tcMar>
            <w:vAlign w:val="center"/>
          </w:tcPr>
          <w:p w14:paraId="4617E799" w14:textId="77777777" w:rsidR="00451CC2" w:rsidRPr="008A7CB8" w:rsidRDefault="00540671" w:rsidP="008A7CB8">
            <w:pPr>
              <w:pStyle w:val="Tabletext"/>
              <w:rPr>
                <w:rFonts w:eastAsia="Calibri"/>
              </w:rPr>
            </w:pPr>
            <w:r w:rsidRPr="00540671">
              <w:rPr>
                <w:rFonts w:eastAsia="Calibri"/>
                <w:b/>
              </w:rPr>
              <w:t>REFORM 4:</w:t>
            </w:r>
            <w:r w:rsidR="00451CC2" w:rsidRPr="008A7CB8">
              <w:rPr>
                <w:rFonts w:eastAsia="Calibri"/>
              </w:rPr>
              <w:t xml:space="preserve"> Combating illegal trade and protecting intellectual property</w:t>
            </w:r>
          </w:p>
        </w:tc>
        <w:tc>
          <w:tcPr>
            <w:tcW w:w="1545" w:type="dxa"/>
            <w:tcMar>
              <w:top w:w="0" w:type="dxa"/>
              <w:left w:w="100" w:type="dxa"/>
              <w:bottom w:w="0" w:type="dxa"/>
              <w:right w:w="100" w:type="dxa"/>
            </w:tcMar>
            <w:vAlign w:val="center"/>
          </w:tcPr>
          <w:p w14:paraId="1E1CA78F" w14:textId="77777777" w:rsidR="00451CC2" w:rsidRPr="008A7CB8" w:rsidRDefault="00451CC2" w:rsidP="008A7CB8">
            <w:pPr>
              <w:pStyle w:val="Tabletext"/>
              <w:rPr>
                <w:rFonts w:eastAsia="Calibri"/>
              </w:rPr>
            </w:pPr>
            <w:r w:rsidRPr="008A7CB8">
              <w:rPr>
                <w:rFonts w:eastAsia="Calibri"/>
              </w:rPr>
              <w:t>RRF 16703</w:t>
            </w:r>
          </w:p>
        </w:tc>
        <w:tc>
          <w:tcPr>
            <w:tcW w:w="1680" w:type="dxa"/>
            <w:tcMar>
              <w:top w:w="0" w:type="dxa"/>
              <w:left w:w="100" w:type="dxa"/>
              <w:bottom w:w="0" w:type="dxa"/>
              <w:right w:w="100" w:type="dxa"/>
            </w:tcMar>
            <w:vAlign w:val="center"/>
          </w:tcPr>
          <w:p w14:paraId="4C54DDA8" w14:textId="4FBC9213" w:rsidR="00451CC2" w:rsidRPr="008A7CB8" w:rsidRDefault="00451CC2" w:rsidP="008A7CB8">
            <w:pPr>
              <w:pStyle w:val="Tabletext"/>
              <w:rPr>
                <w:rFonts w:eastAsia="Calibri"/>
              </w:rPr>
            </w:pPr>
            <w:r w:rsidRPr="008A7CB8">
              <w:rPr>
                <w:rFonts w:eastAsia="Calibri"/>
              </w:rPr>
              <w:t>2024 CSR 1.7</w:t>
            </w:r>
            <w:r w:rsidRPr="008A7CB8">
              <w:rPr>
                <w:rFonts w:eastAsia="Calibri"/>
              </w:rPr>
              <w:br/>
              <w:t>2020 CSR 3.3</w:t>
            </w:r>
            <w:r w:rsidRPr="008A7CB8">
              <w:rPr>
                <w:rFonts w:eastAsia="Calibri"/>
              </w:rPr>
              <w:br/>
              <w:t>2020 CSR 3.9</w:t>
            </w:r>
            <w:r w:rsidRPr="008A7CB8">
              <w:rPr>
                <w:rFonts w:eastAsia="Calibri"/>
              </w:rPr>
              <w:br/>
              <w:t>2019 CSR 2.3</w:t>
            </w:r>
          </w:p>
        </w:tc>
        <w:tc>
          <w:tcPr>
            <w:tcW w:w="1785" w:type="dxa"/>
            <w:tcMar>
              <w:top w:w="0" w:type="dxa"/>
              <w:left w:w="100" w:type="dxa"/>
              <w:bottom w:w="0" w:type="dxa"/>
              <w:right w:w="100" w:type="dxa"/>
            </w:tcMar>
            <w:vAlign w:val="center"/>
          </w:tcPr>
          <w:p w14:paraId="6EC86586" w14:textId="77777777" w:rsidR="00451CC2" w:rsidRPr="008A7CB8" w:rsidRDefault="00451CC2" w:rsidP="008A7CB8">
            <w:pPr>
              <w:pStyle w:val="Tabletext"/>
              <w:rPr>
                <w:rFonts w:eastAsia="Calibri"/>
              </w:rPr>
            </w:pPr>
            <w:r w:rsidRPr="008A7CB8">
              <w:rPr>
                <w:rFonts w:eastAsia="Calibri"/>
              </w:rPr>
              <w:t>Social and Economic resilience</w:t>
            </w:r>
          </w:p>
        </w:tc>
        <w:tc>
          <w:tcPr>
            <w:tcW w:w="1515" w:type="dxa"/>
            <w:tcMar>
              <w:top w:w="0" w:type="dxa"/>
              <w:left w:w="100" w:type="dxa"/>
              <w:bottom w:w="0" w:type="dxa"/>
              <w:right w:w="100" w:type="dxa"/>
            </w:tcMar>
            <w:vAlign w:val="center"/>
          </w:tcPr>
          <w:p w14:paraId="18EBAA50" w14:textId="77777777" w:rsidR="00451CC2" w:rsidRPr="008A7CB8" w:rsidRDefault="00451CC2" w:rsidP="008A7CB8">
            <w:pPr>
              <w:pStyle w:val="Tabletext"/>
              <w:rPr>
                <w:rFonts w:eastAsia="Calibri"/>
              </w:rPr>
            </w:pPr>
            <w:r w:rsidRPr="008A7CB8">
              <w:rPr>
                <w:rFonts w:eastAsia="Calibri"/>
              </w:rPr>
              <w:t>Completed</w:t>
            </w:r>
          </w:p>
        </w:tc>
      </w:tr>
      <w:tr w:rsidR="00451CC2" w:rsidRPr="008A7CB8" w14:paraId="70FC2E0D" w14:textId="77777777" w:rsidTr="00DA620A">
        <w:trPr>
          <w:trHeight w:val="170"/>
          <w:jc w:val="center"/>
        </w:trPr>
        <w:tc>
          <w:tcPr>
            <w:tcW w:w="2820" w:type="dxa"/>
            <w:tcMar>
              <w:top w:w="0" w:type="dxa"/>
              <w:left w:w="100" w:type="dxa"/>
              <w:bottom w:w="0" w:type="dxa"/>
              <w:right w:w="100" w:type="dxa"/>
            </w:tcMar>
            <w:vAlign w:val="center"/>
          </w:tcPr>
          <w:p w14:paraId="00736D6E" w14:textId="77777777" w:rsidR="00451CC2" w:rsidRPr="008A7CB8" w:rsidRDefault="00540671" w:rsidP="008A7CB8">
            <w:pPr>
              <w:pStyle w:val="Tabletext"/>
              <w:rPr>
                <w:rFonts w:eastAsia="Calibri"/>
              </w:rPr>
            </w:pPr>
            <w:r w:rsidRPr="00540671">
              <w:rPr>
                <w:rFonts w:eastAsia="Calibri"/>
                <w:b/>
              </w:rPr>
              <w:t>REFORM 5:</w:t>
            </w:r>
            <w:r w:rsidR="00451CC2" w:rsidRPr="008A7CB8">
              <w:rPr>
                <w:rFonts w:eastAsia="Calibri"/>
              </w:rPr>
              <w:t xml:space="preserve"> Professionalization of Public Procurement domain</w:t>
            </w:r>
          </w:p>
        </w:tc>
        <w:tc>
          <w:tcPr>
            <w:tcW w:w="1545" w:type="dxa"/>
            <w:tcMar>
              <w:top w:w="0" w:type="dxa"/>
              <w:left w:w="100" w:type="dxa"/>
              <w:bottom w:w="0" w:type="dxa"/>
              <w:right w:w="100" w:type="dxa"/>
            </w:tcMar>
            <w:vAlign w:val="center"/>
          </w:tcPr>
          <w:p w14:paraId="6739C849" w14:textId="77777777" w:rsidR="00451CC2" w:rsidRPr="008A7CB8" w:rsidRDefault="00451CC2" w:rsidP="008A7CB8">
            <w:pPr>
              <w:pStyle w:val="Tabletext"/>
              <w:rPr>
                <w:rFonts w:eastAsia="Calibri"/>
              </w:rPr>
            </w:pPr>
            <w:r w:rsidRPr="008A7CB8">
              <w:rPr>
                <w:rFonts w:eastAsia="Calibri"/>
              </w:rPr>
              <w:t>RRF 16711</w:t>
            </w:r>
          </w:p>
        </w:tc>
        <w:tc>
          <w:tcPr>
            <w:tcW w:w="1680" w:type="dxa"/>
            <w:tcMar>
              <w:top w:w="0" w:type="dxa"/>
              <w:left w:w="100" w:type="dxa"/>
              <w:bottom w:w="0" w:type="dxa"/>
              <w:right w:w="100" w:type="dxa"/>
            </w:tcMar>
            <w:vAlign w:val="center"/>
          </w:tcPr>
          <w:p w14:paraId="2EC5829F" w14:textId="4DA43870" w:rsidR="00451CC2" w:rsidRPr="008A7CB8" w:rsidRDefault="00451CC2" w:rsidP="008A7CB8">
            <w:pPr>
              <w:pStyle w:val="Tabletext"/>
              <w:rPr>
                <w:rFonts w:eastAsia="Calibri"/>
              </w:rPr>
            </w:pPr>
            <w:r w:rsidRPr="008A7CB8">
              <w:rPr>
                <w:rFonts w:eastAsia="Calibri"/>
              </w:rPr>
              <w:t>2024 CSR 1.5</w:t>
            </w:r>
            <w:r w:rsidRPr="008A7CB8">
              <w:rPr>
                <w:rFonts w:eastAsia="Calibri"/>
              </w:rPr>
              <w:br/>
              <w:t>2023 CSR 1.9</w:t>
            </w:r>
            <w:r w:rsidRPr="008A7CB8">
              <w:rPr>
                <w:rFonts w:eastAsia="Calibri"/>
              </w:rPr>
              <w:br/>
              <w:t>2022 CSR 1.6</w:t>
            </w:r>
            <w:r w:rsidRPr="008A7CB8">
              <w:rPr>
                <w:rFonts w:eastAsia="Calibri"/>
              </w:rPr>
              <w:br/>
              <w:t>2020 CSR 3.2</w:t>
            </w:r>
            <w:r w:rsidRPr="008A7CB8">
              <w:rPr>
                <w:rFonts w:eastAsia="Calibri"/>
              </w:rPr>
              <w:br/>
              <w:t>2020 CSR 3.9</w:t>
            </w:r>
            <w:r w:rsidRPr="008A7CB8">
              <w:rPr>
                <w:rFonts w:eastAsia="Calibri"/>
              </w:rPr>
              <w:br/>
              <w:t>2019 CSR 2.3</w:t>
            </w:r>
            <w:r w:rsidRPr="008A7CB8">
              <w:rPr>
                <w:rFonts w:eastAsia="Calibri"/>
              </w:rPr>
              <w:br/>
              <w:t>2019 CSR 2.6</w:t>
            </w:r>
          </w:p>
        </w:tc>
        <w:tc>
          <w:tcPr>
            <w:tcW w:w="1785" w:type="dxa"/>
            <w:tcMar>
              <w:top w:w="0" w:type="dxa"/>
              <w:left w:w="100" w:type="dxa"/>
              <w:bottom w:w="0" w:type="dxa"/>
              <w:right w:w="100" w:type="dxa"/>
            </w:tcMar>
            <w:vAlign w:val="center"/>
          </w:tcPr>
          <w:p w14:paraId="6A30D47E" w14:textId="77777777" w:rsidR="00451CC2" w:rsidRPr="008A7CB8" w:rsidRDefault="00451CC2" w:rsidP="008A7CB8">
            <w:pPr>
              <w:pStyle w:val="Tabletext"/>
              <w:rPr>
                <w:rFonts w:eastAsia="Calibri"/>
              </w:rPr>
            </w:pPr>
            <w:r w:rsidRPr="008A7CB8">
              <w:rPr>
                <w:rFonts w:eastAsia="Calibri"/>
              </w:rPr>
              <w:t>Social and Economic resilience</w:t>
            </w:r>
          </w:p>
        </w:tc>
        <w:tc>
          <w:tcPr>
            <w:tcW w:w="1515" w:type="dxa"/>
            <w:tcMar>
              <w:top w:w="0" w:type="dxa"/>
              <w:left w:w="100" w:type="dxa"/>
              <w:bottom w:w="0" w:type="dxa"/>
              <w:right w:w="100" w:type="dxa"/>
            </w:tcMar>
            <w:vAlign w:val="center"/>
          </w:tcPr>
          <w:p w14:paraId="6E54D198" w14:textId="77777777" w:rsidR="00451CC2" w:rsidRPr="008A7CB8" w:rsidRDefault="00451CC2" w:rsidP="008A7CB8">
            <w:pPr>
              <w:pStyle w:val="Tabletext"/>
              <w:rPr>
                <w:rFonts w:eastAsia="Calibri"/>
              </w:rPr>
            </w:pPr>
            <w:r w:rsidRPr="008A7CB8">
              <w:rPr>
                <w:rFonts w:eastAsia="Calibri"/>
              </w:rPr>
              <w:t>Completed</w:t>
            </w:r>
          </w:p>
          <w:p w14:paraId="46F99CAB" w14:textId="77777777" w:rsidR="00451CC2" w:rsidRPr="008A7CB8" w:rsidRDefault="00451CC2" w:rsidP="008A7CB8">
            <w:pPr>
              <w:pStyle w:val="Tabletext"/>
              <w:rPr>
                <w:rFonts w:eastAsia="Calibri"/>
              </w:rPr>
            </w:pPr>
            <w:r w:rsidRPr="008A7CB8">
              <w:rPr>
                <w:rFonts w:eastAsia="Calibri"/>
              </w:rPr>
              <w:t xml:space="preserve"> </w:t>
            </w:r>
          </w:p>
        </w:tc>
      </w:tr>
      <w:tr w:rsidR="00451CC2" w:rsidRPr="008A7CB8" w14:paraId="7689867A" w14:textId="77777777" w:rsidTr="00DA620A">
        <w:trPr>
          <w:trHeight w:val="170"/>
          <w:jc w:val="center"/>
        </w:trPr>
        <w:tc>
          <w:tcPr>
            <w:tcW w:w="2820" w:type="dxa"/>
            <w:tcMar>
              <w:top w:w="0" w:type="dxa"/>
              <w:left w:w="100" w:type="dxa"/>
              <w:bottom w:w="0" w:type="dxa"/>
              <w:right w:w="100" w:type="dxa"/>
            </w:tcMar>
            <w:vAlign w:val="center"/>
          </w:tcPr>
          <w:p w14:paraId="157F9213" w14:textId="77777777" w:rsidR="00451CC2" w:rsidRPr="008A7CB8" w:rsidRDefault="00540671" w:rsidP="008A7CB8">
            <w:pPr>
              <w:pStyle w:val="Tabletext"/>
              <w:rPr>
                <w:rFonts w:eastAsia="Calibri"/>
              </w:rPr>
            </w:pPr>
            <w:r w:rsidRPr="00540671">
              <w:rPr>
                <w:rFonts w:eastAsia="Calibri"/>
                <w:b/>
              </w:rPr>
              <w:t>REFORM 6:</w:t>
            </w:r>
            <w:r w:rsidR="00451CC2" w:rsidRPr="008A7CB8">
              <w:rPr>
                <w:rFonts w:eastAsia="Calibri"/>
              </w:rPr>
              <w:t xml:space="preserve"> The National Strategy for Public Procurement 2021 – 2025</w:t>
            </w:r>
          </w:p>
        </w:tc>
        <w:tc>
          <w:tcPr>
            <w:tcW w:w="1545" w:type="dxa"/>
            <w:tcMar>
              <w:top w:w="0" w:type="dxa"/>
              <w:left w:w="100" w:type="dxa"/>
              <w:bottom w:w="0" w:type="dxa"/>
              <w:right w:w="100" w:type="dxa"/>
            </w:tcMar>
            <w:vAlign w:val="center"/>
          </w:tcPr>
          <w:p w14:paraId="5A13A55D" w14:textId="77777777" w:rsidR="00451CC2" w:rsidRPr="008A7CB8" w:rsidRDefault="00451CC2" w:rsidP="008A7CB8">
            <w:pPr>
              <w:pStyle w:val="Tabletext"/>
              <w:rPr>
                <w:rFonts w:eastAsia="Calibri"/>
              </w:rPr>
            </w:pPr>
            <w:r w:rsidRPr="008A7CB8">
              <w:rPr>
                <w:rFonts w:eastAsia="Calibri"/>
              </w:rPr>
              <w:t>-</w:t>
            </w:r>
          </w:p>
        </w:tc>
        <w:tc>
          <w:tcPr>
            <w:tcW w:w="1680" w:type="dxa"/>
            <w:tcMar>
              <w:top w:w="0" w:type="dxa"/>
              <w:left w:w="100" w:type="dxa"/>
              <w:bottom w:w="0" w:type="dxa"/>
              <w:right w:w="100" w:type="dxa"/>
            </w:tcMar>
            <w:vAlign w:val="center"/>
          </w:tcPr>
          <w:p w14:paraId="3EBBBF0C" w14:textId="77777777" w:rsidR="00451CC2" w:rsidRPr="008A7CB8" w:rsidRDefault="00451CC2" w:rsidP="008A7CB8">
            <w:pPr>
              <w:pStyle w:val="Tabletext"/>
              <w:rPr>
                <w:rFonts w:eastAsia="Calibri"/>
              </w:rPr>
            </w:pPr>
            <w:r w:rsidRPr="008A7CB8">
              <w:rPr>
                <w:rFonts w:eastAsia="Calibri"/>
              </w:rPr>
              <w:t>2025 CSR 3.8</w:t>
            </w:r>
          </w:p>
          <w:p w14:paraId="439CF62B" w14:textId="09927941" w:rsidR="00451CC2" w:rsidRPr="008A7CB8" w:rsidRDefault="00505293" w:rsidP="008A7CB8">
            <w:pPr>
              <w:pStyle w:val="Tabletext"/>
              <w:rPr>
                <w:rFonts w:eastAsia="Calibri"/>
              </w:rPr>
            </w:pPr>
            <w:r>
              <w:rPr>
                <w:rFonts w:eastAsia="Calibri"/>
              </w:rPr>
              <w:t>2</w:t>
            </w:r>
            <w:r w:rsidR="00451CC2" w:rsidRPr="008A7CB8">
              <w:rPr>
                <w:rFonts w:eastAsia="Calibri"/>
              </w:rPr>
              <w:t>024 CSR 1.5</w:t>
            </w:r>
            <w:r w:rsidR="00451CC2" w:rsidRPr="008A7CB8">
              <w:rPr>
                <w:rFonts w:eastAsia="Calibri"/>
              </w:rPr>
              <w:br/>
              <w:t>2023 CSR 1.9</w:t>
            </w:r>
            <w:r w:rsidR="00451CC2" w:rsidRPr="008A7CB8">
              <w:rPr>
                <w:rFonts w:eastAsia="Calibri"/>
              </w:rPr>
              <w:br/>
              <w:t>2022 CSR 1.6</w:t>
            </w:r>
            <w:r w:rsidR="00451CC2" w:rsidRPr="008A7CB8">
              <w:rPr>
                <w:rFonts w:eastAsia="Calibri"/>
              </w:rPr>
              <w:br/>
              <w:t>2020 CSR 3.8</w:t>
            </w:r>
            <w:r w:rsidR="00451CC2" w:rsidRPr="008A7CB8">
              <w:rPr>
                <w:rFonts w:eastAsia="Calibri"/>
              </w:rPr>
              <w:br/>
              <w:t>2020 CSR 3.9</w:t>
            </w:r>
            <w:r w:rsidR="00451CC2" w:rsidRPr="008A7CB8">
              <w:rPr>
                <w:rFonts w:eastAsia="Calibri"/>
              </w:rPr>
              <w:br/>
              <w:t>2019 CSR 2.3</w:t>
            </w:r>
            <w:r w:rsidR="00451CC2" w:rsidRPr="008A7CB8">
              <w:rPr>
                <w:rFonts w:eastAsia="Calibri"/>
              </w:rPr>
              <w:br/>
              <w:t>2019 CSR 2.6</w:t>
            </w:r>
          </w:p>
        </w:tc>
        <w:tc>
          <w:tcPr>
            <w:tcW w:w="1785" w:type="dxa"/>
            <w:tcMar>
              <w:top w:w="0" w:type="dxa"/>
              <w:left w:w="100" w:type="dxa"/>
              <w:bottom w:w="0" w:type="dxa"/>
              <w:right w:w="100" w:type="dxa"/>
            </w:tcMar>
            <w:vAlign w:val="center"/>
          </w:tcPr>
          <w:p w14:paraId="779C9C0B" w14:textId="77777777" w:rsidR="00451CC2" w:rsidRPr="008A7CB8" w:rsidRDefault="00451CC2" w:rsidP="008A7CB8">
            <w:pPr>
              <w:pStyle w:val="Tabletext"/>
              <w:rPr>
                <w:rFonts w:eastAsia="Calibri"/>
              </w:rPr>
            </w:pPr>
            <w:r w:rsidRPr="008A7CB8">
              <w:rPr>
                <w:rFonts w:eastAsia="Calibri"/>
              </w:rPr>
              <w:t>Social and Economic resilience</w:t>
            </w:r>
          </w:p>
          <w:p w14:paraId="4E1B5CB0" w14:textId="77777777" w:rsidR="00451CC2" w:rsidRPr="008A7CB8" w:rsidRDefault="00451CC2" w:rsidP="008A7CB8">
            <w:pPr>
              <w:pStyle w:val="Tabletext"/>
              <w:rPr>
                <w:rFonts w:eastAsia="Calibri"/>
              </w:rPr>
            </w:pPr>
            <w:r w:rsidRPr="008A7CB8">
              <w:rPr>
                <w:rFonts w:eastAsia="Calibri"/>
              </w:rPr>
              <w:t xml:space="preserve"> </w:t>
            </w:r>
          </w:p>
        </w:tc>
        <w:tc>
          <w:tcPr>
            <w:tcW w:w="1515" w:type="dxa"/>
            <w:tcMar>
              <w:top w:w="0" w:type="dxa"/>
              <w:left w:w="100" w:type="dxa"/>
              <w:bottom w:w="0" w:type="dxa"/>
              <w:right w:w="100" w:type="dxa"/>
            </w:tcMar>
            <w:vAlign w:val="center"/>
          </w:tcPr>
          <w:p w14:paraId="0ABFAE2C" w14:textId="011EC0EF" w:rsidR="00451CC2" w:rsidRPr="008A7CB8" w:rsidRDefault="00451CC2" w:rsidP="008A7CB8">
            <w:pPr>
              <w:pStyle w:val="Tabletext"/>
              <w:rPr>
                <w:rFonts w:eastAsia="Calibri"/>
              </w:rPr>
            </w:pPr>
            <w:r w:rsidRPr="008A7CB8">
              <w:rPr>
                <w:rFonts w:eastAsia="Calibri"/>
              </w:rPr>
              <w:t>On</w:t>
            </w:r>
            <w:r w:rsidR="00A802F4">
              <w:rPr>
                <w:rFonts w:eastAsia="Calibri"/>
              </w:rPr>
              <w:t xml:space="preserve"> </w:t>
            </w:r>
            <w:r w:rsidRPr="008A7CB8">
              <w:rPr>
                <w:rFonts w:eastAsia="Calibri"/>
              </w:rPr>
              <w:t>track</w:t>
            </w:r>
          </w:p>
        </w:tc>
      </w:tr>
      <w:tr w:rsidR="00451CC2" w:rsidRPr="008A7CB8" w14:paraId="7FCDAE7C" w14:textId="77777777" w:rsidTr="00DA620A">
        <w:trPr>
          <w:trHeight w:val="170"/>
          <w:jc w:val="center"/>
        </w:trPr>
        <w:tc>
          <w:tcPr>
            <w:tcW w:w="2820" w:type="dxa"/>
            <w:tcMar>
              <w:top w:w="0" w:type="dxa"/>
              <w:left w:w="100" w:type="dxa"/>
              <w:bottom w:w="0" w:type="dxa"/>
              <w:right w:w="100" w:type="dxa"/>
            </w:tcMar>
            <w:vAlign w:val="center"/>
          </w:tcPr>
          <w:p w14:paraId="14F8F4E1" w14:textId="77777777" w:rsidR="00451CC2" w:rsidRPr="008A7CB8" w:rsidRDefault="00540671" w:rsidP="008A7CB8">
            <w:pPr>
              <w:pStyle w:val="Tabletext"/>
              <w:rPr>
                <w:rFonts w:eastAsia="Calibri"/>
              </w:rPr>
            </w:pPr>
            <w:r w:rsidRPr="00540671">
              <w:rPr>
                <w:rFonts w:eastAsia="Calibri"/>
                <w:b/>
              </w:rPr>
              <w:t>REFORM 7:</w:t>
            </w:r>
            <w:r w:rsidR="00451CC2" w:rsidRPr="008A7CB8">
              <w:rPr>
                <w:rFonts w:eastAsia="Calibri"/>
              </w:rPr>
              <w:t xml:space="preserve"> The National Strategy for Industry</w:t>
            </w:r>
          </w:p>
        </w:tc>
        <w:tc>
          <w:tcPr>
            <w:tcW w:w="1545" w:type="dxa"/>
            <w:tcMar>
              <w:top w:w="0" w:type="dxa"/>
              <w:left w:w="100" w:type="dxa"/>
              <w:bottom w:w="0" w:type="dxa"/>
              <w:right w:w="100" w:type="dxa"/>
            </w:tcMar>
            <w:vAlign w:val="center"/>
          </w:tcPr>
          <w:p w14:paraId="2DD70746" w14:textId="77777777" w:rsidR="00451CC2" w:rsidRPr="008A7CB8" w:rsidRDefault="00451CC2" w:rsidP="008A7CB8">
            <w:pPr>
              <w:pStyle w:val="Tabletext"/>
              <w:rPr>
                <w:rFonts w:eastAsia="Calibri"/>
              </w:rPr>
            </w:pPr>
            <w:r w:rsidRPr="008A7CB8">
              <w:rPr>
                <w:rFonts w:eastAsia="Calibri"/>
              </w:rPr>
              <w:t>-</w:t>
            </w:r>
          </w:p>
        </w:tc>
        <w:tc>
          <w:tcPr>
            <w:tcW w:w="1680" w:type="dxa"/>
            <w:tcMar>
              <w:top w:w="0" w:type="dxa"/>
              <w:left w:w="100" w:type="dxa"/>
              <w:bottom w:w="0" w:type="dxa"/>
              <w:right w:w="100" w:type="dxa"/>
            </w:tcMar>
            <w:vAlign w:val="center"/>
          </w:tcPr>
          <w:p w14:paraId="2D3ED05D" w14:textId="762C3411" w:rsidR="00451CC2" w:rsidRPr="008A7CB8" w:rsidRDefault="00451CC2" w:rsidP="008A7CB8">
            <w:pPr>
              <w:pStyle w:val="Tabletext"/>
              <w:rPr>
                <w:rFonts w:eastAsia="Calibri"/>
              </w:rPr>
            </w:pPr>
            <w:r w:rsidRPr="008A7CB8">
              <w:rPr>
                <w:rFonts w:eastAsia="Calibri"/>
              </w:rPr>
              <w:t>2024 CSR 1.7</w:t>
            </w:r>
            <w:r w:rsidRPr="008A7CB8">
              <w:rPr>
                <w:rFonts w:eastAsia="Calibri"/>
              </w:rPr>
              <w:br/>
              <w:t>2020 CSR 3.4</w:t>
            </w:r>
            <w:r w:rsidRPr="008A7CB8">
              <w:rPr>
                <w:rFonts w:eastAsia="Calibri"/>
              </w:rPr>
              <w:br/>
              <w:t>2020 CSR 3.3</w:t>
            </w:r>
            <w:r w:rsidRPr="008A7CB8">
              <w:rPr>
                <w:rFonts w:eastAsia="Calibri"/>
              </w:rPr>
              <w:br/>
              <w:t>2020 CSR 3.5</w:t>
            </w:r>
            <w:r w:rsidRPr="008A7CB8">
              <w:rPr>
                <w:rFonts w:eastAsia="Calibri"/>
              </w:rPr>
              <w:br/>
              <w:t>2020 CSR 3.8</w:t>
            </w:r>
            <w:r w:rsidRPr="008A7CB8">
              <w:rPr>
                <w:rFonts w:eastAsia="Calibri"/>
              </w:rPr>
              <w:br/>
              <w:t>2020 CSR 3.9</w:t>
            </w:r>
            <w:r w:rsidRPr="008A7CB8">
              <w:rPr>
                <w:rFonts w:eastAsia="Calibri"/>
              </w:rPr>
              <w:br/>
              <w:t>2020 CSR 3.10</w:t>
            </w:r>
            <w:r w:rsidRPr="008A7CB8">
              <w:rPr>
                <w:rFonts w:eastAsia="Calibri"/>
              </w:rPr>
              <w:br/>
              <w:t>2019 CSR 2.1</w:t>
            </w:r>
            <w:r w:rsidRPr="008A7CB8">
              <w:rPr>
                <w:rFonts w:eastAsia="Calibri"/>
              </w:rPr>
              <w:br/>
              <w:t>2019 CSR 2.2</w:t>
            </w:r>
            <w:r w:rsidRPr="008A7CB8">
              <w:rPr>
                <w:rFonts w:eastAsia="Calibri"/>
              </w:rPr>
              <w:br/>
              <w:t>2019 CSR 2.3</w:t>
            </w:r>
            <w:r w:rsidRPr="008A7CB8">
              <w:rPr>
                <w:rFonts w:eastAsia="Calibri"/>
              </w:rPr>
              <w:br/>
              <w:t>2019 CSR 2.4</w:t>
            </w:r>
            <w:r w:rsidRPr="008A7CB8">
              <w:rPr>
                <w:rFonts w:eastAsia="Calibri"/>
              </w:rPr>
              <w:br/>
              <w:t>2019 CSR 2.6</w:t>
            </w:r>
          </w:p>
        </w:tc>
        <w:tc>
          <w:tcPr>
            <w:tcW w:w="1785" w:type="dxa"/>
            <w:tcMar>
              <w:top w:w="0" w:type="dxa"/>
              <w:left w:w="100" w:type="dxa"/>
              <w:bottom w:w="0" w:type="dxa"/>
              <w:right w:w="100" w:type="dxa"/>
            </w:tcMar>
            <w:vAlign w:val="center"/>
          </w:tcPr>
          <w:p w14:paraId="5DCC41A5" w14:textId="77777777" w:rsidR="00451CC2" w:rsidRPr="008A7CB8" w:rsidRDefault="00451CC2" w:rsidP="008A7CB8">
            <w:pPr>
              <w:pStyle w:val="Tabletext"/>
              <w:rPr>
                <w:rFonts w:eastAsia="Calibri"/>
              </w:rPr>
            </w:pPr>
            <w:r w:rsidRPr="008A7CB8">
              <w:rPr>
                <w:rFonts w:eastAsia="Calibri"/>
              </w:rPr>
              <w:t>Social and Economic resilience</w:t>
            </w:r>
          </w:p>
        </w:tc>
        <w:tc>
          <w:tcPr>
            <w:tcW w:w="1515" w:type="dxa"/>
            <w:tcMar>
              <w:top w:w="0" w:type="dxa"/>
              <w:left w:w="100" w:type="dxa"/>
              <w:bottom w:w="0" w:type="dxa"/>
              <w:right w:w="100" w:type="dxa"/>
            </w:tcMar>
            <w:vAlign w:val="center"/>
          </w:tcPr>
          <w:p w14:paraId="7FFF4A2D" w14:textId="028BA2CA" w:rsidR="00451CC2" w:rsidRPr="008A7CB8" w:rsidRDefault="00451CC2" w:rsidP="008A7CB8">
            <w:pPr>
              <w:pStyle w:val="Tabletext"/>
              <w:rPr>
                <w:rFonts w:eastAsia="Calibri"/>
              </w:rPr>
            </w:pPr>
            <w:r w:rsidRPr="008A7CB8">
              <w:rPr>
                <w:rFonts w:eastAsia="Calibri"/>
              </w:rPr>
              <w:t>On</w:t>
            </w:r>
            <w:r w:rsidR="00A802F4">
              <w:rPr>
                <w:rFonts w:eastAsia="Calibri"/>
              </w:rPr>
              <w:t xml:space="preserve"> </w:t>
            </w:r>
            <w:r w:rsidRPr="008A7CB8">
              <w:rPr>
                <w:rFonts w:eastAsia="Calibri"/>
              </w:rPr>
              <w:t>track</w:t>
            </w:r>
          </w:p>
        </w:tc>
      </w:tr>
      <w:tr w:rsidR="00451CC2" w:rsidRPr="008A7CB8" w14:paraId="72B882BA" w14:textId="77777777" w:rsidTr="00DA620A">
        <w:trPr>
          <w:trHeight w:val="170"/>
          <w:jc w:val="center"/>
        </w:trPr>
        <w:tc>
          <w:tcPr>
            <w:tcW w:w="2820" w:type="dxa"/>
            <w:tcMar>
              <w:top w:w="0" w:type="dxa"/>
              <w:left w:w="100" w:type="dxa"/>
              <w:bottom w:w="0" w:type="dxa"/>
              <w:right w:w="100" w:type="dxa"/>
            </w:tcMar>
            <w:vAlign w:val="center"/>
          </w:tcPr>
          <w:p w14:paraId="10ABBAEB" w14:textId="77777777" w:rsidR="00451CC2" w:rsidRPr="008A7CB8" w:rsidRDefault="00540671" w:rsidP="008A7CB8">
            <w:pPr>
              <w:pStyle w:val="Tabletext"/>
              <w:rPr>
                <w:rFonts w:eastAsia="Calibri"/>
              </w:rPr>
            </w:pPr>
            <w:r w:rsidRPr="00540671">
              <w:rPr>
                <w:rFonts w:eastAsia="Calibri"/>
                <w:b/>
              </w:rPr>
              <w:t>REFORM 8:</w:t>
            </w:r>
            <w:r w:rsidR="00451CC2" w:rsidRPr="008A7CB8">
              <w:rPr>
                <w:rFonts w:eastAsia="Calibri"/>
              </w:rPr>
              <w:t xml:space="preserve"> New round of reforms to facilitate entrepreneurship and simplify business regulation</w:t>
            </w:r>
          </w:p>
        </w:tc>
        <w:tc>
          <w:tcPr>
            <w:tcW w:w="1545" w:type="dxa"/>
            <w:tcMar>
              <w:top w:w="0" w:type="dxa"/>
              <w:left w:w="100" w:type="dxa"/>
              <w:bottom w:w="0" w:type="dxa"/>
              <w:right w:w="100" w:type="dxa"/>
            </w:tcMar>
            <w:vAlign w:val="center"/>
          </w:tcPr>
          <w:p w14:paraId="272E8431" w14:textId="77777777" w:rsidR="00451CC2" w:rsidRPr="008A7CB8" w:rsidRDefault="00451CC2" w:rsidP="008A7CB8">
            <w:pPr>
              <w:pStyle w:val="Tabletext"/>
              <w:rPr>
                <w:rFonts w:eastAsia="Calibri"/>
              </w:rPr>
            </w:pPr>
            <w:r w:rsidRPr="008A7CB8">
              <w:rPr>
                <w:rFonts w:eastAsia="Calibri"/>
              </w:rPr>
              <w:t>-</w:t>
            </w:r>
          </w:p>
        </w:tc>
        <w:tc>
          <w:tcPr>
            <w:tcW w:w="1680" w:type="dxa"/>
            <w:tcMar>
              <w:top w:w="0" w:type="dxa"/>
              <w:left w:w="100" w:type="dxa"/>
              <w:bottom w:w="0" w:type="dxa"/>
              <w:right w:w="100" w:type="dxa"/>
            </w:tcMar>
            <w:vAlign w:val="center"/>
          </w:tcPr>
          <w:p w14:paraId="3E9215D5" w14:textId="77777777" w:rsidR="00451CC2" w:rsidRPr="008A7CB8" w:rsidRDefault="00451CC2" w:rsidP="008A7CB8">
            <w:pPr>
              <w:pStyle w:val="Tabletext"/>
              <w:rPr>
                <w:rFonts w:eastAsia="Calibri"/>
              </w:rPr>
            </w:pPr>
            <w:r w:rsidRPr="008A7CB8">
              <w:rPr>
                <w:rFonts w:eastAsia="Calibri"/>
              </w:rPr>
              <w:t>2025 CSR 3.1</w:t>
            </w:r>
          </w:p>
          <w:p w14:paraId="055C518B" w14:textId="71AE3881" w:rsidR="00451CC2" w:rsidRPr="008A7CB8" w:rsidRDefault="00451CC2" w:rsidP="008A7CB8">
            <w:pPr>
              <w:pStyle w:val="Tabletext"/>
              <w:rPr>
                <w:rFonts w:eastAsia="Calibri"/>
              </w:rPr>
            </w:pPr>
            <w:r w:rsidRPr="008A7CB8">
              <w:rPr>
                <w:rFonts w:eastAsia="Calibri"/>
              </w:rPr>
              <w:t>2024 CSR 1.7</w:t>
            </w:r>
            <w:r w:rsidRPr="008A7CB8">
              <w:rPr>
                <w:rFonts w:eastAsia="Calibri"/>
              </w:rPr>
              <w:br/>
              <w:t>2020 CSR 3.3</w:t>
            </w:r>
            <w:r w:rsidRPr="008A7CB8">
              <w:rPr>
                <w:rFonts w:eastAsia="Calibri"/>
              </w:rPr>
              <w:br/>
              <w:t>2020 CSR 3.9</w:t>
            </w:r>
          </w:p>
        </w:tc>
        <w:tc>
          <w:tcPr>
            <w:tcW w:w="1785" w:type="dxa"/>
            <w:tcMar>
              <w:top w:w="0" w:type="dxa"/>
              <w:left w:w="100" w:type="dxa"/>
              <w:bottom w:w="0" w:type="dxa"/>
              <w:right w:w="100" w:type="dxa"/>
            </w:tcMar>
            <w:vAlign w:val="center"/>
          </w:tcPr>
          <w:p w14:paraId="41B0E7B6" w14:textId="77777777" w:rsidR="00451CC2" w:rsidRPr="008A7CB8" w:rsidRDefault="00451CC2" w:rsidP="008A7CB8">
            <w:pPr>
              <w:pStyle w:val="Tabletext"/>
              <w:rPr>
                <w:rFonts w:eastAsia="Calibri"/>
              </w:rPr>
            </w:pPr>
            <w:r w:rsidRPr="008A7CB8">
              <w:rPr>
                <w:rFonts w:eastAsia="Calibri"/>
              </w:rPr>
              <w:t>Social and Economic resilience</w:t>
            </w:r>
          </w:p>
        </w:tc>
        <w:tc>
          <w:tcPr>
            <w:tcW w:w="1515" w:type="dxa"/>
            <w:tcMar>
              <w:top w:w="0" w:type="dxa"/>
              <w:left w:w="100" w:type="dxa"/>
              <w:bottom w:w="0" w:type="dxa"/>
              <w:right w:w="100" w:type="dxa"/>
            </w:tcMar>
            <w:vAlign w:val="center"/>
          </w:tcPr>
          <w:p w14:paraId="3AB5FD05" w14:textId="4FE8973F" w:rsidR="00451CC2" w:rsidRPr="008A7CB8" w:rsidRDefault="00451CC2" w:rsidP="008A7CB8">
            <w:pPr>
              <w:pStyle w:val="Tabletext"/>
              <w:rPr>
                <w:rFonts w:eastAsia="Calibri"/>
              </w:rPr>
            </w:pPr>
            <w:r w:rsidRPr="008A7CB8">
              <w:rPr>
                <w:rFonts w:eastAsia="Calibri"/>
              </w:rPr>
              <w:t>On</w:t>
            </w:r>
            <w:r w:rsidR="00A802F4">
              <w:rPr>
                <w:rFonts w:eastAsia="Calibri"/>
              </w:rPr>
              <w:t xml:space="preserve"> </w:t>
            </w:r>
            <w:r w:rsidRPr="008A7CB8">
              <w:rPr>
                <w:rFonts w:eastAsia="Calibri"/>
              </w:rPr>
              <w:t>track</w:t>
            </w:r>
          </w:p>
        </w:tc>
      </w:tr>
      <w:tr w:rsidR="00451CC2" w:rsidRPr="008A7CB8" w14:paraId="31ED5A1C" w14:textId="77777777" w:rsidTr="00DA620A">
        <w:trPr>
          <w:trHeight w:val="170"/>
          <w:jc w:val="center"/>
        </w:trPr>
        <w:tc>
          <w:tcPr>
            <w:tcW w:w="2820" w:type="dxa"/>
            <w:tcMar>
              <w:top w:w="0" w:type="dxa"/>
              <w:left w:w="100" w:type="dxa"/>
              <w:bottom w:w="0" w:type="dxa"/>
              <w:right w:w="100" w:type="dxa"/>
            </w:tcMar>
            <w:vAlign w:val="center"/>
          </w:tcPr>
          <w:p w14:paraId="2B7C1893" w14:textId="77777777" w:rsidR="00451CC2" w:rsidRPr="008A7CB8" w:rsidRDefault="00540671" w:rsidP="008A7CB8">
            <w:pPr>
              <w:pStyle w:val="Tabletext"/>
              <w:rPr>
                <w:rFonts w:eastAsia="Calibri"/>
              </w:rPr>
            </w:pPr>
            <w:r w:rsidRPr="00540671">
              <w:rPr>
                <w:rFonts w:eastAsia="Calibri"/>
                <w:b/>
              </w:rPr>
              <w:lastRenderedPageBreak/>
              <w:t>REFORM 9:</w:t>
            </w:r>
            <w:r w:rsidR="00451CC2" w:rsidRPr="008A7CB8">
              <w:rPr>
                <w:rFonts w:eastAsia="Calibri"/>
              </w:rPr>
              <w:t xml:space="preserve"> Golden Visa for financing start-ups</w:t>
            </w:r>
          </w:p>
        </w:tc>
        <w:tc>
          <w:tcPr>
            <w:tcW w:w="1545" w:type="dxa"/>
            <w:tcMar>
              <w:top w:w="0" w:type="dxa"/>
              <w:left w:w="100" w:type="dxa"/>
              <w:bottom w:w="0" w:type="dxa"/>
              <w:right w:w="100" w:type="dxa"/>
            </w:tcMar>
            <w:vAlign w:val="center"/>
          </w:tcPr>
          <w:p w14:paraId="52C794BF" w14:textId="77777777" w:rsidR="00451CC2" w:rsidRPr="008A7CB8" w:rsidRDefault="00451CC2" w:rsidP="008A7CB8">
            <w:pPr>
              <w:pStyle w:val="Tabletext"/>
              <w:rPr>
                <w:rFonts w:eastAsia="Calibri"/>
              </w:rPr>
            </w:pPr>
            <w:r w:rsidRPr="008A7CB8">
              <w:rPr>
                <w:rFonts w:eastAsia="Calibri"/>
              </w:rPr>
              <w:t>-</w:t>
            </w:r>
          </w:p>
        </w:tc>
        <w:tc>
          <w:tcPr>
            <w:tcW w:w="1680" w:type="dxa"/>
            <w:tcMar>
              <w:top w:w="0" w:type="dxa"/>
              <w:left w:w="100" w:type="dxa"/>
              <w:bottom w:w="0" w:type="dxa"/>
              <w:right w:w="100" w:type="dxa"/>
            </w:tcMar>
            <w:vAlign w:val="center"/>
          </w:tcPr>
          <w:p w14:paraId="4DA238F4" w14:textId="77777777" w:rsidR="00451CC2" w:rsidRPr="008A7CB8" w:rsidRDefault="00451CC2" w:rsidP="008A7CB8">
            <w:pPr>
              <w:pStyle w:val="Tabletext"/>
              <w:rPr>
                <w:rFonts w:eastAsia="Calibri"/>
              </w:rPr>
            </w:pPr>
            <w:r w:rsidRPr="008A7CB8">
              <w:rPr>
                <w:rFonts w:eastAsia="Calibri"/>
              </w:rPr>
              <w:t>2025 CSR 3.6</w:t>
            </w:r>
          </w:p>
          <w:p w14:paraId="636FD31D" w14:textId="77777777" w:rsidR="00451CC2" w:rsidRPr="008A7CB8" w:rsidRDefault="00451CC2" w:rsidP="008A7CB8">
            <w:pPr>
              <w:pStyle w:val="Tabletext"/>
              <w:rPr>
                <w:rFonts w:eastAsia="Calibri"/>
              </w:rPr>
            </w:pPr>
            <w:r w:rsidRPr="008A7CB8">
              <w:rPr>
                <w:rFonts w:eastAsia="Calibri"/>
              </w:rPr>
              <w:t>2024 CSR1.7</w:t>
            </w:r>
          </w:p>
          <w:p w14:paraId="5402DDA5" w14:textId="77777777" w:rsidR="00451CC2" w:rsidRPr="008A7CB8" w:rsidRDefault="00451CC2" w:rsidP="008A7CB8">
            <w:pPr>
              <w:pStyle w:val="Tabletext"/>
              <w:rPr>
                <w:rFonts w:eastAsia="Calibri"/>
              </w:rPr>
            </w:pPr>
            <w:r w:rsidRPr="008A7CB8">
              <w:rPr>
                <w:rFonts w:eastAsia="Calibri"/>
              </w:rPr>
              <w:t>2020 CSR3.3</w:t>
            </w:r>
          </w:p>
          <w:p w14:paraId="0CFDE22E" w14:textId="77777777" w:rsidR="00451CC2" w:rsidRPr="008A7CB8" w:rsidRDefault="00451CC2" w:rsidP="008A7CB8">
            <w:pPr>
              <w:pStyle w:val="Tabletext"/>
              <w:rPr>
                <w:rFonts w:eastAsia="Calibri"/>
              </w:rPr>
            </w:pPr>
            <w:r w:rsidRPr="008A7CB8">
              <w:rPr>
                <w:rFonts w:eastAsia="Calibri"/>
              </w:rPr>
              <w:t>2019 CSR2.4</w:t>
            </w:r>
          </w:p>
        </w:tc>
        <w:tc>
          <w:tcPr>
            <w:tcW w:w="1785" w:type="dxa"/>
            <w:tcMar>
              <w:top w:w="0" w:type="dxa"/>
              <w:left w:w="100" w:type="dxa"/>
              <w:bottom w:w="0" w:type="dxa"/>
              <w:right w:w="100" w:type="dxa"/>
            </w:tcMar>
            <w:vAlign w:val="center"/>
          </w:tcPr>
          <w:p w14:paraId="02DAAD05" w14:textId="77777777" w:rsidR="00451CC2" w:rsidRPr="008A7CB8" w:rsidRDefault="00451CC2" w:rsidP="008A7CB8">
            <w:pPr>
              <w:pStyle w:val="Tabletext"/>
              <w:rPr>
                <w:rFonts w:eastAsia="Calibri"/>
              </w:rPr>
            </w:pPr>
            <w:r w:rsidRPr="008A7CB8">
              <w:rPr>
                <w:rFonts w:eastAsia="Calibri"/>
              </w:rPr>
              <w:t>Social and Economic resilience</w:t>
            </w:r>
          </w:p>
        </w:tc>
        <w:tc>
          <w:tcPr>
            <w:tcW w:w="1515" w:type="dxa"/>
            <w:tcMar>
              <w:top w:w="0" w:type="dxa"/>
              <w:left w:w="100" w:type="dxa"/>
              <w:bottom w:w="0" w:type="dxa"/>
              <w:right w:w="100" w:type="dxa"/>
            </w:tcMar>
            <w:vAlign w:val="center"/>
          </w:tcPr>
          <w:p w14:paraId="1A2C5609" w14:textId="5E5A2D9F" w:rsidR="00451CC2" w:rsidRPr="008A7CB8" w:rsidRDefault="00451CC2" w:rsidP="008A7CB8">
            <w:pPr>
              <w:pStyle w:val="Tabletext"/>
              <w:rPr>
                <w:rFonts w:eastAsia="Calibri"/>
              </w:rPr>
            </w:pPr>
            <w:r w:rsidRPr="008A7CB8">
              <w:rPr>
                <w:rFonts w:eastAsia="Calibri"/>
              </w:rPr>
              <w:t>On</w:t>
            </w:r>
            <w:r w:rsidR="00A802F4">
              <w:rPr>
                <w:rFonts w:eastAsia="Calibri"/>
              </w:rPr>
              <w:t xml:space="preserve"> </w:t>
            </w:r>
            <w:r w:rsidRPr="008A7CB8">
              <w:rPr>
                <w:rFonts w:eastAsia="Calibri"/>
              </w:rPr>
              <w:t>track</w:t>
            </w:r>
          </w:p>
        </w:tc>
      </w:tr>
      <w:tr w:rsidR="00451CC2" w:rsidRPr="008A7CB8" w14:paraId="172BB295" w14:textId="77777777" w:rsidTr="00DA620A">
        <w:trPr>
          <w:trHeight w:val="170"/>
          <w:jc w:val="center"/>
        </w:trPr>
        <w:tc>
          <w:tcPr>
            <w:tcW w:w="2820" w:type="dxa"/>
            <w:tcMar>
              <w:top w:w="0" w:type="dxa"/>
              <w:left w:w="100" w:type="dxa"/>
              <w:bottom w:w="0" w:type="dxa"/>
              <w:right w:w="100" w:type="dxa"/>
            </w:tcMar>
            <w:vAlign w:val="center"/>
          </w:tcPr>
          <w:p w14:paraId="79A6AF8C" w14:textId="77777777" w:rsidR="00451CC2" w:rsidRPr="008A7CB8" w:rsidRDefault="00540671" w:rsidP="008A7CB8">
            <w:pPr>
              <w:pStyle w:val="Tabletext"/>
              <w:rPr>
                <w:rFonts w:eastAsia="Calibri"/>
              </w:rPr>
            </w:pPr>
            <w:r w:rsidRPr="00540671">
              <w:rPr>
                <w:rFonts w:eastAsia="Calibri"/>
                <w:b/>
              </w:rPr>
              <w:t>REFORM 10:</w:t>
            </w:r>
            <w:r w:rsidR="00451CC2" w:rsidRPr="008A7CB8">
              <w:rPr>
                <w:rFonts w:eastAsia="Calibri"/>
              </w:rPr>
              <w:t xml:space="preserve"> Unified institutional framework for business transformations and innovation</w:t>
            </w:r>
          </w:p>
        </w:tc>
        <w:tc>
          <w:tcPr>
            <w:tcW w:w="1545" w:type="dxa"/>
            <w:tcMar>
              <w:top w:w="0" w:type="dxa"/>
              <w:left w:w="100" w:type="dxa"/>
              <w:bottom w:w="0" w:type="dxa"/>
              <w:right w:w="100" w:type="dxa"/>
            </w:tcMar>
            <w:vAlign w:val="center"/>
          </w:tcPr>
          <w:p w14:paraId="0AA983BA" w14:textId="77777777" w:rsidR="00451CC2" w:rsidRPr="008A7CB8" w:rsidRDefault="00451CC2" w:rsidP="008A7CB8">
            <w:pPr>
              <w:pStyle w:val="Tabletext"/>
              <w:rPr>
                <w:rFonts w:eastAsia="Calibri"/>
              </w:rPr>
            </w:pPr>
            <w:r w:rsidRPr="008A7CB8">
              <w:rPr>
                <w:rFonts w:eastAsia="Calibri"/>
              </w:rPr>
              <w:t>-</w:t>
            </w:r>
          </w:p>
        </w:tc>
        <w:tc>
          <w:tcPr>
            <w:tcW w:w="1680" w:type="dxa"/>
            <w:tcMar>
              <w:top w:w="0" w:type="dxa"/>
              <w:left w:w="100" w:type="dxa"/>
              <w:bottom w:w="0" w:type="dxa"/>
              <w:right w:w="100" w:type="dxa"/>
            </w:tcMar>
            <w:vAlign w:val="center"/>
          </w:tcPr>
          <w:p w14:paraId="242F1F69" w14:textId="77777777" w:rsidR="00451CC2" w:rsidRPr="008A7CB8" w:rsidRDefault="00451CC2" w:rsidP="008A7CB8">
            <w:pPr>
              <w:pStyle w:val="Tabletext"/>
              <w:rPr>
                <w:rFonts w:eastAsia="Calibri"/>
              </w:rPr>
            </w:pPr>
            <w:r w:rsidRPr="008A7CB8">
              <w:rPr>
                <w:rFonts w:eastAsia="Calibri"/>
              </w:rPr>
              <w:t>2025 CSR 3.6</w:t>
            </w:r>
          </w:p>
          <w:p w14:paraId="3ED4B265" w14:textId="77777777" w:rsidR="00451CC2" w:rsidRPr="008A7CB8" w:rsidRDefault="00451CC2" w:rsidP="008A7CB8">
            <w:pPr>
              <w:pStyle w:val="Tabletext"/>
              <w:rPr>
                <w:rFonts w:eastAsia="Calibri"/>
              </w:rPr>
            </w:pPr>
            <w:r w:rsidRPr="008A7CB8">
              <w:rPr>
                <w:rFonts w:eastAsia="Calibri"/>
              </w:rPr>
              <w:t>2024 CSR 1.7</w:t>
            </w:r>
          </w:p>
          <w:p w14:paraId="00CCAFD3" w14:textId="77777777" w:rsidR="00451CC2" w:rsidRPr="008A7CB8" w:rsidRDefault="00451CC2" w:rsidP="008A7CB8">
            <w:pPr>
              <w:pStyle w:val="Tabletext"/>
              <w:rPr>
                <w:rFonts w:eastAsia="Calibri"/>
              </w:rPr>
            </w:pPr>
            <w:r w:rsidRPr="008A7CB8">
              <w:rPr>
                <w:rFonts w:eastAsia="Calibri"/>
              </w:rPr>
              <w:t>2020 CSR 3.3</w:t>
            </w:r>
          </w:p>
          <w:p w14:paraId="4781F10B" w14:textId="77777777" w:rsidR="00451CC2" w:rsidRPr="008A7CB8" w:rsidRDefault="00451CC2" w:rsidP="008A7CB8">
            <w:pPr>
              <w:pStyle w:val="Tabletext"/>
              <w:rPr>
                <w:rFonts w:eastAsia="Calibri"/>
              </w:rPr>
            </w:pPr>
            <w:r w:rsidRPr="008A7CB8">
              <w:rPr>
                <w:rFonts w:eastAsia="Calibri"/>
              </w:rPr>
              <w:t>2019 CSR 2.4</w:t>
            </w:r>
          </w:p>
        </w:tc>
        <w:tc>
          <w:tcPr>
            <w:tcW w:w="1785" w:type="dxa"/>
            <w:tcMar>
              <w:top w:w="0" w:type="dxa"/>
              <w:left w:w="100" w:type="dxa"/>
              <w:bottom w:w="0" w:type="dxa"/>
              <w:right w:w="100" w:type="dxa"/>
            </w:tcMar>
            <w:vAlign w:val="center"/>
          </w:tcPr>
          <w:p w14:paraId="5F090019" w14:textId="77777777" w:rsidR="00451CC2" w:rsidRPr="008A7CB8" w:rsidRDefault="00451CC2" w:rsidP="008A7CB8">
            <w:pPr>
              <w:pStyle w:val="Tabletext"/>
              <w:rPr>
                <w:rFonts w:eastAsia="Calibri"/>
              </w:rPr>
            </w:pPr>
            <w:r w:rsidRPr="008A7CB8">
              <w:rPr>
                <w:rFonts w:eastAsia="Calibri"/>
              </w:rPr>
              <w:t>Social and Economic resilience</w:t>
            </w:r>
          </w:p>
          <w:p w14:paraId="7755A0DC" w14:textId="77777777" w:rsidR="00451CC2" w:rsidRPr="008A7CB8" w:rsidRDefault="00451CC2" w:rsidP="008A7CB8">
            <w:pPr>
              <w:pStyle w:val="Tabletext"/>
              <w:rPr>
                <w:rFonts w:eastAsia="Calibri"/>
              </w:rPr>
            </w:pPr>
            <w:r w:rsidRPr="008A7CB8">
              <w:rPr>
                <w:rFonts w:eastAsia="Calibri"/>
              </w:rPr>
              <w:t xml:space="preserve"> </w:t>
            </w:r>
          </w:p>
        </w:tc>
        <w:tc>
          <w:tcPr>
            <w:tcW w:w="1515" w:type="dxa"/>
            <w:tcMar>
              <w:top w:w="0" w:type="dxa"/>
              <w:left w:w="100" w:type="dxa"/>
              <w:bottom w:w="0" w:type="dxa"/>
              <w:right w:w="100" w:type="dxa"/>
            </w:tcMar>
            <w:vAlign w:val="center"/>
          </w:tcPr>
          <w:p w14:paraId="2B0919B3" w14:textId="26B4B664" w:rsidR="00451CC2" w:rsidRPr="008A7CB8" w:rsidRDefault="00451CC2" w:rsidP="008A7CB8">
            <w:pPr>
              <w:pStyle w:val="Tabletext"/>
              <w:rPr>
                <w:rFonts w:eastAsia="Calibri"/>
              </w:rPr>
            </w:pPr>
            <w:r w:rsidRPr="008A7CB8">
              <w:rPr>
                <w:rFonts w:eastAsia="Calibri"/>
              </w:rPr>
              <w:t>On</w:t>
            </w:r>
            <w:r w:rsidR="00A802F4">
              <w:rPr>
                <w:rFonts w:eastAsia="Calibri"/>
              </w:rPr>
              <w:t xml:space="preserve"> </w:t>
            </w:r>
            <w:r w:rsidRPr="008A7CB8">
              <w:rPr>
                <w:rFonts w:eastAsia="Calibri"/>
              </w:rPr>
              <w:t>track</w:t>
            </w:r>
          </w:p>
        </w:tc>
      </w:tr>
      <w:tr w:rsidR="00451CC2" w:rsidRPr="008A7CB8" w14:paraId="43CCFFEF" w14:textId="77777777" w:rsidTr="00DA620A">
        <w:trPr>
          <w:trHeight w:val="170"/>
          <w:jc w:val="center"/>
        </w:trPr>
        <w:tc>
          <w:tcPr>
            <w:tcW w:w="2820" w:type="dxa"/>
            <w:tcMar>
              <w:top w:w="0" w:type="dxa"/>
              <w:left w:w="100" w:type="dxa"/>
              <w:bottom w:w="0" w:type="dxa"/>
              <w:right w:w="100" w:type="dxa"/>
            </w:tcMar>
            <w:vAlign w:val="center"/>
          </w:tcPr>
          <w:p w14:paraId="026ECDB5" w14:textId="77777777" w:rsidR="00451CC2" w:rsidRPr="008A7CB8" w:rsidRDefault="00540671" w:rsidP="008A7CB8">
            <w:pPr>
              <w:pStyle w:val="Tabletext"/>
              <w:rPr>
                <w:rFonts w:eastAsia="Calibri"/>
              </w:rPr>
            </w:pPr>
            <w:r w:rsidRPr="00540671">
              <w:rPr>
                <w:rFonts w:eastAsia="Calibri"/>
                <w:b/>
              </w:rPr>
              <w:t>REFORM 11:</w:t>
            </w:r>
            <w:r w:rsidR="00451CC2" w:rsidRPr="008A7CB8">
              <w:rPr>
                <w:rFonts w:eastAsia="Calibri"/>
              </w:rPr>
              <w:t xml:space="preserve"> Amendment of the legal framework governing foreign direct investments</w:t>
            </w:r>
          </w:p>
        </w:tc>
        <w:tc>
          <w:tcPr>
            <w:tcW w:w="1545" w:type="dxa"/>
            <w:tcMar>
              <w:top w:w="0" w:type="dxa"/>
              <w:left w:w="100" w:type="dxa"/>
              <w:bottom w:w="0" w:type="dxa"/>
              <w:right w:w="100" w:type="dxa"/>
            </w:tcMar>
            <w:vAlign w:val="center"/>
          </w:tcPr>
          <w:p w14:paraId="6FD6487B" w14:textId="77777777" w:rsidR="00451CC2" w:rsidRPr="008A7CB8" w:rsidRDefault="00451CC2" w:rsidP="008A7CB8">
            <w:pPr>
              <w:pStyle w:val="Tabletext"/>
              <w:rPr>
                <w:rFonts w:eastAsia="Calibri"/>
              </w:rPr>
            </w:pPr>
            <w:r w:rsidRPr="008A7CB8">
              <w:rPr>
                <w:rFonts w:eastAsia="Calibri"/>
              </w:rPr>
              <w:t>-</w:t>
            </w:r>
          </w:p>
        </w:tc>
        <w:tc>
          <w:tcPr>
            <w:tcW w:w="1680" w:type="dxa"/>
            <w:tcMar>
              <w:top w:w="0" w:type="dxa"/>
              <w:left w:w="100" w:type="dxa"/>
              <w:bottom w:w="0" w:type="dxa"/>
              <w:right w:w="100" w:type="dxa"/>
            </w:tcMar>
            <w:vAlign w:val="center"/>
          </w:tcPr>
          <w:p w14:paraId="0AA78B94" w14:textId="77777777" w:rsidR="00451CC2" w:rsidRPr="008A7CB8" w:rsidRDefault="00451CC2" w:rsidP="008A7CB8">
            <w:pPr>
              <w:pStyle w:val="Tabletext"/>
              <w:rPr>
                <w:rFonts w:eastAsia="Calibri"/>
              </w:rPr>
            </w:pPr>
            <w:r w:rsidRPr="008A7CB8">
              <w:rPr>
                <w:rFonts w:eastAsia="Calibri"/>
              </w:rPr>
              <w:t>2025 CSR 3.1</w:t>
            </w:r>
          </w:p>
          <w:p w14:paraId="58A25EBE" w14:textId="77777777" w:rsidR="00451CC2" w:rsidRPr="008A7CB8" w:rsidRDefault="00451CC2" w:rsidP="008A7CB8">
            <w:pPr>
              <w:pStyle w:val="Tabletext"/>
              <w:rPr>
                <w:rFonts w:eastAsia="Calibri"/>
              </w:rPr>
            </w:pPr>
            <w:r w:rsidRPr="008A7CB8">
              <w:rPr>
                <w:rFonts w:eastAsia="Calibri"/>
              </w:rPr>
              <w:t>2025 CSR 3.6</w:t>
            </w:r>
          </w:p>
        </w:tc>
        <w:tc>
          <w:tcPr>
            <w:tcW w:w="1785" w:type="dxa"/>
            <w:tcMar>
              <w:top w:w="0" w:type="dxa"/>
              <w:left w:w="100" w:type="dxa"/>
              <w:bottom w:w="0" w:type="dxa"/>
              <w:right w:w="100" w:type="dxa"/>
            </w:tcMar>
            <w:vAlign w:val="center"/>
          </w:tcPr>
          <w:p w14:paraId="68197EC8" w14:textId="77777777" w:rsidR="00451CC2" w:rsidRPr="008A7CB8" w:rsidRDefault="00451CC2" w:rsidP="008A7CB8">
            <w:pPr>
              <w:pStyle w:val="Tabletext"/>
              <w:rPr>
                <w:rFonts w:eastAsia="Calibri"/>
              </w:rPr>
            </w:pPr>
            <w:r w:rsidRPr="008A7CB8">
              <w:rPr>
                <w:rFonts w:eastAsia="Calibri"/>
              </w:rPr>
              <w:t>Social and Economic resilience</w:t>
            </w:r>
          </w:p>
          <w:p w14:paraId="35219DBE" w14:textId="77777777" w:rsidR="00451CC2" w:rsidRPr="008A7CB8" w:rsidRDefault="00451CC2" w:rsidP="008A7CB8">
            <w:pPr>
              <w:pStyle w:val="Tabletext"/>
              <w:rPr>
                <w:rFonts w:eastAsia="Calibri"/>
              </w:rPr>
            </w:pPr>
            <w:r w:rsidRPr="008A7CB8">
              <w:rPr>
                <w:rFonts w:eastAsia="Calibri"/>
              </w:rPr>
              <w:t xml:space="preserve"> </w:t>
            </w:r>
          </w:p>
        </w:tc>
        <w:tc>
          <w:tcPr>
            <w:tcW w:w="1515" w:type="dxa"/>
            <w:tcMar>
              <w:top w:w="0" w:type="dxa"/>
              <w:left w:w="100" w:type="dxa"/>
              <w:bottom w:w="0" w:type="dxa"/>
              <w:right w:w="100" w:type="dxa"/>
            </w:tcMar>
            <w:vAlign w:val="center"/>
          </w:tcPr>
          <w:p w14:paraId="65AD48C1" w14:textId="2C8B7A6F" w:rsidR="00451CC2" w:rsidRPr="008A7CB8" w:rsidRDefault="00451CC2" w:rsidP="008A7CB8">
            <w:pPr>
              <w:pStyle w:val="Tabletext"/>
              <w:rPr>
                <w:rFonts w:eastAsia="Calibri"/>
              </w:rPr>
            </w:pPr>
            <w:r w:rsidRPr="008A7CB8">
              <w:rPr>
                <w:rFonts w:eastAsia="Calibri"/>
              </w:rPr>
              <w:t>On</w:t>
            </w:r>
            <w:r w:rsidR="00A802F4">
              <w:rPr>
                <w:rFonts w:eastAsia="Calibri"/>
              </w:rPr>
              <w:t xml:space="preserve"> </w:t>
            </w:r>
            <w:r w:rsidRPr="008A7CB8">
              <w:rPr>
                <w:rFonts w:eastAsia="Calibri"/>
              </w:rPr>
              <w:t>track</w:t>
            </w:r>
          </w:p>
        </w:tc>
      </w:tr>
      <w:tr w:rsidR="00451CC2" w:rsidRPr="008A7CB8" w14:paraId="190316EB" w14:textId="77777777" w:rsidTr="00DA620A">
        <w:trPr>
          <w:trHeight w:val="170"/>
          <w:jc w:val="center"/>
        </w:trPr>
        <w:tc>
          <w:tcPr>
            <w:tcW w:w="2820" w:type="dxa"/>
            <w:tcMar>
              <w:top w:w="0" w:type="dxa"/>
              <w:left w:w="100" w:type="dxa"/>
              <w:bottom w:w="0" w:type="dxa"/>
              <w:right w:w="100" w:type="dxa"/>
            </w:tcMar>
            <w:vAlign w:val="center"/>
          </w:tcPr>
          <w:p w14:paraId="2A835C47" w14:textId="77777777" w:rsidR="00451CC2" w:rsidRPr="008A7CB8" w:rsidRDefault="00540671" w:rsidP="008A7CB8">
            <w:pPr>
              <w:pStyle w:val="Tabletext"/>
              <w:rPr>
                <w:rFonts w:eastAsia="Calibri"/>
              </w:rPr>
            </w:pPr>
            <w:r w:rsidRPr="00540671">
              <w:rPr>
                <w:rFonts w:eastAsia="Calibri"/>
                <w:b/>
              </w:rPr>
              <w:t>REFORM 12:</w:t>
            </w:r>
            <w:r w:rsidR="00451CC2" w:rsidRPr="008A7CB8">
              <w:rPr>
                <w:rFonts w:eastAsia="Calibri"/>
              </w:rPr>
              <w:t xml:space="preserve"> Targeted measures to remove the high entry barriers to the exercise of professional services and to new entrants to product markets</w:t>
            </w:r>
          </w:p>
        </w:tc>
        <w:tc>
          <w:tcPr>
            <w:tcW w:w="1545" w:type="dxa"/>
            <w:tcMar>
              <w:top w:w="0" w:type="dxa"/>
              <w:left w:w="100" w:type="dxa"/>
              <w:bottom w:w="0" w:type="dxa"/>
              <w:right w:w="100" w:type="dxa"/>
            </w:tcMar>
            <w:vAlign w:val="center"/>
          </w:tcPr>
          <w:p w14:paraId="0C77CB37" w14:textId="77777777" w:rsidR="00451CC2" w:rsidRPr="008A7CB8" w:rsidRDefault="00451CC2" w:rsidP="008A7CB8">
            <w:pPr>
              <w:pStyle w:val="Tabletext"/>
              <w:rPr>
                <w:rFonts w:eastAsia="Calibri"/>
              </w:rPr>
            </w:pPr>
            <w:r w:rsidRPr="008A7CB8">
              <w:rPr>
                <w:rFonts w:eastAsia="Calibri"/>
              </w:rPr>
              <w:t>-</w:t>
            </w:r>
          </w:p>
        </w:tc>
        <w:tc>
          <w:tcPr>
            <w:tcW w:w="1680" w:type="dxa"/>
            <w:tcMar>
              <w:top w:w="0" w:type="dxa"/>
              <w:left w:w="100" w:type="dxa"/>
              <w:bottom w:w="0" w:type="dxa"/>
              <w:right w:w="100" w:type="dxa"/>
            </w:tcMar>
            <w:vAlign w:val="center"/>
          </w:tcPr>
          <w:p w14:paraId="6ABBB207" w14:textId="77777777" w:rsidR="00451CC2" w:rsidRPr="008A7CB8" w:rsidRDefault="00451CC2" w:rsidP="008A7CB8">
            <w:pPr>
              <w:pStyle w:val="Tabletext"/>
              <w:rPr>
                <w:rFonts w:eastAsia="Calibri"/>
              </w:rPr>
            </w:pPr>
            <w:r w:rsidRPr="008A7CB8">
              <w:rPr>
                <w:rFonts w:eastAsia="Calibri"/>
              </w:rPr>
              <w:t>2025 CSR 3.4</w:t>
            </w:r>
          </w:p>
          <w:p w14:paraId="3DA9A776" w14:textId="77777777" w:rsidR="00451CC2" w:rsidRPr="008A7CB8" w:rsidRDefault="00451CC2" w:rsidP="008A7CB8">
            <w:pPr>
              <w:pStyle w:val="Tabletext"/>
              <w:rPr>
                <w:rFonts w:eastAsia="Calibri"/>
              </w:rPr>
            </w:pPr>
            <w:r w:rsidRPr="008A7CB8">
              <w:rPr>
                <w:rFonts w:eastAsia="Calibri"/>
              </w:rPr>
              <w:t xml:space="preserve"> </w:t>
            </w:r>
          </w:p>
        </w:tc>
        <w:tc>
          <w:tcPr>
            <w:tcW w:w="1785" w:type="dxa"/>
            <w:tcMar>
              <w:top w:w="0" w:type="dxa"/>
              <w:left w:w="100" w:type="dxa"/>
              <w:bottom w:w="0" w:type="dxa"/>
              <w:right w:w="100" w:type="dxa"/>
            </w:tcMar>
            <w:vAlign w:val="center"/>
          </w:tcPr>
          <w:p w14:paraId="308A2971" w14:textId="77777777" w:rsidR="00451CC2" w:rsidRPr="008A7CB8" w:rsidRDefault="00451CC2" w:rsidP="008A7CB8">
            <w:pPr>
              <w:pStyle w:val="Tabletext"/>
              <w:rPr>
                <w:rFonts w:eastAsia="Calibri"/>
              </w:rPr>
            </w:pPr>
            <w:r w:rsidRPr="008A7CB8">
              <w:rPr>
                <w:rFonts w:eastAsia="Calibri"/>
              </w:rPr>
              <w:t>Social and Economic resilience</w:t>
            </w:r>
          </w:p>
          <w:p w14:paraId="3F64AA25" w14:textId="77777777" w:rsidR="00451CC2" w:rsidRPr="008A7CB8" w:rsidRDefault="00451CC2" w:rsidP="008A7CB8">
            <w:pPr>
              <w:pStyle w:val="Tabletext"/>
              <w:rPr>
                <w:rFonts w:eastAsia="Calibri"/>
              </w:rPr>
            </w:pPr>
            <w:r w:rsidRPr="008A7CB8">
              <w:rPr>
                <w:rFonts w:eastAsia="Calibri"/>
              </w:rPr>
              <w:t xml:space="preserve"> </w:t>
            </w:r>
          </w:p>
        </w:tc>
        <w:tc>
          <w:tcPr>
            <w:tcW w:w="1515" w:type="dxa"/>
            <w:tcMar>
              <w:top w:w="0" w:type="dxa"/>
              <w:left w:w="100" w:type="dxa"/>
              <w:bottom w:w="0" w:type="dxa"/>
              <w:right w:w="100" w:type="dxa"/>
            </w:tcMar>
            <w:vAlign w:val="center"/>
          </w:tcPr>
          <w:p w14:paraId="13E01BF8" w14:textId="4D24FA2C" w:rsidR="00451CC2" w:rsidRPr="008A7CB8" w:rsidRDefault="00451CC2" w:rsidP="008A7CB8">
            <w:pPr>
              <w:pStyle w:val="Tabletext"/>
              <w:rPr>
                <w:rFonts w:eastAsia="Calibri"/>
              </w:rPr>
            </w:pPr>
            <w:r w:rsidRPr="008A7CB8">
              <w:rPr>
                <w:rFonts w:eastAsia="Calibri"/>
              </w:rPr>
              <w:t>On</w:t>
            </w:r>
            <w:r w:rsidR="00A802F4">
              <w:rPr>
                <w:rFonts w:eastAsia="Calibri"/>
              </w:rPr>
              <w:t xml:space="preserve"> </w:t>
            </w:r>
            <w:r w:rsidRPr="008A7CB8">
              <w:rPr>
                <w:rFonts w:eastAsia="Calibri"/>
              </w:rPr>
              <w:t>track</w:t>
            </w:r>
          </w:p>
          <w:p w14:paraId="179DBA5C" w14:textId="77777777" w:rsidR="00451CC2" w:rsidRPr="008A7CB8" w:rsidRDefault="00451CC2" w:rsidP="008A7CB8">
            <w:pPr>
              <w:pStyle w:val="Tabletext"/>
              <w:rPr>
                <w:rFonts w:eastAsia="Calibri"/>
              </w:rPr>
            </w:pPr>
            <w:r w:rsidRPr="008A7CB8">
              <w:rPr>
                <w:rFonts w:eastAsia="Calibri"/>
              </w:rPr>
              <w:t xml:space="preserve"> </w:t>
            </w:r>
          </w:p>
        </w:tc>
      </w:tr>
      <w:tr w:rsidR="00451CC2" w:rsidRPr="008A7CB8" w14:paraId="5780EABD" w14:textId="77777777" w:rsidTr="00DA620A">
        <w:trPr>
          <w:trHeight w:val="170"/>
          <w:jc w:val="center"/>
        </w:trPr>
        <w:tc>
          <w:tcPr>
            <w:tcW w:w="2820" w:type="dxa"/>
            <w:tcMar>
              <w:top w:w="0" w:type="dxa"/>
              <w:left w:w="100" w:type="dxa"/>
              <w:bottom w:w="0" w:type="dxa"/>
              <w:right w:w="100" w:type="dxa"/>
            </w:tcMar>
            <w:vAlign w:val="center"/>
          </w:tcPr>
          <w:p w14:paraId="2692F164" w14:textId="77777777" w:rsidR="00451CC2" w:rsidRPr="008A7CB8" w:rsidRDefault="00540671" w:rsidP="008A7CB8">
            <w:pPr>
              <w:pStyle w:val="Tabletext"/>
              <w:rPr>
                <w:rFonts w:eastAsia="Calibri"/>
              </w:rPr>
            </w:pPr>
            <w:r w:rsidRPr="00540671">
              <w:rPr>
                <w:rFonts w:eastAsia="Calibri"/>
                <w:b/>
              </w:rPr>
              <w:t>REFORM 13:</w:t>
            </w:r>
            <w:r w:rsidR="00451CC2" w:rsidRPr="008A7CB8">
              <w:rPr>
                <w:rFonts w:eastAsia="Calibri"/>
              </w:rPr>
              <w:t xml:space="preserve"> Improvement of the governance of the national research, development and innovation system</w:t>
            </w:r>
          </w:p>
        </w:tc>
        <w:tc>
          <w:tcPr>
            <w:tcW w:w="1545" w:type="dxa"/>
            <w:tcMar>
              <w:top w:w="0" w:type="dxa"/>
              <w:left w:w="100" w:type="dxa"/>
              <w:bottom w:w="0" w:type="dxa"/>
              <w:right w:w="100" w:type="dxa"/>
            </w:tcMar>
            <w:vAlign w:val="center"/>
          </w:tcPr>
          <w:p w14:paraId="6E434FC2" w14:textId="77777777" w:rsidR="00451CC2" w:rsidRPr="008A7CB8" w:rsidRDefault="00451CC2" w:rsidP="008A7CB8">
            <w:pPr>
              <w:pStyle w:val="Tabletext"/>
              <w:rPr>
                <w:rFonts w:eastAsia="Calibri"/>
              </w:rPr>
            </w:pPr>
            <w:r w:rsidRPr="008A7CB8">
              <w:rPr>
                <w:rFonts w:eastAsia="Calibri"/>
              </w:rPr>
              <w:t>-</w:t>
            </w:r>
          </w:p>
        </w:tc>
        <w:tc>
          <w:tcPr>
            <w:tcW w:w="1680" w:type="dxa"/>
            <w:tcMar>
              <w:top w:w="0" w:type="dxa"/>
              <w:left w:w="100" w:type="dxa"/>
              <w:bottom w:w="0" w:type="dxa"/>
              <w:right w:w="100" w:type="dxa"/>
            </w:tcMar>
            <w:vAlign w:val="center"/>
          </w:tcPr>
          <w:p w14:paraId="2757BBCA" w14:textId="77777777" w:rsidR="00451CC2" w:rsidRPr="008A7CB8" w:rsidRDefault="00451CC2" w:rsidP="008A7CB8">
            <w:pPr>
              <w:pStyle w:val="Tabletext"/>
              <w:rPr>
                <w:rFonts w:eastAsia="Calibri"/>
              </w:rPr>
            </w:pPr>
            <w:r w:rsidRPr="008A7CB8">
              <w:rPr>
                <w:rFonts w:eastAsia="Calibri"/>
              </w:rPr>
              <w:t>2025 CSR 3.5</w:t>
            </w:r>
          </w:p>
          <w:p w14:paraId="6BCC0707" w14:textId="77777777" w:rsidR="00451CC2" w:rsidRPr="008A7CB8" w:rsidRDefault="00451CC2" w:rsidP="008A7CB8">
            <w:pPr>
              <w:pStyle w:val="Tabletext"/>
              <w:rPr>
                <w:rFonts w:eastAsia="Calibri"/>
              </w:rPr>
            </w:pPr>
            <w:r w:rsidRPr="008A7CB8">
              <w:rPr>
                <w:rFonts w:eastAsia="Calibri"/>
              </w:rPr>
              <w:t xml:space="preserve"> </w:t>
            </w:r>
          </w:p>
        </w:tc>
        <w:tc>
          <w:tcPr>
            <w:tcW w:w="1785" w:type="dxa"/>
            <w:tcMar>
              <w:top w:w="0" w:type="dxa"/>
              <w:left w:w="100" w:type="dxa"/>
              <w:bottom w:w="0" w:type="dxa"/>
              <w:right w:w="100" w:type="dxa"/>
            </w:tcMar>
            <w:vAlign w:val="center"/>
          </w:tcPr>
          <w:p w14:paraId="0D367ECC" w14:textId="77777777" w:rsidR="00451CC2" w:rsidRPr="008A7CB8" w:rsidRDefault="00451CC2" w:rsidP="008A7CB8">
            <w:pPr>
              <w:pStyle w:val="Tabletext"/>
              <w:rPr>
                <w:rFonts w:eastAsia="Calibri"/>
              </w:rPr>
            </w:pPr>
            <w:r w:rsidRPr="008A7CB8">
              <w:rPr>
                <w:rFonts w:eastAsia="Calibri"/>
              </w:rPr>
              <w:t>Social and Economic resilience</w:t>
            </w:r>
          </w:p>
          <w:p w14:paraId="7EAB1745" w14:textId="77777777" w:rsidR="00451CC2" w:rsidRPr="008A7CB8" w:rsidRDefault="00451CC2" w:rsidP="008A7CB8">
            <w:pPr>
              <w:pStyle w:val="Tabletext"/>
              <w:rPr>
                <w:rFonts w:eastAsia="Calibri"/>
              </w:rPr>
            </w:pPr>
            <w:r w:rsidRPr="008A7CB8">
              <w:rPr>
                <w:rFonts w:eastAsia="Calibri"/>
              </w:rPr>
              <w:t xml:space="preserve"> </w:t>
            </w:r>
          </w:p>
        </w:tc>
        <w:tc>
          <w:tcPr>
            <w:tcW w:w="1515" w:type="dxa"/>
            <w:tcMar>
              <w:top w:w="0" w:type="dxa"/>
              <w:left w:w="100" w:type="dxa"/>
              <w:bottom w:w="0" w:type="dxa"/>
              <w:right w:w="100" w:type="dxa"/>
            </w:tcMar>
            <w:vAlign w:val="center"/>
          </w:tcPr>
          <w:p w14:paraId="04A8B6FE" w14:textId="38A846CF" w:rsidR="00451CC2" w:rsidRPr="008A7CB8" w:rsidRDefault="00451CC2" w:rsidP="008A7CB8">
            <w:pPr>
              <w:pStyle w:val="Tabletext"/>
              <w:rPr>
                <w:rFonts w:eastAsia="Calibri"/>
              </w:rPr>
            </w:pPr>
            <w:r w:rsidRPr="008A7CB8">
              <w:rPr>
                <w:rFonts w:eastAsia="Calibri"/>
              </w:rPr>
              <w:t>On</w:t>
            </w:r>
            <w:r w:rsidR="00A802F4">
              <w:rPr>
                <w:rFonts w:eastAsia="Calibri"/>
              </w:rPr>
              <w:t xml:space="preserve"> </w:t>
            </w:r>
            <w:r w:rsidRPr="008A7CB8">
              <w:rPr>
                <w:rFonts w:eastAsia="Calibri"/>
              </w:rPr>
              <w:t>track</w:t>
            </w:r>
          </w:p>
        </w:tc>
      </w:tr>
      <w:tr w:rsidR="00451CC2" w:rsidRPr="008A7CB8" w14:paraId="1C8600EE" w14:textId="77777777" w:rsidTr="00DA620A">
        <w:trPr>
          <w:trHeight w:val="170"/>
          <w:jc w:val="center"/>
        </w:trPr>
        <w:tc>
          <w:tcPr>
            <w:tcW w:w="2820" w:type="dxa"/>
            <w:tcMar>
              <w:top w:w="0" w:type="dxa"/>
              <w:left w:w="100" w:type="dxa"/>
              <w:bottom w:w="0" w:type="dxa"/>
              <w:right w:w="100" w:type="dxa"/>
            </w:tcMar>
            <w:vAlign w:val="center"/>
          </w:tcPr>
          <w:p w14:paraId="07BA44E8" w14:textId="77777777" w:rsidR="00451CC2" w:rsidRPr="008A7CB8" w:rsidRDefault="00540671" w:rsidP="008A7CB8">
            <w:pPr>
              <w:pStyle w:val="Tabletext"/>
              <w:rPr>
                <w:rFonts w:eastAsia="Calibri"/>
              </w:rPr>
            </w:pPr>
            <w:r w:rsidRPr="00540671">
              <w:rPr>
                <w:rFonts w:eastAsia="Calibri"/>
                <w:b/>
              </w:rPr>
              <w:t>INVESTMENT 1:</w:t>
            </w:r>
            <w:r w:rsidR="00451CC2" w:rsidRPr="008A7CB8">
              <w:rPr>
                <w:rFonts w:eastAsia="Calibri"/>
              </w:rPr>
              <w:t xml:space="preserve"> Basic &amp; Applied Research</w:t>
            </w:r>
          </w:p>
        </w:tc>
        <w:tc>
          <w:tcPr>
            <w:tcW w:w="1545" w:type="dxa"/>
            <w:tcMar>
              <w:top w:w="0" w:type="dxa"/>
              <w:left w:w="100" w:type="dxa"/>
              <w:bottom w:w="0" w:type="dxa"/>
              <w:right w:w="100" w:type="dxa"/>
            </w:tcMar>
            <w:vAlign w:val="center"/>
          </w:tcPr>
          <w:p w14:paraId="0FF22F82" w14:textId="77777777" w:rsidR="00451CC2" w:rsidRPr="008A7CB8" w:rsidRDefault="00451CC2" w:rsidP="008A7CB8">
            <w:pPr>
              <w:pStyle w:val="Tabletext"/>
              <w:rPr>
                <w:rFonts w:eastAsia="Calibri"/>
              </w:rPr>
            </w:pPr>
            <w:r w:rsidRPr="008A7CB8">
              <w:rPr>
                <w:rFonts w:eastAsia="Calibri"/>
              </w:rPr>
              <w:t>RRF 16618</w:t>
            </w:r>
          </w:p>
          <w:p w14:paraId="59153CAE" w14:textId="77777777" w:rsidR="00451CC2" w:rsidRPr="008A7CB8" w:rsidRDefault="00451CC2" w:rsidP="008A7CB8">
            <w:pPr>
              <w:pStyle w:val="Tabletext"/>
              <w:rPr>
                <w:rFonts w:eastAsia="Calibri"/>
              </w:rPr>
            </w:pPr>
            <w:r w:rsidRPr="008A7CB8">
              <w:rPr>
                <w:rFonts w:eastAsia="Calibri"/>
              </w:rPr>
              <w:t xml:space="preserve"> </w:t>
            </w:r>
          </w:p>
        </w:tc>
        <w:tc>
          <w:tcPr>
            <w:tcW w:w="1680" w:type="dxa"/>
            <w:tcMar>
              <w:top w:w="0" w:type="dxa"/>
              <w:left w:w="100" w:type="dxa"/>
              <w:bottom w:w="0" w:type="dxa"/>
              <w:right w:w="100" w:type="dxa"/>
            </w:tcMar>
            <w:vAlign w:val="center"/>
          </w:tcPr>
          <w:p w14:paraId="1EC5D0BB" w14:textId="1476D857" w:rsidR="00451CC2" w:rsidRPr="008A7CB8" w:rsidRDefault="00451CC2" w:rsidP="008A7CB8">
            <w:pPr>
              <w:pStyle w:val="Tabletext"/>
              <w:rPr>
                <w:rFonts w:eastAsia="Calibri"/>
              </w:rPr>
            </w:pPr>
            <w:r w:rsidRPr="008A7CB8">
              <w:rPr>
                <w:rFonts w:eastAsia="Calibri"/>
              </w:rPr>
              <w:t>2024 CSR 1.7</w:t>
            </w:r>
            <w:r w:rsidRPr="008A7CB8">
              <w:rPr>
                <w:rFonts w:eastAsia="Calibri"/>
              </w:rPr>
              <w:br/>
              <w:t>2020 CSR 3.3</w:t>
            </w:r>
            <w:r w:rsidRPr="008A7CB8">
              <w:rPr>
                <w:rFonts w:eastAsia="Calibri"/>
              </w:rPr>
              <w:br/>
              <w:t>2020 CSR 3.9</w:t>
            </w:r>
            <w:r w:rsidRPr="008A7CB8">
              <w:rPr>
                <w:rFonts w:eastAsia="Calibri"/>
              </w:rPr>
              <w:br/>
              <w:t>2019 CSR 2.3</w:t>
            </w:r>
            <w:r w:rsidRPr="008A7CB8">
              <w:rPr>
                <w:rFonts w:eastAsia="Calibri"/>
              </w:rPr>
              <w:br/>
              <w:t>2019 CSR 2.4</w:t>
            </w:r>
          </w:p>
        </w:tc>
        <w:tc>
          <w:tcPr>
            <w:tcW w:w="1785" w:type="dxa"/>
            <w:tcMar>
              <w:top w:w="0" w:type="dxa"/>
              <w:left w:w="100" w:type="dxa"/>
              <w:bottom w:w="0" w:type="dxa"/>
              <w:right w:w="100" w:type="dxa"/>
            </w:tcMar>
            <w:vAlign w:val="center"/>
          </w:tcPr>
          <w:p w14:paraId="25E55088" w14:textId="77777777" w:rsidR="00451CC2" w:rsidRPr="008A7CB8" w:rsidRDefault="00451CC2" w:rsidP="008A7CB8">
            <w:pPr>
              <w:pStyle w:val="Tabletext"/>
              <w:rPr>
                <w:rFonts w:eastAsia="Calibri"/>
              </w:rPr>
            </w:pPr>
            <w:r w:rsidRPr="008A7CB8">
              <w:rPr>
                <w:rFonts w:eastAsia="Calibri"/>
              </w:rPr>
              <w:t>Social and Economic resilience</w:t>
            </w:r>
          </w:p>
        </w:tc>
        <w:tc>
          <w:tcPr>
            <w:tcW w:w="1515" w:type="dxa"/>
            <w:tcMar>
              <w:top w:w="0" w:type="dxa"/>
              <w:left w:w="100" w:type="dxa"/>
              <w:bottom w:w="0" w:type="dxa"/>
              <w:right w:w="100" w:type="dxa"/>
            </w:tcMar>
            <w:vAlign w:val="center"/>
          </w:tcPr>
          <w:p w14:paraId="694F2687" w14:textId="6C5BA788" w:rsidR="00451CC2" w:rsidRPr="008A7CB8" w:rsidRDefault="00451CC2" w:rsidP="008A7CB8">
            <w:pPr>
              <w:pStyle w:val="Tabletext"/>
              <w:rPr>
                <w:rFonts w:eastAsia="Calibri"/>
              </w:rPr>
            </w:pPr>
            <w:r w:rsidRPr="008A7CB8">
              <w:rPr>
                <w:rFonts w:eastAsia="Calibri"/>
              </w:rPr>
              <w:t xml:space="preserve">On </w:t>
            </w:r>
            <w:r w:rsidR="00A802F4">
              <w:rPr>
                <w:rFonts w:eastAsia="Calibri"/>
              </w:rPr>
              <w:t>t</w:t>
            </w:r>
            <w:r w:rsidRPr="008A7CB8">
              <w:rPr>
                <w:rFonts w:eastAsia="Calibri"/>
              </w:rPr>
              <w:t>rack</w:t>
            </w:r>
          </w:p>
        </w:tc>
      </w:tr>
      <w:tr w:rsidR="00451CC2" w:rsidRPr="008A7CB8" w14:paraId="6D4CD11D" w14:textId="77777777" w:rsidTr="00DA620A">
        <w:trPr>
          <w:trHeight w:val="170"/>
          <w:jc w:val="center"/>
        </w:trPr>
        <w:tc>
          <w:tcPr>
            <w:tcW w:w="2820" w:type="dxa"/>
            <w:tcMar>
              <w:top w:w="0" w:type="dxa"/>
              <w:left w:w="100" w:type="dxa"/>
              <w:bottom w:w="0" w:type="dxa"/>
              <w:right w:w="100" w:type="dxa"/>
            </w:tcMar>
            <w:vAlign w:val="center"/>
          </w:tcPr>
          <w:p w14:paraId="5BDE75EA" w14:textId="77777777" w:rsidR="00451CC2" w:rsidRPr="008A7CB8" w:rsidRDefault="00540671" w:rsidP="008A7CB8">
            <w:pPr>
              <w:pStyle w:val="Tabletext"/>
              <w:rPr>
                <w:rFonts w:eastAsia="Calibri"/>
              </w:rPr>
            </w:pPr>
            <w:r w:rsidRPr="00540671">
              <w:rPr>
                <w:rFonts w:eastAsia="Calibri"/>
                <w:b/>
              </w:rPr>
              <w:t>INVESTMENT 2:</w:t>
            </w:r>
            <w:r w:rsidR="00451CC2" w:rsidRPr="008A7CB8">
              <w:rPr>
                <w:rFonts w:eastAsia="Calibri"/>
              </w:rPr>
              <w:t xml:space="preserve"> Creation - Expansion – Upgrade of Infrastructures of Research Centers supervised by the General Secretariat for Research and Innovation (GSRI)</w:t>
            </w:r>
          </w:p>
        </w:tc>
        <w:tc>
          <w:tcPr>
            <w:tcW w:w="1545" w:type="dxa"/>
            <w:tcMar>
              <w:top w:w="0" w:type="dxa"/>
              <w:left w:w="100" w:type="dxa"/>
              <w:bottom w:w="0" w:type="dxa"/>
              <w:right w:w="100" w:type="dxa"/>
            </w:tcMar>
            <w:vAlign w:val="center"/>
          </w:tcPr>
          <w:p w14:paraId="005E687B" w14:textId="77777777" w:rsidR="00451CC2" w:rsidRPr="008A7CB8" w:rsidRDefault="00451CC2" w:rsidP="008A7CB8">
            <w:pPr>
              <w:pStyle w:val="Tabletext"/>
              <w:rPr>
                <w:rFonts w:eastAsia="Calibri"/>
              </w:rPr>
            </w:pPr>
            <w:r w:rsidRPr="008A7CB8">
              <w:rPr>
                <w:rFonts w:eastAsia="Calibri"/>
              </w:rPr>
              <w:t>RRF 16624</w:t>
            </w:r>
          </w:p>
        </w:tc>
        <w:tc>
          <w:tcPr>
            <w:tcW w:w="1680" w:type="dxa"/>
            <w:tcMar>
              <w:top w:w="0" w:type="dxa"/>
              <w:left w:w="100" w:type="dxa"/>
              <w:bottom w:w="0" w:type="dxa"/>
              <w:right w:w="100" w:type="dxa"/>
            </w:tcMar>
            <w:vAlign w:val="center"/>
          </w:tcPr>
          <w:p w14:paraId="40DADB53" w14:textId="489421BE" w:rsidR="00451CC2" w:rsidRPr="008A7CB8" w:rsidRDefault="00451CC2" w:rsidP="008A7CB8">
            <w:pPr>
              <w:pStyle w:val="Tabletext"/>
              <w:rPr>
                <w:rFonts w:eastAsia="Calibri"/>
              </w:rPr>
            </w:pPr>
            <w:r w:rsidRPr="008A7CB8">
              <w:rPr>
                <w:rFonts w:eastAsia="Calibri"/>
              </w:rPr>
              <w:t>2024 CSR 1.7</w:t>
            </w:r>
            <w:r w:rsidRPr="008A7CB8">
              <w:rPr>
                <w:rFonts w:eastAsia="Calibri"/>
              </w:rPr>
              <w:br/>
              <w:t>2020 CSR 3.3</w:t>
            </w:r>
            <w:r w:rsidRPr="008A7CB8">
              <w:rPr>
                <w:rFonts w:eastAsia="Calibri"/>
              </w:rPr>
              <w:br/>
              <w:t>2020 CSR 3.9</w:t>
            </w:r>
            <w:r w:rsidRPr="008A7CB8">
              <w:rPr>
                <w:rFonts w:eastAsia="Calibri"/>
              </w:rPr>
              <w:br/>
              <w:t>2019 CSR 2.4</w:t>
            </w:r>
          </w:p>
        </w:tc>
        <w:tc>
          <w:tcPr>
            <w:tcW w:w="1785" w:type="dxa"/>
            <w:tcMar>
              <w:top w:w="0" w:type="dxa"/>
              <w:left w:w="100" w:type="dxa"/>
              <w:bottom w:w="0" w:type="dxa"/>
              <w:right w:w="100" w:type="dxa"/>
            </w:tcMar>
            <w:vAlign w:val="center"/>
          </w:tcPr>
          <w:p w14:paraId="271CD22D" w14:textId="77777777" w:rsidR="00451CC2" w:rsidRPr="008A7CB8" w:rsidRDefault="00451CC2" w:rsidP="008A7CB8">
            <w:pPr>
              <w:pStyle w:val="Tabletext"/>
              <w:rPr>
                <w:rFonts w:eastAsia="Calibri"/>
              </w:rPr>
            </w:pPr>
            <w:r w:rsidRPr="008A7CB8">
              <w:rPr>
                <w:rFonts w:eastAsia="Calibri"/>
              </w:rPr>
              <w:t>Social and Economic resilience</w:t>
            </w:r>
          </w:p>
          <w:p w14:paraId="17B7D41A" w14:textId="77777777" w:rsidR="00451CC2" w:rsidRPr="008A7CB8" w:rsidRDefault="00451CC2" w:rsidP="008A7CB8">
            <w:pPr>
              <w:pStyle w:val="Tabletext"/>
              <w:rPr>
                <w:rFonts w:eastAsia="Calibri"/>
              </w:rPr>
            </w:pPr>
            <w:r w:rsidRPr="008A7CB8">
              <w:rPr>
                <w:rFonts w:eastAsia="Calibri"/>
              </w:rPr>
              <w:t xml:space="preserve"> </w:t>
            </w:r>
          </w:p>
        </w:tc>
        <w:tc>
          <w:tcPr>
            <w:tcW w:w="1515" w:type="dxa"/>
            <w:tcMar>
              <w:top w:w="0" w:type="dxa"/>
              <w:left w:w="100" w:type="dxa"/>
              <w:bottom w:w="0" w:type="dxa"/>
              <w:right w:w="100" w:type="dxa"/>
            </w:tcMar>
            <w:vAlign w:val="center"/>
          </w:tcPr>
          <w:p w14:paraId="0250B56D" w14:textId="3DB2BF0C" w:rsidR="00451CC2" w:rsidRPr="008A7CB8" w:rsidRDefault="00451CC2" w:rsidP="008A7CB8">
            <w:pPr>
              <w:pStyle w:val="Tabletext"/>
              <w:rPr>
                <w:rFonts w:eastAsia="Calibri"/>
              </w:rPr>
            </w:pPr>
            <w:r w:rsidRPr="008A7CB8">
              <w:rPr>
                <w:rFonts w:eastAsia="Calibri"/>
              </w:rPr>
              <w:t xml:space="preserve">On </w:t>
            </w:r>
            <w:r w:rsidR="00A802F4">
              <w:rPr>
                <w:rFonts w:eastAsia="Calibri"/>
              </w:rPr>
              <w:t>t</w:t>
            </w:r>
            <w:r w:rsidRPr="008A7CB8">
              <w:rPr>
                <w:rFonts w:eastAsia="Calibri"/>
              </w:rPr>
              <w:t>rack</w:t>
            </w:r>
          </w:p>
        </w:tc>
      </w:tr>
      <w:tr w:rsidR="00451CC2" w:rsidRPr="008A7CB8" w14:paraId="2D9F8F2D" w14:textId="77777777" w:rsidTr="00DA620A">
        <w:trPr>
          <w:trHeight w:val="170"/>
          <w:jc w:val="center"/>
        </w:trPr>
        <w:tc>
          <w:tcPr>
            <w:tcW w:w="2820" w:type="dxa"/>
            <w:tcMar>
              <w:top w:w="0" w:type="dxa"/>
              <w:left w:w="100" w:type="dxa"/>
              <w:bottom w:w="0" w:type="dxa"/>
              <w:right w:w="100" w:type="dxa"/>
            </w:tcMar>
            <w:vAlign w:val="center"/>
          </w:tcPr>
          <w:p w14:paraId="36FF406C" w14:textId="77777777" w:rsidR="00451CC2" w:rsidRPr="008A7CB8" w:rsidRDefault="00540671" w:rsidP="008A7CB8">
            <w:pPr>
              <w:pStyle w:val="Tabletext"/>
              <w:rPr>
                <w:rFonts w:eastAsia="Calibri"/>
              </w:rPr>
            </w:pPr>
            <w:r w:rsidRPr="00540671">
              <w:rPr>
                <w:rFonts w:eastAsia="Calibri"/>
                <w:b/>
              </w:rPr>
              <w:t>INVESTMENT 3:</w:t>
            </w:r>
            <w:r w:rsidR="00451CC2" w:rsidRPr="008A7CB8">
              <w:rPr>
                <w:rFonts w:eastAsia="Calibri"/>
              </w:rPr>
              <w:t xml:space="preserve"> New Industrial Parks</w:t>
            </w:r>
          </w:p>
        </w:tc>
        <w:tc>
          <w:tcPr>
            <w:tcW w:w="1545" w:type="dxa"/>
            <w:tcMar>
              <w:top w:w="0" w:type="dxa"/>
              <w:left w:w="100" w:type="dxa"/>
              <w:bottom w:w="0" w:type="dxa"/>
              <w:right w:w="100" w:type="dxa"/>
            </w:tcMar>
            <w:vAlign w:val="center"/>
          </w:tcPr>
          <w:p w14:paraId="79573597" w14:textId="77777777" w:rsidR="00451CC2" w:rsidRPr="008A7CB8" w:rsidRDefault="00451CC2" w:rsidP="008A7CB8">
            <w:pPr>
              <w:pStyle w:val="Tabletext"/>
              <w:rPr>
                <w:rFonts w:eastAsia="Calibri"/>
              </w:rPr>
            </w:pPr>
            <w:r w:rsidRPr="008A7CB8">
              <w:rPr>
                <w:rFonts w:eastAsia="Calibri"/>
              </w:rPr>
              <w:t>RRF 16634</w:t>
            </w:r>
          </w:p>
          <w:p w14:paraId="21AFD133" w14:textId="77777777" w:rsidR="00451CC2" w:rsidRPr="008A7CB8" w:rsidRDefault="00451CC2" w:rsidP="008A7CB8">
            <w:pPr>
              <w:pStyle w:val="Tabletext"/>
              <w:rPr>
                <w:rFonts w:eastAsia="Calibri"/>
              </w:rPr>
            </w:pPr>
            <w:r w:rsidRPr="008A7CB8">
              <w:rPr>
                <w:rFonts w:eastAsia="Calibri"/>
              </w:rPr>
              <w:t xml:space="preserve"> </w:t>
            </w:r>
          </w:p>
        </w:tc>
        <w:tc>
          <w:tcPr>
            <w:tcW w:w="1680" w:type="dxa"/>
            <w:tcMar>
              <w:top w:w="0" w:type="dxa"/>
              <w:left w:w="100" w:type="dxa"/>
              <w:bottom w:w="0" w:type="dxa"/>
              <w:right w:w="100" w:type="dxa"/>
            </w:tcMar>
            <w:vAlign w:val="center"/>
          </w:tcPr>
          <w:p w14:paraId="70F9685E" w14:textId="77777777" w:rsidR="00451CC2" w:rsidRPr="008A7CB8" w:rsidRDefault="00451CC2" w:rsidP="008A7CB8">
            <w:pPr>
              <w:pStyle w:val="Tabletext"/>
              <w:rPr>
                <w:rFonts w:eastAsia="Calibri"/>
              </w:rPr>
            </w:pPr>
            <w:r w:rsidRPr="008A7CB8">
              <w:rPr>
                <w:rFonts w:eastAsia="Calibri"/>
              </w:rPr>
              <w:t>2025 CSR 4.3</w:t>
            </w:r>
          </w:p>
          <w:p w14:paraId="2B25CBFF" w14:textId="77777777" w:rsidR="00451CC2" w:rsidRPr="008A7CB8" w:rsidRDefault="00451CC2" w:rsidP="008A7CB8">
            <w:pPr>
              <w:pStyle w:val="Tabletext"/>
              <w:rPr>
                <w:rFonts w:eastAsia="Calibri"/>
              </w:rPr>
            </w:pPr>
            <w:r w:rsidRPr="008A7CB8">
              <w:rPr>
                <w:rFonts w:eastAsia="Calibri"/>
              </w:rPr>
              <w:t>2025 CSR 4.5</w:t>
            </w:r>
          </w:p>
          <w:p w14:paraId="640FB433" w14:textId="6A19ACC1" w:rsidR="00451CC2" w:rsidRPr="008A7CB8" w:rsidRDefault="00451CC2" w:rsidP="008A7CB8">
            <w:pPr>
              <w:pStyle w:val="Tabletext"/>
              <w:rPr>
                <w:rFonts w:eastAsia="Calibri"/>
              </w:rPr>
            </w:pPr>
            <w:r w:rsidRPr="008A7CB8">
              <w:rPr>
                <w:rFonts w:eastAsia="Calibri"/>
              </w:rPr>
              <w:t>2024 CSR 1.7</w:t>
            </w:r>
            <w:r w:rsidRPr="008A7CB8">
              <w:rPr>
                <w:rFonts w:eastAsia="Calibri"/>
              </w:rPr>
              <w:br/>
              <w:t>2024 CSR 4.1</w:t>
            </w:r>
            <w:r w:rsidRPr="008A7CB8">
              <w:rPr>
                <w:rFonts w:eastAsia="Calibri"/>
              </w:rPr>
              <w:br/>
              <w:t>2023 CSR 4.3</w:t>
            </w:r>
            <w:r w:rsidRPr="008A7CB8">
              <w:rPr>
                <w:rFonts w:eastAsia="Calibri"/>
              </w:rPr>
              <w:br/>
              <w:t>2023 CSR 4.4</w:t>
            </w:r>
            <w:r w:rsidRPr="008A7CB8">
              <w:rPr>
                <w:rFonts w:eastAsia="Calibri"/>
              </w:rPr>
              <w:br/>
              <w:t>2023 CSR 4.6</w:t>
            </w:r>
            <w:r w:rsidRPr="008A7CB8">
              <w:rPr>
                <w:rFonts w:eastAsia="Calibri"/>
              </w:rPr>
              <w:br/>
              <w:t>2022 CSR 4.2</w:t>
            </w:r>
            <w:r w:rsidRPr="008A7CB8">
              <w:rPr>
                <w:rFonts w:eastAsia="Calibri"/>
              </w:rPr>
              <w:br/>
              <w:t>2022 CSR 4.5</w:t>
            </w:r>
            <w:r w:rsidRPr="008A7CB8">
              <w:rPr>
                <w:rFonts w:eastAsia="Calibri"/>
              </w:rPr>
              <w:br/>
              <w:t>2022 CSR 4.6</w:t>
            </w:r>
            <w:r w:rsidRPr="008A7CB8">
              <w:rPr>
                <w:rFonts w:eastAsia="Calibri"/>
              </w:rPr>
              <w:br/>
              <w:t>2020 CSR 3.3</w:t>
            </w:r>
            <w:r w:rsidRPr="008A7CB8">
              <w:rPr>
                <w:rFonts w:eastAsia="Calibri"/>
              </w:rPr>
              <w:br/>
              <w:t>2020 CSR 3.6</w:t>
            </w:r>
            <w:r w:rsidRPr="008A7CB8">
              <w:rPr>
                <w:rFonts w:eastAsia="Calibri"/>
              </w:rPr>
              <w:br/>
              <w:t>2019 CSR 2.2</w:t>
            </w:r>
            <w:r w:rsidRPr="008A7CB8">
              <w:rPr>
                <w:rFonts w:eastAsia="Calibri"/>
              </w:rPr>
              <w:br/>
              <w:t>2019 CSR 2.3</w:t>
            </w:r>
          </w:p>
        </w:tc>
        <w:tc>
          <w:tcPr>
            <w:tcW w:w="1785" w:type="dxa"/>
            <w:tcMar>
              <w:top w:w="0" w:type="dxa"/>
              <w:left w:w="100" w:type="dxa"/>
              <w:bottom w:w="0" w:type="dxa"/>
              <w:right w:w="100" w:type="dxa"/>
            </w:tcMar>
            <w:vAlign w:val="center"/>
          </w:tcPr>
          <w:p w14:paraId="4980FC11" w14:textId="77777777" w:rsidR="00451CC2" w:rsidRPr="008A7CB8" w:rsidRDefault="00451CC2" w:rsidP="008A7CB8">
            <w:pPr>
              <w:pStyle w:val="Tabletext"/>
              <w:rPr>
                <w:rFonts w:eastAsia="Calibri"/>
              </w:rPr>
            </w:pPr>
            <w:r w:rsidRPr="008A7CB8">
              <w:rPr>
                <w:rFonts w:eastAsia="Calibri"/>
              </w:rPr>
              <w:t>Fair green &amp; digital transition</w:t>
            </w:r>
          </w:p>
        </w:tc>
        <w:tc>
          <w:tcPr>
            <w:tcW w:w="1515" w:type="dxa"/>
            <w:tcMar>
              <w:top w:w="0" w:type="dxa"/>
              <w:left w:w="100" w:type="dxa"/>
              <w:bottom w:w="0" w:type="dxa"/>
              <w:right w:w="100" w:type="dxa"/>
            </w:tcMar>
            <w:vAlign w:val="center"/>
          </w:tcPr>
          <w:p w14:paraId="7452F575" w14:textId="02DEF84D" w:rsidR="00451CC2" w:rsidRPr="008A7CB8" w:rsidRDefault="00451CC2" w:rsidP="008A7CB8">
            <w:pPr>
              <w:pStyle w:val="Tabletext"/>
              <w:rPr>
                <w:rFonts w:eastAsia="Calibri"/>
              </w:rPr>
            </w:pPr>
            <w:r w:rsidRPr="008A7CB8">
              <w:rPr>
                <w:rFonts w:eastAsia="Calibri"/>
              </w:rPr>
              <w:t>On</w:t>
            </w:r>
            <w:r w:rsidR="00A802F4">
              <w:rPr>
                <w:rFonts w:eastAsia="Calibri"/>
              </w:rPr>
              <w:t xml:space="preserve"> </w:t>
            </w:r>
            <w:r w:rsidRPr="008A7CB8">
              <w:rPr>
                <w:rFonts w:eastAsia="Calibri"/>
              </w:rPr>
              <w:t>track</w:t>
            </w:r>
          </w:p>
        </w:tc>
      </w:tr>
      <w:tr w:rsidR="00451CC2" w:rsidRPr="008A7CB8" w14:paraId="203E5646" w14:textId="77777777" w:rsidTr="00DA620A">
        <w:trPr>
          <w:trHeight w:val="170"/>
          <w:jc w:val="center"/>
        </w:trPr>
        <w:tc>
          <w:tcPr>
            <w:tcW w:w="2820" w:type="dxa"/>
            <w:tcMar>
              <w:top w:w="0" w:type="dxa"/>
              <w:left w:w="100" w:type="dxa"/>
              <w:bottom w:w="0" w:type="dxa"/>
              <w:right w:w="100" w:type="dxa"/>
            </w:tcMar>
            <w:vAlign w:val="center"/>
          </w:tcPr>
          <w:p w14:paraId="5D448CFC" w14:textId="77777777" w:rsidR="00451CC2" w:rsidRPr="008A7CB8" w:rsidRDefault="00540671" w:rsidP="008A7CB8">
            <w:pPr>
              <w:pStyle w:val="Tabletext"/>
              <w:rPr>
                <w:rFonts w:eastAsia="Calibri"/>
              </w:rPr>
            </w:pPr>
            <w:r w:rsidRPr="00540671">
              <w:rPr>
                <w:rFonts w:eastAsia="Calibri"/>
                <w:b/>
              </w:rPr>
              <w:t>INVESTMENT 4:</w:t>
            </w:r>
            <w:r w:rsidR="00451CC2" w:rsidRPr="008A7CB8">
              <w:rPr>
                <w:rFonts w:eastAsia="Calibri"/>
              </w:rPr>
              <w:t xml:space="preserve"> TH2ORAX: Trellis Holistic &amp; Hybrid Operational Ruggedized Autonomous </w:t>
            </w:r>
            <w:proofErr w:type="spellStart"/>
            <w:r w:rsidR="00451CC2" w:rsidRPr="008A7CB8">
              <w:rPr>
                <w:rFonts w:eastAsia="Calibri"/>
              </w:rPr>
              <w:t>eXemplary</w:t>
            </w:r>
            <w:proofErr w:type="spellEnd"/>
            <w:r w:rsidR="00451CC2" w:rsidRPr="008A7CB8">
              <w:rPr>
                <w:rFonts w:eastAsia="Calibri"/>
              </w:rPr>
              <w:t xml:space="preserve"> system</w:t>
            </w:r>
          </w:p>
        </w:tc>
        <w:tc>
          <w:tcPr>
            <w:tcW w:w="1545" w:type="dxa"/>
            <w:tcMar>
              <w:top w:w="0" w:type="dxa"/>
              <w:left w:w="100" w:type="dxa"/>
              <w:bottom w:w="0" w:type="dxa"/>
              <w:right w:w="100" w:type="dxa"/>
            </w:tcMar>
            <w:vAlign w:val="center"/>
          </w:tcPr>
          <w:p w14:paraId="29E17F02" w14:textId="77777777" w:rsidR="00451CC2" w:rsidRPr="008A7CB8" w:rsidRDefault="00451CC2" w:rsidP="008A7CB8">
            <w:pPr>
              <w:pStyle w:val="Tabletext"/>
              <w:rPr>
                <w:rFonts w:eastAsia="Calibri"/>
              </w:rPr>
            </w:pPr>
            <w:r w:rsidRPr="008A7CB8">
              <w:rPr>
                <w:rFonts w:eastAsia="Calibri"/>
              </w:rPr>
              <w:t>RRF 16654</w:t>
            </w:r>
          </w:p>
        </w:tc>
        <w:tc>
          <w:tcPr>
            <w:tcW w:w="1680" w:type="dxa"/>
            <w:tcMar>
              <w:top w:w="0" w:type="dxa"/>
              <w:left w:w="100" w:type="dxa"/>
              <w:bottom w:w="0" w:type="dxa"/>
              <w:right w:w="100" w:type="dxa"/>
            </w:tcMar>
            <w:vAlign w:val="center"/>
          </w:tcPr>
          <w:p w14:paraId="4AD232F0" w14:textId="205A0B02" w:rsidR="00451CC2" w:rsidRPr="008A7CB8" w:rsidRDefault="00451CC2" w:rsidP="008A7CB8">
            <w:pPr>
              <w:pStyle w:val="Tabletext"/>
              <w:rPr>
                <w:rFonts w:eastAsia="Calibri"/>
              </w:rPr>
            </w:pPr>
            <w:r w:rsidRPr="008A7CB8">
              <w:rPr>
                <w:rFonts w:eastAsia="Calibri"/>
              </w:rPr>
              <w:t>2024 CSR 1.7</w:t>
            </w:r>
            <w:r w:rsidRPr="008A7CB8">
              <w:rPr>
                <w:rFonts w:eastAsia="Calibri"/>
              </w:rPr>
              <w:br/>
              <w:t>2020 CSR 3.6</w:t>
            </w:r>
            <w:r w:rsidRPr="008A7CB8">
              <w:rPr>
                <w:rFonts w:eastAsia="Calibri"/>
              </w:rPr>
              <w:br/>
              <w:t>2020 CSR 3.9</w:t>
            </w:r>
            <w:r w:rsidRPr="008A7CB8">
              <w:rPr>
                <w:rFonts w:eastAsia="Calibri"/>
              </w:rPr>
              <w:br/>
              <w:t>2019 CSR 2.2</w:t>
            </w:r>
            <w:r w:rsidRPr="008A7CB8">
              <w:rPr>
                <w:rFonts w:eastAsia="Calibri"/>
              </w:rPr>
              <w:br/>
              <w:t>2019 CSR 2.3</w:t>
            </w:r>
            <w:r w:rsidRPr="008A7CB8">
              <w:rPr>
                <w:rFonts w:eastAsia="Calibri"/>
              </w:rPr>
              <w:br/>
              <w:t>2019 CSR 2.4</w:t>
            </w:r>
          </w:p>
        </w:tc>
        <w:tc>
          <w:tcPr>
            <w:tcW w:w="1785" w:type="dxa"/>
            <w:tcMar>
              <w:top w:w="0" w:type="dxa"/>
              <w:left w:w="100" w:type="dxa"/>
              <w:bottom w:w="0" w:type="dxa"/>
              <w:right w:w="100" w:type="dxa"/>
            </w:tcMar>
            <w:vAlign w:val="center"/>
          </w:tcPr>
          <w:p w14:paraId="7CF8F867" w14:textId="77777777" w:rsidR="00451CC2" w:rsidRPr="008A7CB8" w:rsidRDefault="00B913EE" w:rsidP="008A7CB8">
            <w:pPr>
              <w:pStyle w:val="Tabletext"/>
              <w:rPr>
                <w:rFonts w:eastAsia="Calibri"/>
              </w:rPr>
            </w:pPr>
            <w:r>
              <w:rPr>
                <w:rFonts w:eastAsia="Calibri"/>
              </w:rPr>
              <w:t>Defence</w:t>
            </w:r>
            <w:r w:rsidR="00451CC2" w:rsidRPr="008A7CB8">
              <w:rPr>
                <w:rFonts w:eastAsia="Calibri"/>
              </w:rPr>
              <w:t xml:space="preserve"> Capabilities &amp; Social and Economic resilience</w:t>
            </w:r>
          </w:p>
        </w:tc>
        <w:tc>
          <w:tcPr>
            <w:tcW w:w="1515" w:type="dxa"/>
            <w:tcMar>
              <w:top w:w="0" w:type="dxa"/>
              <w:left w:w="100" w:type="dxa"/>
              <w:bottom w:w="0" w:type="dxa"/>
              <w:right w:w="100" w:type="dxa"/>
            </w:tcMar>
            <w:vAlign w:val="center"/>
          </w:tcPr>
          <w:p w14:paraId="765E71BD" w14:textId="77777777" w:rsidR="00451CC2" w:rsidRPr="008A7CB8" w:rsidRDefault="00451CC2" w:rsidP="008A7CB8">
            <w:pPr>
              <w:pStyle w:val="Tabletext"/>
              <w:rPr>
                <w:rFonts w:eastAsia="Calibri"/>
              </w:rPr>
            </w:pPr>
            <w:r w:rsidRPr="008A7CB8">
              <w:rPr>
                <w:rFonts w:eastAsia="Calibri"/>
              </w:rPr>
              <w:t>On track</w:t>
            </w:r>
          </w:p>
        </w:tc>
      </w:tr>
      <w:tr w:rsidR="00451CC2" w:rsidRPr="008A7CB8" w14:paraId="27A523F7" w14:textId="77777777" w:rsidTr="00DA620A">
        <w:trPr>
          <w:trHeight w:val="170"/>
          <w:jc w:val="center"/>
        </w:trPr>
        <w:tc>
          <w:tcPr>
            <w:tcW w:w="2820" w:type="dxa"/>
            <w:tcMar>
              <w:top w:w="0" w:type="dxa"/>
              <w:left w:w="100" w:type="dxa"/>
              <w:bottom w:w="0" w:type="dxa"/>
              <w:right w:w="100" w:type="dxa"/>
            </w:tcMar>
            <w:vAlign w:val="center"/>
          </w:tcPr>
          <w:p w14:paraId="12808397" w14:textId="77777777" w:rsidR="00451CC2" w:rsidRPr="008A7CB8" w:rsidRDefault="00540671" w:rsidP="008A7CB8">
            <w:pPr>
              <w:pStyle w:val="Tabletext"/>
              <w:rPr>
                <w:rFonts w:eastAsia="Calibri"/>
              </w:rPr>
            </w:pPr>
            <w:r w:rsidRPr="00540671">
              <w:rPr>
                <w:rFonts w:eastAsia="Calibri"/>
                <w:b/>
              </w:rPr>
              <w:t>INVESTMENT 5:</w:t>
            </w:r>
            <w:r w:rsidR="00451CC2" w:rsidRPr="008A7CB8">
              <w:rPr>
                <w:rFonts w:eastAsia="Calibri"/>
              </w:rPr>
              <w:t xml:space="preserve"> Acceleration of smart manufacturing</w:t>
            </w:r>
          </w:p>
        </w:tc>
        <w:tc>
          <w:tcPr>
            <w:tcW w:w="1545" w:type="dxa"/>
            <w:tcMar>
              <w:top w:w="0" w:type="dxa"/>
              <w:left w:w="100" w:type="dxa"/>
              <w:bottom w:w="0" w:type="dxa"/>
              <w:right w:w="100" w:type="dxa"/>
            </w:tcMar>
            <w:vAlign w:val="center"/>
          </w:tcPr>
          <w:p w14:paraId="6744E842" w14:textId="77777777" w:rsidR="00451CC2" w:rsidRPr="008A7CB8" w:rsidRDefault="00451CC2" w:rsidP="008A7CB8">
            <w:pPr>
              <w:pStyle w:val="Tabletext"/>
              <w:rPr>
                <w:rFonts w:eastAsia="Calibri"/>
              </w:rPr>
            </w:pPr>
            <w:r w:rsidRPr="008A7CB8">
              <w:rPr>
                <w:rFonts w:eastAsia="Calibri"/>
              </w:rPr>
              <w:t>RRF 16721</w:t>
            </w:r>
          </w:p>
        </w:tc>
        <w:tc>
          <w:tcPr>
            <w:tcW w:w="1680" w:type="dxa"/>
            <w:tcMar>
              <w:top w:w="0" w:type="dxa"/>
              <w:left w:w="100" w:type="dxa"/>
              <w:bottom w:w="0" w:type="dxa"/>
              <w:right w:w="100" w:type="dxa"/>
            </w:tcMar>
            <w:vAlign w:val="center"/>
          </w:tcPr>
          <w:p w14:paraId="598F12DA" w14:textId="39650DF7" w:rsidR="00451CC2" w:rsidRPr="008A7CB8" w:rsidRDefault="00451CC2" w:rsidP="008A7CB8">
            <w:pPr>
              <w:pStyle w:val="Tabletext"/>
              <w:rPr>
                <w:rFonts w:eastAsia="Calibri"/>
              </w:rPr>
            </w:pPr>
            <w:r w:rsidRPr="008A7CB8">
              <w:rPr>
                <w:rFonts w:eastAsia="Calibri"/>
              </w:rPr>
              <w:t>2024 CSR 1.7</w:t>
            </w:r>
            <w:r w:rsidRPr="008A7CB8">
              <w:rPr>
                <w:rFonts w:eastAsia="Calibri"/>
              </w:rPr>
              <w:br/>
              <w:t>2020 CSR 3.3</w:t>
            </w:r>
            <w:r w:rsidRPr="008A7CB8">
              <w:rPr>
                <w:rFonts w:eastAsia="Calibri"/>
              </w:rPr>
              <w:br/>
            </w:r>
            <w:r w:rsidRPr="008A7CB8">
              <w:rPr>
                <w:rFonts w:eastAsia="Calibri"/>
              </w:rPr>
              <w:lastRenderedPageBreak/>
              <w:t>2020 CSR 3.10</w:t>
            </w:r>
            <w:r w:rsidRPr="008A7CB8">
              <w:rPr>
                <w:rFonts w:eastAsia="Calibri"/>
              </w:rPr>
              <w:br/>
              <w:t>2019 CSR 2.3</w:t>
            </w:r>
          </w:p>
        </w:tc>
        <w:tc>
          <w:tcPr>
            <w:tcW w:w="1785" w:type="dxa"/>
            <w:tcMar>
              <w:top w:w="0" w:type="dxa"/>
              <w:left w:w="100" w:type="dxa"/>
              <w:bottom w:w="0" w:type="dxa"/>
              <w:right w:w="100" w:type="dxa"/>
            </w:tcMar>
            <w:vAlign w:val="center"/>
          </w:tcPr>
          <w:p w14:paraId="60D31E18" w14:textId="77777777" w:rsidR="00451CC2" w:rsidRPr="008A7CB8" w:rsidRDefault="00451CC2" w:rsidP="008A7CB8">
            <w:pPr>
              <w:pStyle w:val="Tabletext"/>
              <w:rPr>
                <w:rFonts w:eastAsia="Calibri"/>
              </w:rPr>
            </w:pPr>
            <w:r w:rsidRPr="008A7CB8">
              <w:rPr>
                <w:rFonts w:eastAsia="Calibri"/>
              </w:rPr>
              <w:lastRenderedPageBreak/>
              <w:t>Fair green &amp; digital transition</w:t>
            </w:r>
          </w:p>
        </w:tc>
        <w:tc>
          <w:tcPr>
            <w:tcW w:w="1515" w:type="dxa"/>
            <w:tcMar>
              <w:top w:w="0" w:type="dxa"/>
              <w:left w:w="100" w:type="dxa"/>
              <w:bottom w:w="0" w:type="dxa"/>
              <w:right w:w="100" w:type="dxa"/>
            </w:tcMar>
            <w:vAlign w:val="center"/>
          </w:tcPr>
          <w:p w14:paraId="1E3663F3" w14:textId="730BC3F9" w:rsidR="00451CC2" w:rsidRPr="008A7CB8" w:rsidRDefault="00451CC2" w:rsidP="008A7CB8">
            <w:pPr>
              <w:pStyle w:val="Tabletext"/>
              <w:rPr>
                <w:rFonts w:eastAsia="Calibri"/>
              </w:rPr>
            </w:pPr>
            <w:r w:rsidRPr="008A7CB8">
              <w:rPr>
                <w:rFonts w:eastAsia="Calibri"/>
              </w:rPr>
              <w:t>On</w:t>
            </w:r>
            <w:r w:rsidR="00A802F4">
              <w:rPr>
                <w:rFonts w:eastAsia="Calibri"/>
              </w:rPr>
              <w:t xml:space="preserve"> </w:t>
            </w:r>
            <w:r w:rsidRPr="008A7CB8">
              <w:rPr>
                <w:rFonts w:eastAsia="Calibri"/>
              </w:rPr>
              <w:t>track</w:t>
            </w:r>
          </w:p>
        </w:tc>
      </w:tr>
      <w:tr w:rsidR="00451CC2" w:rsidRPr="008A7CB8" w14:paraId="0E22E2C4" w14:textId="77777777" w:rsidTr="00DA620A">
        <w:trPr>
          <w:trHeight w:val="170"/>
          <w:jc w:val="center"/>
        </w:trPr>
        <w:tc>
          <w:tcPr>
            <w:tcW w:w="2820" w:type="dxa"/>
            <w:tcMar>
              <w:top w:w="0" w:type="dxa"/>
              <w:left w:w="100" w:type="dxa"/>
              <w:bottom w:w="0" w:type="dxa"/>
              <w:right w:w="100" w:type="dxa"/>
            </w:tcMar>
            <w:vAlign w:val="center"/>
          </w:tcPr>
          <w:p w14:paraId="05618789" w14:textId="77777777" w:rsidR="00451CC2" w:rsidRPr="008A7CB8" w:rsidRDefault="00540671" w:rsidP="008A7CB8">
            <w:pPr>
              <w:pStyle w:val="Tabletext"/>
              <w:rPr>
                <w:rFonts w:eastAsia="Calibri"/>
              </w:rPr>
            </w:pPr>
            <w:r w:rsidRPr="00540671">
              <w:rPr>
                <w:rFonts w:eastAsia="Calibri"/>
                <w:b/>
              </w:rPr>
              <w:t>INVESTMENT 6:</w:t>
            </w:r>
            <w:r w:rsidR="00451CC2" w:rsidRPr="008A7CB8">
              <w:rPr>
                <w:rFonts w:eastAsia="Calibri"/>
              </w:rPr>
              <w:t xml:space="preserve"> Research - Create - Innovate</w:t>
            </w:r>
          </w:p>
        </w:tc>
        <w:tc>
          <w:tcPr>
            <w:tcW w:w="1545" w:type="dxa"/>
            <w:tcMar>
              <w:top w:w="0" w:type="dxa"/>
              <w:left w:w="100" w:type="dxa"/>
              <w:bottom w:w="0" w:type="dxa"/>
              <w:right w:w="100" w:type="dxa"/>
            </w:tcMar>
            <w:vAlign w:val="center"/>
          </w:tcPr>
          <w:p w14:paraId="09994D38" w14:textId="77777777" w:rsidR="00451CC2" w:rsidRPr="008A7CB8" w:rsidRDefault="00451CC2" w:rsidP="008A7CB8">
            <w:pPr>
              <w:pStyle w:val="Tabletext"/>
              <w:rPr>
                <w:rFonts w:eastAsia="Calibri"/>
              </w:rPr>
            </w:pPr>
            <w:r w:rsidRPr="008A7CB8">
              <w:rPr>
                <w:rFonts w:eastAsia="Calibri"/>
              </w:rPr>
              <w:t>RRF 16971</w:t>
            </w:r>
          </w:p>
        </w:tc>
        <w:tc>
          <w:tcPr>
            <w:tcW w:w="1680" w:type="dxa"/>
            <w:tcMar>
              <w:top w:w="0" w:type="dxa"/>
              <w:left w:w="100" w:type="dxa"/>
              <w:bottom w:w="0" w:type="dxa"/>
              <w:right w:w="100" w:type="dxa"/>
            </w:tcMar>
            <w:vAlign w:val="center"/>
          </w:tcPr>
          <w:p w14:paraId="59340488" w14:textId="77777777" w:rsidR="00451CC2" w:rsidRPr="008A7CB8" w:rsidRDefault="00451CC2" w:rsidP="008A7CB8">
            <w:pPr>
              <w:pStyle w:val="Tabletext"/>
              <w:rPr>
                <w:rFonts w:eastAsia="Calibri"/>
              </w:rPr>
            </w:pPr>
            <w:r w:rsidRPr="008A7CB8">
              <w:rPr>
                <w:rFonts w:eastAsia="Calibri"/>
              </w:rPr>
              <w:t>2025 CSR 3.6</w:t>
            </w:r>
          </w:p>
          <w:p w14:paraId="3B9EAF2C" w14:textId="75A10D11" w:rsidR="00451CC2" w:rsidRPr="008A7CB8" w:rsidRDefault="00451CC2" w:rsidP="008A7CB8">
            <w:pPr>
              <w:pStyle w:val="Tabletext"/>
              <w:rPr>
                <w:rFonts w:eastAsia="Calibri"/>
              </w:rPr>
            </w:pPr>
            <w:r w:rsidRPr="008A7CB8">
              <w:rPr>
                <w:rFonts w:eastAsia="Calibri"/>
              </w:rPr>
              <w:t>2024 CSR 1.7</w:t>
            </w:r>
            <w:r w:rsidRPr="008A7CB8">
              <w:rPr>
                <w:rFonts w:eastAsia="Calibri"/>
              </w:rPr>
              <w:br/>
              <w:t>2020 CSR 3.3</w:t>
            </w:r>
            <w:r w:rsidRPr="008A7CB8">
              <w:rPr>
                <w:rFonts w:eastAsia="Calibri"/>
              </w:rPr>
              <w:br/>
              <w:t>2020 CSR 3.10</w:t>
            </w:r>
            <w:r w:rsidRPr="008A7CB8">
              <w:rPr>
                <w:rFonts w:eastAsia="Calibri"/>
              </w:rPr>
              <w:br/>
              <w:t>2019 CSR 2.2</w:t>
            </w:r>
            <w:r w:rsidRPr="008A7CB8">
              <w:rPr>
                <w:rFonts w:eastAsia="Calibri"/>
              </w:rPr>
              <w:br/>
              <w:t>2019 CSR 2.3</w:t>
            </w:r>
            <w:r w:rsidRPr="008A7CB8">
              <w:rPr>
                <w:rFonts w:eastAsia="Calibri"/>
              </w:rPr>
              <w:br/>
              <w:t>2019 CSR 2.4</w:t>
            </w:r>
          </w:p>
        </w:tc>
        <w:tc>
          <w:tcPr>
            <w:tcW w:w="1785" w:type="dxa"/>
            <w:tcMar>
              <w:top w:w="0" w:type="dxa"/>
              <w:left w:w="100" w:type="dxa"/>
              <w:bottom w:w="0" w:type="dxa"/>
              <w:right w:w="100" w:type="dxa"/>
            </w:tcMar>
            <w:vAlign w:val="center"/>
          </w:tcPr>
          <w:p w14:paraId="51B2F5B0" w14:textId="77777777" w:rsidR="00451CC2" w:rsidRPr="008A7CB8" w:rsidRDefault="00451CC2" w:rsidP="008A7CB8">
            <w:pPr>
              <w:pStyle w:val="Tabletext"/>
              <w:rPr>
                <w:rFonts w:eastAsia="Calibri"/>
              </w:rPr>
            </w:pPr>
            <w:r w:rsidRPr="008A7CB8">
              <w:rPr>
                <w:rFonts w:eastAsia="Calibri"/>
              </w:rPr>
              <w:t>Social and Economic resilience</w:t>
            </w:r>
          </w:p>
          <w:p w14:paraId="59883E72" w14:textId="77777777" w:rsidR="00451CC2" w:rsidRPr="008A7CB8" w:rsidRDefault="00451CC2" w:rsidP="008A7CB8">
            <w:pPr>
              <w:pStyle w:val="Tabletext"/>
              <w:rPr>
                <w:rFonts w:eastAsia="Calibri"/>
              </w:rPr>
            </w:pPr>
            <w:r w:rsidRPr="008A7CB8">
              <w:rPr>
                <w:rFonts w:eastAsia="Calibri"/>
              </w:rPr>
              <w:t xml:space="preserve"> </w:t>
            </w:r>
          </w:p>
        </w:tc>
        <w:tc>
          <w:tcPr>
            <w:tcW w:w="1515" w:type="dxa"/>
            <w:tcMar>
              <w:top w:w="0" w:type="dxa"/>
              <w:left w:w="100" w:type="dxa"/>
              <w:bottom w:w="0" w:type="dxa"/>
              <w:right w:w="100" w:type="dxa"/>
            </w:tcMar>
            <w:vAlign w:val="center"/>
          </w:tcPr>
          <w:p w14:paraId="5AD08FA0" w14:textId="73D997A4" w:rsidR="00451CC2" w:rsidRPr="008A7CB8" w:rsidRDefault="00451CC2" w:rsidP="008A7CB8">
            <w:pPr>
              <w:pStyle w:val="Tabletext"/>
              <w:rPr>
                <w:rFonts w:eastAsia="Calibri"/>
              </w:rPr>
            </w:pPr>
            <w:r w:rsidRPr="008A7CB8">
              <w:rPr>
                <w:rFonts w:eastAsia="Calibri"/>
              </w:rPr>
              <w:t>On</w:t>
            </w:r>
            <w:r w:rsidR="00A802F4">
              <w:rPr>
                <w:rFonts w:eastAsia="Calibri"/>
              </w:rPr>
              <w:t xml:space="preserve"> </w:t>
            </w:r>
            <w:r w:rsidRPr="008A7CB8">
              <w:rPr>
                <w:rFonts w:eastAsia="Calibri"/>
              </w:rPr>
              <w:t>track</w:t>
            </w:r>
          </w:p>
        </w:tc>
      </w:tr>
      <w:tr w:rsidR="00451CC2" w:rsidRPr="008A7CB8" w14:paraId="10685324" w14:textId="77777777" w:rsidTr="00DA620A">
        <w:trPr>
          <w:trHeight w:val="170"/>
          <w:jc w:val="center"/>
        </w:trPr>
        <w:tc>
          <w:tcPr>
            <w:tcW w:w="2820" w:type="dxa"/>
            <w:tcMar>
              <w:top w:w="0" w:type="dxa"/>
              <w:left w:w="100" w:type="dxa"/>
              <w:bottom w:w="0" w:type="dxa"/>
              <w:right w:w="100" w:type="dxa"/>
            </w:tcMar>
            <w:vAlign w:val="center"/>
          </w:tcPr>
          <w:p w14:paraId="6B62336C" w14:textId="77777777" w:rsidR="00451CC2" w:rsidRPr="008A7CB8" w:rsidRDefault="00540671" w:rsidP="008A7CB8">
            <w:pPr>
              <w:pStyle w:val="Tabletext"/>
              <w:rPr>
                <w:rFonts w:eastAsia="Calibri"/>
              </w:rPr>
            </w:pPr>
            <w:r w:rsidRPr="00540671">
              <w:rPr>
                <w:rFonts w:eastAsia="Calibri"/>
                <w:b/>
              </w:rPr>
              <w:t>INVESTMENT 7:</w:t>
            </w:r>
            <w:r w:rsidR="00451CC2" w:rsidRPr="008A7CB8">
              <w:rPr>
                <w:rFonts w:eastAsia="Calibri"/>
              </w:rPr>
              <w:t xml:space="preserve"> HORIZON 2020 “Seal of Excellence”: financing top innovative companies</w:t>
            </w:r>
          </w:p>
        </w:tc>
        <w:tc>
          <w:tcPr>
            <w:tcW w:w="1545" w:type="dxa"/>
            <w:tcMar>
              <w:top w:w="0" w:type="dxa"/>
              <w:left w:w="100" w:type="dxa"/>
              <w:bottom w:w="0" w:type="dxa"/>
              <w:right w:w="100" w:type="dxa"/>
            </w:tcMar>
            <w:vAlign w:val="center"/>
          </w:tcPr>
          <w:p w14:paraId="315B953F" w14:textId="77777777" w:rsidR="00451CC2" w:rsidRPr="008A7CB8" w:rsidRDefault="00451CC2" w:rsidP="008A7CB8">
            <w:pPr>
              <w:pStyle w:val="Tabletext"/>
              <w:rPr>
                <w:rFonts w:eastAsia="Calibri"/>
              </w:rPr>
            </w:pPr>
            <w:r w:rsidRPr="008A7CB8">
              <w:rPr>
                <w:rFonts w:eastAsia="Calibri"/>
              </w:rPr>
              <w:t>RRF 16622</w:t>
            </w:r>
          </w:p>
        </w:tc>
        <w:tc>
          <w:tcPr>
            <w:tcW w:w="1680" w:type="dxa"/>
            <w:tcMar>
              <w:top w:w="0" w:type="dxa"/>
              <w:left w:w="100" w:type="dxa"/>
              <w:bottom w:w="0" w:type="dxa"/>
              <w:right w:w="100" w:type="dxa"/>
            </w:tcMar>
            <w:vAlign w:val="center"/>
          </w:tcPr>
          <w:p w14:paraId="217951A7" w14:textId="77777777" w:rsidR="00451CC2" w:rsidRPr="008A7CB8" w:rsidRDefault="00451CC2" w:rsidP="008A7CB8">
            <w:pPr>
              <w:pStyle w:val="Tabletext"/>
              <w:rPr>
                <w:rFonts w:eastAsia="Calibri"/>
              </w:rPr>
            </w:pPr>
            <w:r w:rsidRPr="008A7CB8">
              <w:rPr>
                <w:rFonts w:eastAsia="Calibri"/>
              </w:rPr>
              <w:t>2025 CSR 3.6</w:t>
            </w:r>
          </w:p>
          <w:p w14:paraId="463E3D3F" w14:textId="1DB1ED15" w:rsidR="00451CC2" w:rsidRPr="008A7CB8" w:rsidRDefault="00451CC2" w:rsidP="008A7CB8">
            <w:pPr>
              <w:pStyle w:val="Tabletext"/>
              <w:rPr>
                <w:rFonts w:eastAsia="Calibri"/>
              </w:rPr>
            </w:pPr>
            <w:r w:rsidRPr="008A7CB8">
              <w:rPr>
                <w:rFonts w:eastAsia="Calibri"/>
              </w:rPr>
              <w:t>2024 CSR 1.7</w:t>
            </w:r>
            <w:r w:rsidRPr="008A7CB8">
              <w:rPr>
                <w:rFonts w:eastAsia="Calibri"/>
              </w:rPr>
              <w:br/>
              <w:t>2020 CSR 3.3</w:t>
            </w:r>
            <w:r w:rsidRPr="008A7CB8">
              <w:rPr>
                <w:rFonts w:eastAsia="Calibri"/>
              </w:rPr>
              <w:br/>
              <w:t>2020 CSR 3.10</w:t>
            </w:r>
            <w:r w:rsidRPr="008A7CB8">
              <w:rPr>
                <w:rFonts w:eastAsia="Calibri"/>
              </w:rPr>
              <w:br/>
              <w:t>2019 CSR 2.2</w:t>
            </w:r>
            <w:r w:rsidRPr="008A7CB8">
              <w:rPr>
                <w:rFonts w:eastAsia="Calibri"/>
              </w:rPr>
              <w:br/>
              <w:t>2019 CSR 2.3</w:t>
            </w:r>
            <w:r w:rsidRPr="008A7CB8">
              <w:rPr>
                <w:rFonts w:eastAsia="Calibri"/>
              </w:rPr>
              <w:br/>
              <w:t>2019 CSR 2.4</w:t>
            </w:r>
          </w:p>
        </w:tc>
        <w:tc>
          <w:tcPr>
            <w:tcW w:w="1785" w:type="dxa"/>
            <w:tcMar>
              <w:top w:w="0" w:type="dxa"/>
              <w:left w:w="100" w:type="dxa"/>
              <w:bottom w:w="0" w:type="dxa"/>
              <w:right w:w="100" w:type="dxa"/>
            </w:tcMar>
            <w:vAlign w:val="center"/>
          </w:tcPr>
          <w:p w14:paraId="5CC081F6" w14:textId="77777777" w:rsidR="00451CC2" w:rsidRPr="008A7CB8" w:rsidRDefault="00451CC2" w:rsidP="008A7CB8">
            <w:pPr>
              <w:pStyle w:val="Tabletext"/>
              <w:rPr>
                <w:rFonts w:eastAsia="Calibri"/>
              </w:rPr>
            </w:pPr>
            <w:r w:rsidRPr="008A7CB8">
              <w:rPr>
                <w:rFonts w:eastAsia="Calibri"/>
              </w:rPr>
              <w:t>Social and Economic resilience</w:t>
            </w:r>
          </w:p>
        </w:tc>
        <w:tc>
          <w:tcPr>
            <w:tcW w:w="1515" w:type="dxa"/>
            <w:tcMar>
              <w:top w:w="0" w:type="dxa"/>
              <w:left w:w="100" w:type="dxa"/>
              <w:bottom w:w="0" w:type="dxa"/>
              <w:right w:w="100" w:type="dxa"/>
            </w:tcMar>
            <w:vAlign w:val="center"/>
          </w:tcPr>
          <w:p w14:paraId="60469FAB" w14:textId="4B834808" w:rsidR="00451CC2" w:rsidRPr="008A7CB8" w:rsidRDefault="00451CC2" w:rsidP="008A7CB8">
            <w:pPr>
              <w:pStyle w:val="Tabletext"/>
              <w:rPr>
                <w:rFonts w:eastAsia="Calibri"/>
              </w:rPr>
            </w:pPr>
            <w:r w:rsidRPr="008A7CB8">
              <w:rPr>
                <w:rFonts w:eastAsia="Calibri"/>
              </w:rPr>
              <w:t>On</w:t>
            </w:r>
            <w:r w:rsidR="00A802F4">
              <w:rPr>
                <w:rFonts w:eastAsia="Calibri"/>
              </w:rPr>
              <w:t xml:space="preserve"> </w:t>
            </w:r>
            <w:r w:rsidRPr="008A7CB8">
              <w:rPr>
                <w:rFonts w:eastAsia="Calibri"/>
              </w:rPr>
              <w:t>track</w:t>
            </w:r>
          </w:p>
        </w:tc>
      </w:tr>
      <w:tr w:rsidR="00451CC2" w:rsidRPr="008A7CB8" w14:paraId="59F85F4B" w14:textId="77777777" w:rsidTr="00DA620A">
        <w:trPr>
          <w:trHeight w:val="170"/>
          <w:jc w:val="center"/>
        </w:trPr>
        <w:tc>
          <w:tcPr>
            <w:tcW w:w="2820" w:type="dxa"/>
            <w:tcMar>
              <w:top w:w="0" w:type="dxa"/>
              <w:left w:w="100" w:type="dxa"/>
              <w:bottom w:w="0" w:type="dxa"/>
              <w:right w:w="100" w:type="dxa"/>
            </w:tcMar>
            <w:vAlign w:val="center"/>
          </w:tcPr>
          <w:p w14:paraId="0D4A54C3" w14:textId="77777777" w:rsidR="00451CC2" w:rsidRPr="008A7CB8" w:rsidRDefault="00540671" w:rsidP="008A7CB8">
            <w:pPr>
              <w:pStyle w:val="Tabletext"/>
              <w:rPr>
                <w:rFonts w:eastAsia="Calibri"/>
              </w:rPr>
            </w:pPr>
            <w:r w:rsidRPr="00540671">
              <w:rPr>
                <w:rFonts w:eastAsia="Calibri"/>
                <w:b/>
              </w:rPr>
              <w:t>INVESTMENT 8:</w:t>
            </w:r>
            <w:r w:rsidR="00451CC2" w:rsidRPr="008A7CB8">
              <w:rPr>
                <w:rFonts w:eastAsia="Calibri"/>
              </w:rPr>
              <w:t xml:space="preserve"> Research - Innovate</w:t>
            </w:r>
          </w:p>
        </w:tc>
        <w:tc>
          <w:tcPr>
            <w:tcW w:w="1545" w:type="dxa"/>
            <w:tcMar>
              <w:top w:w="0" w:type="dxa"/>
              <w:left w:w="100" w:type="dxa"/>
              <w:bottom w:w="0" w:type="dxa"/>
              <w:right w:w="100" w:type="dxa"/>
            </w:tcMar>
            <w:vAlign w:val="center"/>
          </w:tcPr>
          <w:p w14:paraId="77A277A8" w14:textId="77777777" w:rsidR="00451CC2" w:rsidRPr="008A7CB8" w:rsidRDefault="00451CC2" w:rsidP="008A7CB8">
            <w:pPr>
              <w:pStyle w:val="Tabletext"/>
              <w:rPr>
                <w:rFonts w:eastAsia="Calibri"/>
              </w:rPr>
            </w:pPr>
            <w:r w:rsidRPr="008A7CB8">
              <w:rPr>
                <w:rFonts w:eastAsia="Calibri"/>
              </w:rPr>
              <w:t>MFF</w:t>
            </w:r>
          </w:p>
          <w:p w14:paraId="2ED5586D" w14:textId="77777777" w:rsidR="00451CC2" w:rsidRPr="008A7CB8" w:rsidRDefault="00451CC2" w:rsidP="008A7CB8">
            <w:pPr>
              <w:pStyle w:val="Tabletext"/>
              <w:rPr>
                <w:rFonts w:eastAsia="Calibri"/>
              </w:rPr>
            </w:pPr>
            <w:r w:rsidRPr="008A7CB8">
              <w:rPr>
                <w:rFonts w:eastAsia="Calibri"/>
              </w:rPr>
              <w:t xml:space="preserve"> </w:t>
            </w:r>
          </w:p>
        </w:tc>
        <w:tc>
          <w:tcPr>
            <w:tcW w:w="1680" w:type="dxa"/>
            <w:tcMar>
              <w:top w:w="0" w:type="dxa"/>
              <w:left w:w="100" w:type="dxa"/>
              <w:bottom w:w="0" w:type="dxa"/>
              <w:right w:w="100" w:type="dxa"/>
            </w:tcMar>
            <w:vAlign w:val="center"/>
          </w:tcPr>
          <w:p w14:paraId="49AE12C2" w14:textId="77777777" w:rsidR="00451CC2" w:rsidRPr="008A7CB8" w:rsidRDefault="00451CC2" w:rsidP="008A7CB8">
            <w:pPr>
              <w:pStyle w:val="Tabletext"/>
              <w:rPr>
                <w:rFonts w:eastAsia="Calibri"/>
              </w:rPr>
            </w:pPr>
            <w:r w:rsidRPr="008A7CB8">
              <w:rPr>
                <w:rFonts w:eastAsia="Calibri"/>
              </w:rPr>
              <w:t>2025 CSR 3.6</w:t>
            </w:r>
          </w:p>
          <w:p w14:paraId="3612690E" w14:textId="0862BB87" w:rsidR="00451CC2" w:rsidRPr="008A7CB8" w:rsidRDefault="00451CC2" w:rsidP="008A7CB8">
            <w:pPr>
              <w:pStyle w:val="Tabletext"/>
              <w:rPr>
                <w:rFonts w:eastAsia="Calibri"/>
              </w:rPr>
            </w:pPr>
            <w:r w:rsidRPr="008A7CB8">
              <w:rPr>
                <w:rFonts w:eastAsia="Calibri"/>
              </w:rPr>
              <w:t>2024 CSR 1.7 2020 CSR 3.3</w:t>
            </w:r>
            <w:r w:rsidRPr="008A7CB8">
              <w:rPr>
                <w:rFonts w:eastAsia="Calibri"/>
              </w:rPr>
              <w:br/>
              <w:t>2019 CSR 2.4</w:t>
            </w:r>
          </w:p>
        </w:tc>
        <w:tc>
          <w:tcPr>
            <w:tcW w:w="1785" w:type="dxa"/>
            <w:tcMar>
              <w:top w:w="0" w:type="dxa"/>
              <w:left w:w="100" w:type="dxa"/>
              <w:bottom w:w="0" w:type="dxa"/>
              <w:right w:w="100" w:type="dxa"/>
            </w:tcMar>
            <w:vAlign w:val="center"/>
          </w:tcPr>
          <w:p w14:paraId="7B5509FC" w14:textId="77777777" w:rsidR="00451CC2" w:rsidRPr="008A7CB8" w:rsidRDefault="00451CC2" w:rsidP="008A7CB8">
            <w:pPr>
              <w:pStyle w:val="Tabletext"/>
              <w:rPr>
                <w:rFonts w:eastAsia="Calibri"/>
              </w:rPr>
            </w:pPr>
            <w:r w:rsidRPr="008A7CB8">
              <w:rPr>
                <w:rFonts w:eastAsia="Calibri"/>
              </w:rPr>
              <w:t>Social and Economic resilience</w:t>
            </w:r>
          </w:p>
        </w:tc>
        <w:tc>
          <w:tcPr>
            <w:tcW w:w="1515" w:type="dxa"/>
            <w:tcMar>
              <w:top w:w="0" w:type="dxa"/>
              <w:left w:w="100" w:type="dxa"/>
              <w:bottom w:w="0" w:type="dxa"/>
              <w:right w:w="100" w:type="dxa"/>
            </w:tcMar>
            <w:vAlign w:val="center"/>
          </w:tcPr>
          <w:p w14:paraId="086D08D4" w14:textId="73195720" w:rsidR="00451CC2" w:rsidRPr="008A7CB8" w:rsidRDefault="00451CC2" w:rsidP="008A7CB8">
            <w:pPr>
              <w:pStyle w:val="Tabletext"/>
              <w:rPr>
                <w:rFonts w:eastAsia="Calibri"/>
              </w:rPr>
            </w:pPr>
            <w:r w:rsidRPr="008A7CB8">
              <w:rPr>
                <w:rFonts w:eastAsia="Calibri"/>
              </w:rPr>
              <w:t>On</w:t>
            </w:r>
            <w:r w:rsidR="00A802F4">
              <w:rPr>
                <w:rFonts w:eastAsia="Calibri"/>
              </w:rPr>
              <w:t xml:space="preserve"> </w:t>
            </w:r>
            <w:r w:rsidRPr="008A7CB8">
              <w:rPr>
                <w:rFonts w:eastAsia="Calibri"/>
              </w:rPr>
              <w:t>track</w:t>
            </w:r>
          </w:p>
        </w:tc>
      </w:tr>
      <w:tr w:rsidR="00451CC2" w:rsidRPr="008A7CB8" w14:paraId="1BA4D215" w14:textId="77777777" w:rsidTr="00DA620A">
        <w:trPr>
          <w:trHeight w:val="170"/>
          <w:jc w:val="center"/>
        </w:trPr>
        <w:tc>
          <w:tcPr>
            <w:tcW w:w="2820" w:type="dxa"/>
            <w:tcMar>
              <w:top w:w="0" w:type="dxa"/>
              <w:left w:w="100" w:type="dxa"/>
              <w:bottom w:w="0" w:type="dxa"/>
              <w:right w:w="100" w:type="dxa"/>
            </w:tcMar>
            <w:vAlign w:val="center"/>
          </w:tcPr>
          <w:p w14:paraId="286C9584" w14:textId="77777777" w:rsidR="00451CC2" w:rsidRPr="008A7CB8" w:rsidRDefault="00540671" w:rsidP="008A7CB8">
            <w:pPr>
              <w:pStyle w:val="Tabletext"/>
              <w:rPr>
                <w:rFonts w:eastAsia="Calibri"/>
              </w:rPr>
            </w:pPr>
            <w:r w:rsidRPr="00540671">
              <w:rPr>
                <w:rFonts w:eastAsia="Calibri"/>
                <w:b/>
              </w:rPr>
              <w:t>INVESTMENT 9:</w:t>
            </w:r>
            <w:r w:rsidR="00451CC2" w:rsidRPr="008A7CB8">
              <w:rPr>
                <w:rFonts w:eastAsia="Calibri"/>
              </w:rPr>
              <w:t xml:space="preserve"> Revision of the National Research Infrastructure Roadmap for the 2021-2027 Programming Period</w:t>
            </w:r>
          </w:p>
        </w:tc>
        <w:tc>
          <w:tcPr>
            <w:tcW w:w="1545" w:type="dxa"/>
            <w:tcMar>
              <w:top w:w="0" w:type="dxa"/>
              <w:left w:w="100" w:type="dxa"/>
              <w:bottom w:w="0" w:type="dxa"/>
              <w:right w:w="100" w:type="dxa"/>
            </w:tcMar>
            <w:vAlign w:val="center"/>
          </w:tcPr>
          <w:p w14:paraId="68B0B78D" w14:textId="77777777" w:rsidR="00451CC2" w:rsidRPr="008A7CB8" w:rsidRDefault="00451CC2" w:rsidP="008A7CB8">
            <w:pPr>
              <w:pStyle w:val="Tabletext"/>
              <w:rPr>
                <w:rFonts w:eastAsia="Calibri"/>
              </w:rPr>
            </w:pPr>
            <w:r w:rsidRPr="008A7CB8">
              <w:rPr>
                <w:rFonts w:eastAsia="Calibri"/>
              </w:rPr>
              <w:t>MFF</w:t>
            </w:r>
          </w:p>
        </w:tc>
        <w:tc>
          <w:tcPr>
            <w:tcW w:w="1680" w:type="dxa"/>
            <w:tcMar>
              <w:top w:w="0" w:type="dxa"/>
              <w:left w:w="100" w:type="dxa"/>
              <w:bottom w:w="0" w:type="dxa"/>
              <w:right w:w="100" w:type="dxa"/>
            </w:tcMar>
            <w:vAlign w:val="center"/>
          </w:tcPr>
          <w:p w14:paraId="5E7E8AD1" w14:textId="5073DFEF" w:rsidR="00451CC2" w:rsidRPr="008A7CB8" w:rsidRDefault="00451CC2" w:rsidP="008A7CB8">
            <w:pPr>
              <w:pStyle w:val="Tabletext"/>
              <w:rPr>
                <w:rFonts w:eastAsia="Calibri"/>
              </w:rPr>
            </w:pPr>
            <w:r w:rsidRPr="008A7CB8">
              <w:rPr>
                <w:rFonts w:eastAsia="Calibri"/>
              </w:rPr>
              <w:t>2024 CSR 1.7</w:t>
            </w:r>
            <w:r w:rsidRPr="008A7CB8">
              <w:rPr>
                <w:rFonts w:eastAsia="Calibri"/>
              </w:rPr>
              <w:br/>
              <w:t>2022 CSR 4.3</w:t>
            </w:r>
            <w:r w:rsidRPr="008A7CB8">
              <w:rPr>
                <w:rFonts w:eastAsia="Calibri"/>
              </w:rPr>
              <w:br/>
              <w:t>2022 CSR 4.2</w:t>
            </w:r>
            <w:r w:rsidRPr="008A7CB8">
              <w:rPr>
                <w:rFonts w:eastAsia="Calibri"/>
              </w:rPr>
              <w:br/>
              <w:t>2020 CSR 3.3</w:t>
            </w:r>
            <w:r w:rsidRPr="008A7CB8">
              <w:rPr>
                <w:rFonts w:eastAsia="Calibri"/>
              </w:rPr>
              <w:br/>
              <w:t>2020 CSR 3.4</w:t>
            </w:r>
            <w:r w:rsidRPr="008A7CB8">
              <w:rPr>
                <w:rFonts w:eastAsia="Calibri"/>
              </w:rPr>
              <w:br/>
              <w:t>2020 CSR 3.5</w:t>
            </w:r>
            <w:r w:rsidRPr="008A7CB8">
              <w:rPr>
                <w:rFonts w:eastAsia="Calibri"/>
              </w:rPr>
              <w:br/>
              <w:t>2020 CSR 3.9</w:t>
            </w:r>
            <w:r w:rsidRPr="008A7CB8">
              <w:rPr>
                <w:rFonts w:eastAsia="Calibri"/>
              </w:rPr>
              <w:br/>
              <w:t>2019 CSR 2.1</w:t>
            </w:r>
            <w:r w:rsidRPr="008A7CB8">
              <w:rPr>
                <w:rFonts w:eastAsia="Calibri"/>
              </w:rPr>
              <w:br/>
              <w:t>2019 CSR 2.2</w:t>
            </w:r>
            <w:r w:rsidRPr="008A7CB8">
              <w:rPr>
                <w:rFonts w:eastAsia="Calibri"/>
              </w:rPr>
              <w:br/>
              <w:t>2019 CSR 2.3</w:t>
            </w:r>
            <w:r w:rsidRPr="008A7CB8">
              <w:rPr>
                <w:rFonts w:eastAsia="Calibri"/>
              </w:rPr>
              <w:br/>
              <w:t>2019 CSR 2.4</w:t>
            </w:r>
          </w:p>
        </w:tc>
        <w:tc>
          <w:tcPr>
            <w:tcW w:w="1785" w:type="dxa"/>
            <w:tcMar>
              <w:top w:w="0" w:type="dxa"/>
              <w:left w:w="100" w:type="dxa"/>
              <w:bottom w:w="0" w:type="dxa"/>
              <w:right w:w="100" w:type="dxa"/>
            </w:tcMar>
            <w:vAlign w:val="center"/>
          </w:tcPr>
          <w:p w14:paraId="37A051A9" w14:textId="77777777" w:rsidR="00451CC2" w:rsidRPr="008A7CB8" w:rsidRDefault="00451CC2" w:rsidP="008A7CB8">
            <w:pPr>
              <w:pStyle w:val="Tabletext"/>
              <w:rPr>
                <w:rFonts w:eastAsia="Calibri"/>
              </w:rPr>
            </w:pPr>
            <w:r w:rsidRPr="008A7CB8">
              <w:rPr>
                <w:rFonts w:eastAsia="Calibri"/>
              </w:rPr>
              <w:t>Social and Economic resilience</w:t>
            </w:r>
          </w:p>
        </w:tc>
        <w:tc>
          <w:tcPr>
            <w:tcW w:w="1515" w:type="dxa"/>
            <w:tcMar>
              <w:top w:w="0" w:type="dxa"/>
              <w:left w:w="100" w:type="dxa"/>
              <w:bottom w:w="0" w:type="dxa"/>
              <w:right w:w="100" w:type="dxa"/>
            </w:tcMar>
            <w:vAlign w:val="center"/>
          </w:tcPr>
          <w:p w14:paraId="1C69A327" w14:textId="1036782A" w:rsidR="00451CC2" w:rsidRPr="008A7CB8" w:rsidRDefault="00451CC2" w:rsidP="008A7CB8">
            <w:pPr>
              <w:pStyle w:val="Tabletext"/>
              <w:rPr>
                <w:rFonts w:eastAsia="Calibri"/>
              </w:rPr>
            </w:pPr>
            <w:r w:rsidRPr="008A7CB8">
              <w:rPr>
                <w:rFonts w:eastAsia="Calibri"/>
              </w:rPr>
              <w:t>On</w:t>
            </w:r>
            <w:r w:rsidR="00A802F4">
              <w:rPr>
                <w:rFonts w:eastAsia="Calibri"/>
              </w:rPr>
              <w:t xml:space="preserve"> </w:t>
            </w:r>
            <w:r w:rsidRPr="008A7CB8">
              <w:rPr>
                <w:rFonts w:eastAsia="Calibri"/>
              </w:rPr>
              <w:t>track</w:t>
            </w:r>
          </w:p>
        </w:tc>
      </w:tr>
      <w:tr w:rsidR="00451CC2" w:rsidRPr="008A7CB8" w14:paraId="1CA2361A" w14:textId="77777777" w:rsidTr="00DA620A">
        <w:trPr>
          <w:trHeight w:val="170"/>
          <w:jc w:val="center"/>
        </w:trPr>
        <w:tc>
          <w:tcPr>
            <w:tcW w:w="2820" w:type="dxa"/>
            <w:tcMar>
              <w:top w:w="0" w:type="dxa"/>
              <w:left w:w="100" w:type="dxa"/>
              <w:bottom w:w="0" w:type="dxa"/>
              <w:right w:w="100" w:type="dxa"/>
            </w:tcMar>
            <w:vAlign w:val="center"/>
          </w:tcPr>
          <w:p w14:paraId="1D1C2AF9" w14:textId="77777777" w:rsidR="00451CC2" w:rsidRPr="008A7CB8" w:rsidRDefault="00540671" w:rsidP="008A7CB8">
            <w:pPr>
              <w:pStyle w:val="Tabletext"/>
              <w:rPr>
                <w:rFonts w:eastAsia="Calibri"/>
              </w:rPr>
            </w:pPr>
            <w:r w:rsidRPr="00540671">
              <w:rPr>
                <w:rFonts w:eastAsia="Calibri"/>
                <w:b/>
              </w:rPr>
              <w:t>INVESTMENT 10:</w:t>
            </w:r>
            <w:r w:rsidR="00451CC2" w:rsidRPr="008A7CB8">
              <w:rPr>
                <w:rFonts w:eastAsia="Calibri"/>
              </w:rPr>
              <w:t xml:space="preserve"> Implementation of the institutional framework for private investments</w:t>
            </w:r>
          </w:p>
        </w:tc>
        <w:tc>
          <w:tcPr>
            <w:tcW w:w="1545" w:type="dxa"/>
            <w:tcMar>
              <w:top w:w="0" w:type="dxa"/>
              <w:left w:w="100" w:type="dxa"/>
              <w:bottom w:w="0" w:type="dxa"/>
              <w:right w:w="100" w:type="dxa"/>
            </w:tcMar>
            <w:vAlign w:val="center"/>
          </w:tcPr>
          <w:p w14:paraId="5CA966E6" w14:textId="77777777" w:rsidR="00451CC2" w:rsidRPr="008A7CB8" w:rsidRDefault="00451CC2" w:rsidP="008A7CB8">
            <w:pPr>
              <w:pStyle w:val="Tabletext"/>
              <w:rPr>
                <w:rFonts w:eastAsia="Calibri"/>
              </w:rPr>
            </w:pPr>
            <w:r w:rsidRPr="008A7CB8">
              <w:rPr>
                <w:rFonts w:eastAsia="Calibri"/>
              </w:rPr>
              <w:t>-</w:t>
            </w:r>
          </w:p>
        </w:tc>
        <w:tc>
          <w:tcPr>
            <w:tcW w:w="1680" w:type="dxa"/>
            <w:tcMar>
              <w:top w:w="0" w:type="dxa"/>
              <w:left w:w="100" w:type="dxa"/>
              <w:bottom w:w="0" w:type="dxa"/>
              <w:right w:w="100" w:type="dxa"/>
            </w:tcMar>
            <w:vAlign w:val="center"/>
          </w:tcPr>
          <w:p w14:paraId="69DD7A97" w14:textId="77777777" w:rsidR="00451CC2" w:rsidRPr="008A7CB8" w:rsidRDefault="00451CC2" w:rsidP="008A7CB8">
            <w:pPr>
              <w:pStyle w:val="Tabletext"/>
              <w:rPr>
                <w:rFonts w:eastAsia="Calibri"/>
              </w:rPr>
            </w:pPr>
            <w:r w:rsidRPr="008A7CB8">
              <w:rPr>
                <w:rFonts w:eastAsia="Calibri"/>
              </w:rPr>
              <w:t>2025 CSR 3.1</w:t>
            </w:r>
          </w:p>
          <w:p w14:paraId="70B4E86A" w14:textId="6CCD602A" w:rsidR="00451CC2" w:rsidRPr="008A7CB8" w:rsidRDefault="00451CC2" w:rsidP="008A7CB8">
            <w:pPr>
              <w:pStyle w:val="Tabletext"/>
              <w:rPr>
                <w:rFonts w:eastAsia="Calibri"/>
              </w:rPr>
            </w:pPr>
            <w:r w:rsidRPr="008A7CB8">
              <w:rPr>
                <w:rFonts w:eastAsia="Calibri"/>
              </w:rPr>
              <w:t>2024 CSR 1.7</w:t>
            </w:r>
            <w:r w:rsidRPr="008A7CB8">
              <w:rPr>
                <w:rFonts w:eastAsia="Calibri"/>
              </w:rPr>
              <w:br/>
              <w:t>2020 CSR 3.3</w:t>
            </w:r>
            <w:r w:rsidRPr="008A7CB8">
              <w:rPr>
                <w:rFonts w:eastAsia="Calibri"/>
              </w:rPr>
              <w:br/>
              <w:t>2020 CSR 3.4 2019 CSR 2.1</w:t>
            </w:r>
          </w:p>
        </w:tc>
        <w:tc>
          <w:tcPr>
            <w:tcW w:w="1785" w:type="dxa"/>
            <w:tcMar>
              <w:top w:w="0" w:type="dxa"/>
              <w:left w:w="100" w:type="dxa"/>
              <w:bottom w:w="0" w:type="dxa"/>
              <w:right w:w="100" w:type="dxa"/>
            </w:tcMar>
            <w:vAlign w:val="center"/>
          </w:tcPr>
          <w:p w14:paraId="67452A7C" w14:textId="77777777" w:rsidR="00451CC2" w:rsidRPr="008A7CB8" w:rsidRDefault="00451CC2" w:rsidP="008A7CB8">
            <w:pPr>
              <w:pStyle w:val="Tabletext"/>
              <w:rPr>
                <w:rFonts w:eastAsia="Calibri"/>
              </w:rPr>
            </w:pPr>
            <w:r w:rsidRPr="008A7CB8">
              <w:rPr>
                <w:rFonts w:eastAsia="Calibri"/>
              </w:rPr>
              <w:t>Social and Economic resilience</w:t>
            </w:r>
          </w:p>
        </w:tc>
        <w:tc>
          <w:tcPr>
            <w:tcW w:w="1515" w:type="dxa"/>
            <w:tcMar>
              <w:top w:w="0" w:type="dxa"/>
              <w:left w:w="100" w:type="dxa"/>
              <w:bottom w:w="0" w:type="dxa"/>
              <w:right w:w="100" w:type="dxa"/>
            </w:tcMar>
            <w:vAlign w:val="center"/>
          </w:tcPr>
          <w:p w14:paraId="637BBA2D" w14:textId="3DC04938" w:rsidR="00451CC2" w:rsidRPr="008A7CB8" w:rsidRDefault="00451CC2" w:rsidP="008A7CB8">
            <w:pPr>
              <w:pStyle w:val="Tabletext"/>
              <w:rPr>
                <w:rFonts w:eastAsia="Calibri"/>
              </w:rPr>
            </w:pPr>
            <w:r w:rsidRPr="008A7CB8">
              <w:rPr>
                <w:rFonts w:eastAsia="Calibri"/>
              </w:rPr>
              <w:t>On</w:t>
            </w:r>
            <w:r w:rsidR="00A802F4">
              <w:rPr>
                <w:rFonts w:eastAsia="Calibri"/>
              </w:rPr>
              <w:t xml:space="preserve"> </w:t>
            </w:r>
            <w:r w:rsidRPr="008A7CB8">
              <w:rPr>
                <w:rFonts w:eastAsia="Calibri"/>
              </w:rPr>
              <w:t>track</w:t>
            </w:r>
          </w:p>
        </w:tc>
      </w:tr>
      <w:tr w:rsidR="00451CC2" w:rsidRPr="008A7CB8" w14:paraId="4509E962" w14:textId="77777777" w:rsidTr="00DA620A">
        <w:trPr>
          <w:trHeight w:val="170"/>
          <w:jc w:val="center"/>
        </w:trPr>
        <w:tc>
          <w:tcPr>
            <w:tcW w:w="2820" w:type="dxa"/>
            <w:tcMar>
              <w:top w:w="0" w:type="dxa"/>
              <w:left w:w="100" w:type="dxa"/>
              <w:bottom w:w="0" w:type="dxa"/>
              <w:right w:w="100" w:type="dxa"/>
            </w:tcMar>
            <w:vAlign w:val="center"/>
          </w:tcPr>
          <w:p w14:paraId="1602508D" w14:textId="77777777" w:rsidR="00451CC2" w:rsidRPr="008A7CB8" w:rsidRDefault="00540671" w:rsidP="008A7CB8">
            <w:pPr>
              <w:pStyle w:val="Tabletext"/>
              <w:rPr>
                <w:rFonts w:eastAsia="Calibri"/>
              </w:rPr>
            </w:pPr>
            <w:r w:rsidRPr="00540671">
              <w:rPr>
                <w:rFonts w:eastAsia="Calibri"/>
                <w:b/>
              </w:rPr>
              <w:t>INVESTMENT 11:</w:t>
            </w:r>
            <w:r w:rsidR="00451CC2" w:rsidRPr="008A7CB8">
              <w:rPr>
                <w:rFonts w:eastAsia="Calibri"/>
              </w:rPr>
              <w:t xml:space="preserve"> Implementation of the Institutional Framework for Strategic Investments</w:t>
            </w:r>
          </w:p>
        </w:tc>
        <w:tc>
          <w:tcPr>
            <w:tcW w:w="1545" w:type="dxa"/>
            <w:tcMar>
              <w:top w:w="0" w:type="dxa"/>
              <w:left w:w="100" w:type="dxa"/>
              <w:bottom w:w="0" w:type="dxa"/>
              <w:right w:w="100" w:type="dxa"/>
            </w:tcMar>
            <w:vAlign w:val="center"/>
          </w:tcPr>
          <w:p w14:paraId="71D8E12D" w14:textId="77777777" w:rsidR="00451CC2" w:rsidRPr="008A7CB8" w:rsidRDefault="00451CC2" w:rsidP="008A7CB8">
            <w:pPr>
              <w:pStyle w:val="Tabletext"/>
              <w:rPr>
                <w:rFonts w:eastAsia="Calibri"/>
              </w:rPr>
            </w:pPr>
            <w:r w:rsidRPr="008A7CB8">
              <w:rPr>
                <w:rFonts w:eastAsia="Calibri"/>
              </w:rPr>
              <w:t>-</w:t>
            </w:r>
          </w:p>
        </w:tc>
        <w:tc>
          <w:tcPr>
            <w:tcW w:w="1680" w:type="dxa"/>
            <w:tcMar>
              <w:top w:w="0" w:type="dxa"/>
              <w:left w:w="100" w:type="dxa"/>
              <w:bottom w:w="0" w:type="dxa"/>
              <w:right w:w="100" w:type="dxa"/>
            </w:tcMar>
            <w:vAlign w:val="center"/>
          </w:tcPr>
          <w:p w14:paraId="28435EC7" w14:textId="1DEF0998" w:rsidR="00451CC2" w:rsidRPr="008A7CB8" w:rsidRDefault="00451CC2" w:rsidP="008A7CB8">
            <w:pPr>
              <w:pStyle w:val="Tabletext"/>
              <w:rPr>
                <w:rFonts w:eastAsia="Calibri"/>
              </w:rPr>
            </w:pPr>
            <w:r w:rsidRPr="008A7CB8">
              <w:rPr>
                <w:rFonts w:eastAsia="Calibri"/>
              </w:rPr>
              <w:t>2024 CSR 1.7</w:t>
            </w:r>
            <w:r w:rsidRPr="008A7CB8">
              <w:rPr>
                <w:rFonts w:eastAsia="Calibri"/>
              </w:rPr>
              <w:br/>
              <w:t>2020 CSR 3.3</w:t>
            </w:r>
          </w:p>
        </w:tc>
        <w:tc>
          <w:tcPr>
            <w:tcW w:w="1785" w:type="dxa"/>
            <w:tcMar>
              <w:top w:w="0" w:type="dxa"/>
              <w:left w:w="100" w:type="dxa"/>
              <w:bottom w:w="0" w:type="dxa"/>
              <w:right w:w="100" w:type="dxa"/>
            </w:tcMar>
            <w:vAlign w:val="center"/>
          </w:tcPr>
          <w:p w14:paraId="3B97D3A2" w14:textId="77777777" w:rsidR="00451CC2" w:rsidRPr="008A7CB8" w:rsidRDefault="00451CC2" w:rsidP="008A7CB8">
            <w:pPr>
              <w:pStyle w:val="Tabletext"/>
              <w:rPr>
                <w:rFonts w:eastAsia="Calibri"/>
              </w:rPr>
            </w:pPr>
            <w:r w:rsidRPr="008A7CB8">
              <w:rPr>
                <w:rFonts w:eastAsia="Calibri"/>
              </w:rPr>
              <w:t>Social and Economic resilience</w:t>
            </w:r>
          </w:p>
        </w:tc>
        <w:tc>
          <w:tcPr>
            <w:tcW w:w="1515" w:type="dxa"/>
            <w:tcMar>
              <w:top w:w="0" w:type="dxa"/>
              <w:left w:w="100" w:type="dxa"/>
              <w:bottom w:w="0" w:type="dxa"/>
              <w:right w:w="100" w:type="dxa"/>
            </w:tcMar>
            <w:vAlign w:val="center"/>
          </w:tcPr>
          <w:p w14:paraId="4A9EB170" w14:textId="7E7C7AAB" w:rsidR="00451CC2" w:rsidRPr="008A7CB8" w:rsidRDefault="00451CC2" w:rsidP="008A7CB8">
            <w:pPr>
              <w:pStyle w:val="Tabletext"/>
              <w:rPr>
                <w:rFonts w:eastAsia="Calibri"/>
              </w:rPr>
            </w:pPr>
            <w:r w:rsidRPr="008A7CB8">
              <w:rPr>
                <w:rFonts w:eastAsia="Calibri"/>
              </w:rPr>
              <w:t>On</w:t>
            </w:r>
            <w:r w:rsidR="00A802F4">
              <w:rPr>
                <w:rFonts w:eastAsia="Calibri"/>
              </w:rPr>
              <w:t xml:space="preserve"> </w:t>
            </w:r>
            <w:r w:rsidRPr="008A7CB8">
              <w:rPr>
                <w:rFonts w:eastAsia="Calibri"/>
              </w:rPr>
              <w:t>track</w:t>
            </w:r>
          </w:p>
        </w:tc>
      </w:tr>
    </w:tbl>
    <w:p w14:paraId="284B2A52" w14:textId="77777777" w:rsidR="00451CC2" w:rsidRPr="00C03F1B" w:rsidRDefault="00451CC2" w:rsidP="00DA620A">
      <w:pPr>
        <w:spacing w:before="240" w:after="180" w:line="262" w:lineRule="auto"/>
        <w:rPr>
          <w:rFonts w:eastAsia="Calibri"/>
          <w:lang w:val="en-US"/>
        </w:rPr>
      </w:pPr>
      <w:r w:rsidRPr="00C03F1B">
        <w:rPr>
          <w:rFonts w:eastAsia="Calibri"/>
          <w:lang w:val="en-US"/>
        </w:rPr>
        <w:t xml:space="preserve">The </w:t>
      </w:r>
      <w:r w:rsidRPr="00C03F1B">
        <w:rPr>
          <w:rFonts w:eastAsia="Calibri"/>
          <w:b/>
          <w:lang w:val="en-US"/>
        </w:rPr>
        <w:t>RRF reform “Simplification of the business environment and its upgrading in quality and safety”</w:t>
      </w:r>
      <w:r w:rsidRPr="00C03F1B">
        <w:rPr>
          <w:rFonts w:eastAsia="Calibri"/>
          <w:lang w:val="en-US"/>
        </w:rPr>
        <w:t xml:space="preserve"> aims to create an attractive business environment conducive to investment, to facilitate firm entry and job creation and to ensure effective market surveillance. The reform comprises a set of actions to simplify procedures and requirements relating to business activity. The draft law on the incorporation of additional economic activities in the simplified licensing procedure of Law 4442/2016 as well as on the unified market surveillance framework of Law 4512/2018, was tabled to the Parliament within April 2026. In addition, the codification of the laws regarding manufacturing and logistics is being implemented on schedule. Furthermore, the National Policy for Quality Infrastructures has been delivered and the legal provisions necessary to enhance the regulation on standardization, metrology, accreditation and conformity assessment have been approved and are included in law 5218/2025 (OJ A’ 125/14-07-2025). The regulatory reform governing the establishment of manufacturing activities in Attica, intended to remove excessively restrictive and non-proportionate requirements, has also been </w:t>
      </w:r>
      <w:r w:rsidRPr="00C03F1B">
        <w:rPr>
          <w:rFonts w:eastAsia="Calibri"/>
          <w:lang w:val="en-US"/>
        </w:rPr>
        <w:lastRenderedPageBreak/>
        <w:t>included, and its provisions are incorporated in the aforementioned law. The measure is under revision to remove the industrial products surveillance information system. The implementation of the reform is expected to be completed by the end of August 2026.</w:t>
      </w:r>
    </w:p>
    <w:p w14:paraId="66A35DD5" w14:textId="77777777" w:rsidR="00451CC2" w:rsidRPr="00C03F1B" w:rsidRDefault="00451CC2" w:rsidP="00DA620A">
      <w:pPr>
        <w:spacing w:after="180" w:line="262" w:lineRule="auto"/>
        <w:rPr>
          <w:rFonts w:eastAsia="Calibri"/>
          <w:lang w:val="en-US"/>
        </w:rPr>
      </w:pPr>
      <w:r w:rsidRPr="00C03F1B">
        <w:rPr>
          <w:rFonts w:eastAsia="Calibri"/>
          <w:lang w:val="en-US"/>
        </w:rPr>
        <w:t xml:space="preserve">The objective of the </w:t>
      </w:r>
      <w:r w:rsidRPr="00C03F1B">
        <w:rPr>
          <w:rFonts w:eastAsia="Calibri"/>
          <w:b/>
          <w:lang w:val="en-US"/>
        </w:rPr>
        <w:t>RRF reform “Amendment of the legal framework for the attraction of strategic investment”</w:t>
      </w:r>
      <w:r w:rsidRPr="00C03F1B">
        <w:rPr>
          <w:rFonts w:eastAsia="Calibri"/>
          <w:lang w:val="en-US"/>
        </w:rPr>
        <w:t xml:space="preserve"> is to promote Greece as an attractive destination to potential investors. The reform unified and simplified the legal framework, created a new category of strategic investments (Emblematic Investments of Great Significance) with additional incentives, simplified the licensing procedure, and included new fields of economic activity, focusing on manufacturing and innovation. The reform also focuses on the monitoring of strategic investments through an IT system and on funding of projects in the category of "Emblematic Investments of Great Significance".  Five (5) Emblematic Investments of Great Significance have been approved under the legal provision of L</w:t>
      </w:r>
      <w:r>
        <w:rPr>
          <w:rFonts w:eastAsia="Calibri"/>
          <w:lang w:val="en-US"/>
        </w:rPr>
        <w:t>aw</w:t>
      </w:r>
      <w:r w:rsidRPr="00C03F1B">
        <w:rPr>
          <w:rFonts w:eastAsia="Calibri"/>
          <w:lang w:val="en-US"/>
        </w:rPr>
        <w:t xml:space="preserve"> 4864/2021 for the period from May 2023 to May 2025, with a total budget of over €296 million and total RRF funding of over €90 million. These investments concern sectors of strategic importance to the Greek economy, such as the paper industry, ethanol processing, metal structures and vehicles, aircraft maintenance and the creation of a modern pilot training infrastructure. Four (4) of the selected investments are expected to be completed by the 2nd quarter of 2026. The IT system for strategic investments and the investor information line, have been completed since 2024. The measure is under revision.</w:t>
      </w:r>
    </w:p>
    <w:p w14:paraId="2453B09D" w14:textId="77777777" w:rsidR="00451CC2" w:rsidRPr="00C03F1B" w:rsidRDefault="00451CC2" w:rsidP="00DA620A">
      <w:pPr>
        <w:spacing w:after="180" w:line="262" w:lineRule="auto"/>
        <w:rPr>
          <w:rFonts w:eastAsia="Calibri"/>
          <w:lang w:val="en-US"/>
        </w:rPr>
      </w:pPr>
      <w:r w:rsidRPr="00C03F1B">
        <w:rPr>
          <w:rFonts w:eastAsia="Calibri"/>
          <w:lang w:val="en-US"/>
        </w:rPr>
        <w:t xml:space="preserve">The </w:t>
      </w:r>
      <w:r w:rsidRPr="00C03F1B">
        <w:rPr>
          <w:rFonts w:eastAsia="Calibri"/>
          <w:b/>
          <w:lang w:val="en-US"/>
        </w:rPr>
        <w:t>RRF reform “Extroversion of the Research and Innovation Ecosystem of Greece”</w:t>
      </w:r>
      <w:r w:rsidRPr="00C03F1B">
        <w:rPr>
          <w:rFonts w:eastAsia="Calibri"/>
          <w:lang w:val="en-US"/>
        </w:rPr>
        <w:t>, was removed from the Facility, following the Council Implementing Decision of the European Union of 12 December 2025 on the revision of Greece’s National Recovery and Resilience Plan. Alternative funding and implementation paths are currently under consideration.</w:t>
      </w:r>
    </w:p>
    <w:p w14:paraId="39AB30A8" w14:textId="77777777" w:rsidR="00451CC2" w:rsidRPr="00C03F1B" w:rsidRDefault="00451CC2" w:rsidP="00DA620A">
      <w:pPr>
        <w:spacing w:after="180" w:line="262" w:lineRule="auto"/>
        <w:rPr>
          <w:rFonts w:eastAsia="Calibri"/>
          <w:lang w:val="en-US"/>
        </w:rPr>
      </w:pPr>
      <w:r w:rsidRPr="00C03F1B">
        <w:rPr>
          <w:rFonts w:eastAsia="Calibri"/>
          <w:lang w:val="en-US"/>
        </w:rPr>
        <w:t xml:space="preserve">The </w:t>
      </w:r>
      <w:r w:rsidRPr="00C03F1B">
        <w:rPr>
          <w:rFonts w:eastAsia="Calibri"/>
          <w:b/>
          <w:lang w:val="en-US"/>
        </w:rPr>
        <w:t>RRF reform “Combating illegal trade and protecting intellectual property”</w:t>
      </w:r>
      <w:r w:rsidRPr="00C03F1B">
        <w:rPr>
          <w:rFonts w:eastAsia="Calibri"/>
          <w:lang w:val="en-US"/>
        </w:rPr>
        <w:t>, aims at strengthening the response against illegal trade by means of reinforcing the Interagency Unit for Market Control (DIMEA) with staff training, appropriate IT systems and equipment. The reform was completed in Q4 2025. Completed projects include: (</w:t>
      </w:r>
      <w:proofErr w:type="spellStart"/>
      <w:r w:rsidRPr="00C03F1B">
        <w:rPr>
          <w:rFonts w:eastAsia="Calibri"/>
          <w:lang w:val="en-US"/>
        </w:rPr>
        <w:t>i</w:t>
      </w:r>
      <w:proofErr w:type="spellEnd"/>
      <w:r w:rsidRPr="00C03F1B">
        <w:rPr>
          <w:rFonts w:eastAsia="Calibri"/>
          <w:lang w:val="en-US"/>
        </w:rPr>
        <w:t>) The Information system for managing market controls for the suppression of illegal trade (DI.M.E.A.) OPS DI.M.E.A., (ii) the Purchase and installation of ten (10) prefabricated houses (</w:t>
      </w:r>
      <w:proofErr w:type="spellStart"/>
      <w:r w:rsidRPr="00C03F1B">
        <w:rPr>
          <w:rFonts w:eastAsia="Calibri"/>
          <w:lang w:val="en-US"/>
        </w:rPr>
        <w:t>isobox</w:t>
      </w:r>
      <w:proofErr w:type="spellEnd"/>
      <w:r w:rsidRPr="00C03F1B">
        <w:rPr>
          <w:rFonts w:eastAsia="Calibri"/>
          <w:lang w:val="en-US"/>
        </w:rPr>
        <w:t xml:space="preserve"> type) and (iii) implementation of trainings for inspection personnel and citizens.</w:t>
      </w:r>
    </w:p>
    <w:p w14:paraId="77766AA7" w14:textId="77777777" w:rsidR="00451CC2" w:rsidRPr="00C03F1B" w:rsidRDefault="00451CC2" w:rsidP="00DA620A">
      <w:pPr>
        <w:spacing w:after="180" w:line="262" w:lineRule="auto"/>
        <w:rPr>
          <w:rFonts w:eastAsia="Calibri"/>
          <w:lang w:val="en-US"/>
        </w:rPr>
      </w:pPr>
      <w:r w:rsidRPr="00C03F1B">
        <w:rPr>
          <w:rFonts w:eastAsia="Calibri"/>
          <w:lang w:val="en-US"/>
        </w:rPr>
        <w:t xml:space="preserve">The </w:t>
      </w:r>
      <w:r w:rsidRPr="00C03F1B">
        <w:rPr>
          <w:rFonts w:eastAsia="Calibri"/>
          <w:b/>
          <w:lang w:val="en-US"/>
        </w:rPr>
        <w:t>RRF reform “</w:t>
      </w:r>
      <w:proofErr w:type="spellStart"/>
      <w:r w:rsidRPr="00C03F1B">
        <w:rPr>
          <w:rFonts w:eastAsia="Calibri"/>
          <w:b/>
          <w:lang w:val="en-US"/>
        </w:rPr>
        <w:t>Professionalisation</w:t>
      </w:r>
      <w:proofErr w:type="spellEnd"/>
      <w:r w:rsidRPr="00C03F1B">
        <w:rPr>
          <w:rFonts w:eastAsia="Calibri"/>
          <w:b/>
          <w:lang w:val="en-US"/>
        </w:rPr>
        <w:t xml:space="preserve"> of the Public Procurement domain”</w:t>
      </w:r>
      <w:r w:rsidRPr="00C03F1B">
        <w:rPr>
          <w:rFonts w:eastAsia="Calibri"/>
          <w:lang w:val="en-US"/>
        </w:rPr>
        <w:t xml:space="preserve"> aims to improve the public procurement framework in Greece and address its current weaknesses. The reform consists of certification of civil servants upon participation in dedicated upskilling / reskilling programmes under the Professionalization of Public Procurement framework. In the context of establishing the institutional framework for </w:t>
      </w:r>
      <w:proofErr w:type="spellStart"/>
      <w:r w:rsidRPr="00C03F1B">
        <w:rPr>
          <w:rFonts w:eastAsia="Calibri"/>
          <w:lang w:val="en-US"/>
        </w:rPr>
        <w:t>professionalisation</w:t>
      </w:r>
      <w:proofErr w:type="spellEnd"/>
      <w:r w:rsidRPr="00C03F1B">
        <w:rPr>
          <w:rFonts w:eastAsia="Calibri"/>
          <w:lang w:val="en-US"/>
        </w:rPr>
        <w:t xml:space="preserve">, Law No 5111/2024, article 17 (OJ A' 76) was adopted, providing for the subsequent issuance of Joint Ministerial Decision (JMD) No. 72065/19-09-2024 (OJ B' 5389) which regulates the training and certification of public procurement professionals. In addition, Law No 5218/2025 (OJ Α' 125) on the professionalization of the public procurement domain entered into force on 14.07.2025.  Under this framework, training and certification programmes for public procurement professionals are being implemented, with over 4,500 certifications awarded to date. The reform has been successfully completed.    </w:t>
      </w:r>
    </w:p>
    <w:p w14:paraId="14E68FC4" w14:textId="77777777" w:rsidR="00451CC2" w:rsidRPr="00C03F1B" w:rsidRDefault="00451CC2" w:rsidP="00DA620A">
      <w:pPr>
        <w:spacing w:after="180" w:line="262" w:lineRule="auto"/>
        <w:rPr>
          <w:rFonts w:eastAsia="Calibri"/>
          <w:lang w:val="en-US"/>
        </w:rPr>
      </w:pPr>
      <w:r w:rsidRPr="00C03F1B">
        <w:rPr>
          <w:rFonts w:eastAsia="Calibri"/>
          <w:lang w:val="en-US"/>
        </w:rPr>
        <w:lastRenderedPageBreak/>
        <w:t xml:space="preserve">The reform </w:t>
      </w:r>
      <w:r w:rsidRPr="006135FA">
        <w:rPr>
          <w:rFonts w:eastAsia="Calibri"/>
          <w:b/>
          <w:lang w:val="en-US"/>
        </w:rPr>
        <w:t>“National Strategy for Public Procurement (NSPP) 2021 – 2025”</w:t>
      </w:r>
      <w:r w:rsidRPr="00C03F1B">
        <w:rPr>
          <w:rFonts w:eastAsia="Calibri"/>
          <w:lang w:val="en-US"/>
        </w:rPr>
        <w:t xml:space="preserve"> aims to enhance the effectiveness, quality and transparency of the public procurement system and includes actions divided in 4 main axes: a) Empowering the regulatory environment for public procurement, b) further digitizing of public procurement procedures, c) pursuing strategic public procurement and enhancing the capacity of Central Purchasing Bodies and d) achieving </w:t>
      </w:r>
      <w:proofErr w:type="spellStart"/>
      <w:r w:rsidRPr="00C03F1B">
        <w:rPr>
          <w:rFonts w:eastAsia="Calibri"/>
          <w:lang w:val="en-US"/>
        </w:rPr>
        <w:t>professionalisation</w:t>
      </w:r>
      <w:proofErr w:type="spellEnd"/>
      <w:r w:rsidRPr="00C03F1B">
        <w:rPr>
          <w:rFonts w:eastAsia="Calibri"/>
          <w:lang w:val="en-US"/>
        </w:rPr>
        <w:t xml:space="preserve"> of the public procurement domain. Regarding the reform of the regulatory framework for public procurement (axis I of the Strategy), twelve (12)</w:t>
      </w:r>
      <w:r>
        <w:rPr>
          <w:rFonts w:eastAsia="Calibri"/>
          <w:lang w:val="en-US"/>
        </w:rPr>
        <w:t xml:space="preserve"> </w:t>
      </w:r>
      <w:r w:rsidRPr="00C03F1B">
        <w:rPr>
          <w:rFonts w:eastAsia="Calibri"/>
          <w:lang w:val="en-US"/>
        </w:rPr>
        <w:t>out of a total of thirteen (13) actions have been completed. Furthermore, concerning the digital transformation of the public procurement sector (axis II of the Strategy), eight (8) out of a total of twenty-three (23) actions have been completed. In addition, regarding the achievement of broader strategic objectives and policy initiatives (axis III of the Strategy), fifteen (15) out of a total of twenty-three (23) actions have been completed. Concerning the reform of the governance framework for public procurement (axis IV of the Strategy), all twelve (12) actions of the axis have been completed. The remaining actions currently under implementation will be assessed based on their level of completion during the present period. Those that are completed will be incorporated into the revision of the NSPP Action Plan 2021–2025, which is to be signed in collaboration with the competent and co-competent ministries, with a view to ensuring a more accurate reflection of implementation and more effective monitoring of outputs. Actions that are not completed will be carried forward and included in the new NSPP 2026–2030, which is currently under preparation. The implementation of the reform is expected to be completed by the end of 2026.</w:t>
      </w:r>
    </w:p>
    <w:p w14:paraId="6C2618DC" w14:textId="77777777" w:rsidR="00451CC2" w:rsidRPr="00C03F1B" w:rsidRDefault="00451CC2" w:rsidP="00DA620A">
      <w:pPr>
        <w:spacing w:after="180" w:line="262" w:lineRule="auto"/>
        <w:rPr>
          <w:rFonts w:eastAsia="Calibri"/>
          <w:lang w:val="en-US"/>
        </w:rPr>
      </w:pPr>
      <w:r w:rsidRPr="00C03F1B">
        <w:rPr>
          <w:rFonts w:eastAsia="Calibri"/>
          <w:lang w:val="en-US"/>
        </w:rPr>
        <w:t xml:space="preserve">The reform </w:t>
      </w:r>
      <w:r w:rsidRPr="006135FA">
        <w:rPr>
          <w:rFonts w:eastAsia="Calibri"/>
          <w:b/>
          <w:lang w:val="en-US"/>
        </w:rPr>
        <w:t>“National Strategy for Industry”</w:t>
      </w:r>
      <w:r w:rsidRPr="00C03F1B">
        <w:rPr>
          <w:rFonts w:eastAsia="Calibri"/>
          <w:lang w:val="en-US"/>
        </w:rPr>
        <w:t xml:space="preserve"> aims to increase productivity and employment and promote private investments including an Action Plan with 43 interventions which are divided into four (4) categories depending on the type (funding schemes, reforms, etc.) and the scope (collaborating agencies, intended changes, etc.) of each intervention. Among the actions that have already been completed, is the entering into force of Law 4982/2022 on business parks and the formulation of the National Strategy for Sustainable Financing, which identifies the financial needs for the green transition of the Greek industry from 2026 to 2030, as well as a funding program amounting to </w:t>
      </w:r>
      <w:r w:rsidR="00741C54">
        <w:rPr>
          <w:rFonts w:eastAsia="Calibri"/>
          <w:lang w:val="en-US"/>
        </w:rPr>
        <w:t>€</w:t>
      </w:r>
      <w:r w:rsidRPr="00C03F1B">
        <w:rPr>
          <w:rFonts w:eastAsia="Calibri"/>
          <w:lang w:val="en-US"/>
        </w:rPr>
        <w:t>8 million to support businesses in the fur industry, that had been gravely affected by the war in Ukraine. Additionally, Action Plans to enhance the country's</w:t>
      </w:r>
      <w:r>
        <w:rPr>
          <w:rFonts w:eastAsia="Calibri"/>
          <w:lang w:val="en-US"/>
        </w:rPr>
        <w:t xml:space="preserve"> </w:t>
      </w:r>
      <w:r w:rsidRPr="00C03F1B">
        <w:rPr>
          <w:rFonts w:eastAsia="Calibri"/>
          <w:lang w:val="en-US"/>
        </w:rPr>
        <w:t xml:space="preserve">Strategic Autonomy in health, </w:t>
      </w:r>
      <w:proofErr w:type="spellStart"/>
      <w:r w:rsidRPr="00C03F1B">
        <w:rPr>
          <w:rFonts w:eastAsia="Calibri"/>
          <w:lang w:val="en-US"/>
        </w:rPr>
        <w:t>agrifood</w:t>
      </w:r>
      <w:proofErr w:type="spellEnd"/>
      <w:r w:rsidRPr="00C03F1B">
        <w:rPr>
          <w:rFonts w:eastAsia="Calibri"/>
          <w:lang w:val="en-US"/>
        </w:rPr>
        <w:t xml:space="preserve">, and building materials and an Action Plan for Industrial Skills have been completed, along with an improvement to the National Intellectual and Industrial Property system. In more detail, among the actions currently implemented is a major project for the formulation of specialized national strategies and action plans for: a) three major industrial sectors (namely, </w:t>
      </w:r>
      <w:proofErr w:type="spellStart"/>
      <w:r w:rsidRPr="00C03F1B">
        <w:rPr>
          <w:rFonts w:eastAsia="Calibri"/>
          <w:lang w:val="en-US"/>
        </w:rPr>
        <w:t>agrifood</w:t>
      </w:r>
      <w:proofErr w:type="spellEnd"/>
      <w:r w:rsidRPr="00C03F1B">
        <w:rPr>
          <w:rFonts w:eastAsia="Calibri"/>
          <w:lang w:val="en-US"/>
        </w:rPr>
        <w:t>, structural materials and pharmaceuticals / health products value chains identified as priority areas at both EU and national level), b) the reformation of the national system for intellectual and industrial property and c) the formulation of national strategy and action plan proposal to facilitate the development of industry-related skills and competences of the workforce. This project was initiated under the umbrella of a DG-Reform financed project titled “TSIC-RoC-19008– Industrial Ecosystems – Supporting the implementation of the Greek National Industrial Strategy” which was completed in July 2025. Last, but not least, the NIS is under amendment considering all new international developments, including energy security, as well as trends like the rapid emergence of Artificial Intelligence, competitive pressures (e.g., the US IRA), new EU regulations directly affecting industrial policies (</w:t>
      </w:r>
      <w:proofErr w:type="spellStart"/>
      <w:r w:rsidRPr="00C03F1B">
        <w:rPr>
          <w:rFonts w:eastAsia="Calibri"/>
          <w:lang w:val="en-US"/>
        </w:rPr>
        <w:t>eg.</w:t>
      </w:r>
      <w:proofErr w:type="spellEnd"/>
      <w:r w:rsidRPr="00C03F1B">
        <w:rPr>
          <w:rFonts w:eastAsia="Calibri"/>
          <w:lang w:val="en-US"/>
        </w:rPr>
        <w:t xml:space="preserve"> Chips act, NZIA act, New Green Industrial Deal) and the prioritization of </w:t>
      </w:r>
      <w:r w:rsidRPr="00C03F1B">
        <w:rPr>
          <w:rFonts w:eastAsia="Calibri"/>
          <w:lang w:val="en-US"/>
        </w:rPr>
        <w:lastRenderedPageBreak/>
        <w:t xml:space="preserve">strategic autonomy at the EU and national level. The implementation of the reform is expected to be completed by the end of 2030.    </w:t>
      </w:r>
    </w:p>
    <w:p w14:paraId="0C9494C7" w14:textId="77777777" w:rsidR="00451CC2" w:rsidRPr="00C03F1B" w:rsidRDefault="00451CC2" w:rsidP="00DA620A">
      <w:pPr>
        <w:spacing w:after="180" w:line="262" w:lineRule="auto"/>
        <w:rPr>
          <w:rFonts w:eastAsia="Calibri"/>
          <w:lang w:val="en-US"/>
        </w:rPr>
      </w:pPr>
      <w:r w:rsidRPr="00C03F1B">
        <w:rPr>
          <w:rFonts w:eastAsia="Calibri"/>
          <w:lang w:val="en-US"/>
        </w:rPr>
        <w:t xml:space="preserve">As regards the measure of the </w:t>
      </w:r>
      <w:r w:rsidRPr="006135FA">
        <w:rPr>
          <w:rFonts w:eastAsia="Calibri"/>
          <w:b/>
          <w:lang w:val="en-US"/>
        </w:rPr>
        <w:t>“Simplification of the business environment – Reduction of bureaucracy and administrative burdens by 25%</w:t>
      </w:r>
      <w:r>
        <w:rPr>
          <w:rFonts w:eastAsia="Calibri"/>
          <w:b/>
          <w:lang w:val="en-US"/>
        </w:rPr>
        <w:t>”</w:t>
      </w:r>
      <w:r w:rsidRPr="00C03F1B">
        <w:rPr>
          <w:rFonts w:eastAsia="Calibri"/>
          <w:lang w:val="en-US"/>
        </w:rPr>
        <w:t>, this project encompasses 12 legislative and non-legislative interventions by various Ministries, with the aim of simplifying the Business Environment. The General Secretariat of Industry will act as a coordinator in the implementation of these interventions, which will concern not only the Ministry of Development but also other Ministries. The 12 interventions include: 1. Abolition/Replacement of the Industrial Movement Card, 2. Upgrading the electronic Licensing &amp; Inspections system, 3. Simplification of the business closure process, 4. Improvement of the framework for over-deduction of Research and Technology expenses, 5. Removal of overlaps in common data requested when completing and submitting financial statements, 6. Unification of Consumer Protection Legislation into a single Code, 7. Simplification of procedures &amp; supporting documents during the modernization of manufacturing facilities, 8. Improvements in the institutional framework for the establishment of a “Single Large Unit Business Park” (SLBBP), 9. Expansion of industries to adjacent properties that have been designated as incompatible land uses, 10. Solving problems of characterizing high-productivity agricultural land in cases of industrial facilities, 11. Possibility of functional consolidation of plots/agricultural plots in areas of development of Business Parks, 12. Improvement of access conditions of industrial plots to adjacent road networks. So far, 3 of the aforementioned legislative interventions (1,7 and 8) are included in a draft law which was tabled to Parliament in April 2026. The timeline of adoption of each intervention can differ from April 2026 to the end of 2027.</w:t>
      </w:r>
    </w:p>
    <w:p w14:paraId="3B1C5CA7" w14:textId="77777777" w:rsidR="00451CC2" w:rsidRPr="00C03F1B" w:rsidRDefault="00451CC2" w:rsidP="00DA620A">
      <w:pPr>
        <w:spacing w:after="180" w:line="262" w:lineRule="auto"/>
        <w:rPr>
          <w:rFonts w:eastAsia="Calibri"/>
          <w:lang w:val="en-US"/>
        </w:rPr>
      </w:pPr>
      <w:r w:rsidRPr="00C03F1B">
        <w:rPr>
          <w:rFonts w:eastAsia="Calibri"/>
          <w:lang w:val="en-US"/>
        </w:rPr>
        <w:t xml:space="preserve">The reform </w:t>
      </w:r>
      <w:r w:rsidRPr="006135FA">
        <w:rPr>
          <w:rFonts w:eastAsia="Calibri"/>
          <w:b/>
          <w:lang w:val="en-US"/>
        </w:rPr>
        <w:t>“Golden Visa for financing start-ups”</w:t>
      </w:r>
      <w:r w:rsidRPr="00C03F1B">
        <w:rPr>
          <w:rFonts w:eastAsia="Calibri"/>
          <w:lang w:val="en-US"/>
        </w:rPr>
        <w:t xml:space="preserve"> aims to grant a "Golden Visa" for funds to be imported for the financing of startup companies, with at least </w:t>
      </w:r>
      <w:r w:rsidR="00741C54">
        <w:rPr>
          <w:rFonts w:eastAsia="Calibri"/>
          <w:lang w:val="en-US"/>
        </w:rPr>
        <w:t>€</w:t>
      </w:r>
      <w:r w:rsidRPr="00C03F1B">
        <w:rPr>
          <w:rFonts w:eastAsia="Calibri"/>
          <w:lang w:val="en-US"/>
        </w:rPr>
        <w:t>250,000, in order to strengthen the country's business development footprint in cutting-edge technologies. The measure will support companies registered in the ELEVATE GREECE registry and thus, will empower the entrepreneurship and innovation ecosystem. Law 5162/2024 on the "Golden Visa for financing start-ups" was adopted in December 2024. With regard to articles 176 and 100A of Law 5038/2023, Joint Ministerial Decision 34693/21-02-2025 has been published in March 2025 (OJ B’ 1136), in which the procedures for the implementation of the aforementioned legislation are defined in detail. The latest update was determined through Ministerial Decision 216761/12-11-2025 (OJ Β' 6138). Notably, such investments increased by 3.7 times in 2025 compared to 2024.</w:t>
      </w:r>
    </w:p>
    <w:p w14:paraId="4A1B3BA6" w14:textId="77777777" w:rsidR="00451CC2" w:rsidRPr="00C03F1B" w:rsidRDefault="00451CC2" w:rsidP="00DA620A">
      <w:pPr>
        <w:spacing w:after="180" w:line="262" w:lineRule="auto"/>
        <w:rPr>
          <w:rFonts w:eastAsia="Calibri"/>
          <w:lang w:val="en-US"/>
        </w:rPr>
      </w:pPr>
      <w:r>
        <w:rPr>
          <w:rFonts w:eastAsia="Calibri"/>
          <w:lang w:val="en-US"/>
        </w:rPr>
        <w:t xml:space="preserve">In </w:t>
      </w:r>
      <w:r w:rsidRPr="00C03F1B">
        <w:rPr>
          <w:rFonts w:eastAsia="Calibri"/>
          <w:lang w:val="en-US"/>
        </w:rPr>
        <w:t xml:space="preserve">2024, the authorities adopted new legislation to establish a unified institutional framework for business transformations and innovation. Regarding innovation, the new legislative framework (Law 5162/2024) aims to increase R&amp;D investment in the Greek economy relative to the European average, through a series of targeted measures. Key changes include increased R&amp;D tax incentives, building on the existing 200% deduction for research and technology expenses, with new measures increasing deductions for specific cases such as collaborative projects with start-ups - members of the Elevate Greece registry, collaborative projects with research institutions to 250%, and for small and medium-sized enterprises with high knowledge intensity up to 315%. In addition, the law aims to strengthen collaboration by promoting links between the labor market and the academic community, as well as by encouraging cooperation between group companies and start-ups. The framework also expands “Patent box” and IP </w:t>
      </w:r>
      <w:r w:rsidRPr="00C03F1B">
        <w:rPr>
          <w:rFonts w:eastAsia="Calibri"/>
          <w:lang w:val="en-US"/>
        </w:rPr>
        <w:lastRenderedPageBreak/>
        <w:t xml:space="preserve">incentives for the commercial exploitation of patents allowing profits derived from internationally recognized patents to be fully tax-exempt for 3 years, followed by a reduced corporate tax rate (a 10% tax reduction) for the subsequent 7 years. Finally, Law 5162/2024 on the expansion of the Angel investors tax incentive allowing the deduction of 50% of their investment in start-ups from their taxable income, with the maximum eligible investment increased to €900,000 (from the previous €300,000 cap) spread over up to three start-up companies. This deduction, </w:t>
      </w:r>
      <w:r>
        <w:rPr>
          <w:rFonts w:eastAsia="Calibri"/>
          <w:lang w:val="en-US"/>
        </w:rPr>
        <w:t>in place by</w:t>
      </w:r>
      <w:r w:rsidRPr="00C03F1B">
        <w:rPr>
          <w:rFonts w:eastAsia="Calibri"/>
          <w:lang w:val="en-US"/>
        </w:rPr>
        <w:t xml:space="preserve"> 2025, substantially reduces the risk for angel investors and has </w:t>
      </w:r>
      <w:r>
        <w:rPr>
          <w:rFonts w:eastAsia="Calibri"/>
          <w:lang w:val="en-US"/>
        </w:rPr>
        <w:t>increased</w:t>
      </w:r>
      <w:r w:rsidRPr="00C03F1B">
        <w:rPr>
          <w:rFonts w:eastAsia="Calibri"/>
          <w:lang w:val="en-US"/>
        </w:rPr>
        <w:t xml:space="preserve"> angel network activity. Please refer to </w:t>
      </w:r>
      <w:proofErr w:type="spellStart"/>
      <w:r w:rsidRPr="00C03F1B">
        <w:rPr>
          <w:rFonts w:eastAsia="Calibri"/>
          <w:lang w:val="en-US"/>
        </w:rPr>
        <w:t>CeSaR</w:t>
      </w:r>
      <w:proofErr w:type="spellEnd"/>
      <w:r w:rsidRPr="00C03F1B">
        <w:rPr>
          <w:rFonts w:eastAsia="Calibri"/>
          <w:lang w:val="en-US"/>
        </w:rPr>
        <w:t xml:space="preserve"> - Feb 2026 for more details.</w:t>
      </w:r>
    </w:p>
    <w:p w14:paraId="11CC2600" w14:textId="77777777" w:rsidR="00451CC2" w:rsidRPr="00C03F1B" w:rsidRDefault="00451CC2" w:rsidP="00DA620A">
      <w:pPr>
        <w:spacing w:after="180" w:line="262" w:lineRule="auto"/>
        <w:rPr>
          <w:rFonts w:eastAsia="Calibri"/>
          <w:lang w:val="en-US"/>
        </w:rPr>
      </w:pPr>
      <w:r w:rsidRPr="00C03F1B">
        <w:rPr>
          <w:rFonts w:eastAsia="Calibri"/>
          <w:lang w:val="en-US"/>
        </w:rPr>
        <w:t xml:space="preserve">The </w:t>
      </w:r>
      <w:r w:rsidRPr="006135FA">
        <w:rPr>
          <w:rFonts w:eastAsia="Calibri"/>
          <w:b/>
          <w:lang w:val="en-US"/>
        </w:rPr>
        <w:t>amendment of the legal framework of Foreign Direct Investments</w:t>
      </w:r>
      <w:r w:rsidRPr="00C03F1B">
        <w:rPr>
          <w:rFonts w:eastAsia="Calibri"/>
          <w:lang w:val="en-US"/>
        </w:rPr>
        <w:t xml:space="preserve">, is a legislative initiative through which the relevant incentive schemes will be amended. The pivotal aim of this specific legal initiative is to attract investors to specific investment sectors. Indicatively, these may include the sectors of biotechnology, pharmaceuticals, supply chain/logistics, defence industry, </w:t>
      </w:r>
      <w:proofErr w:type="spellStart"/>
      <w:r w:rsidRPr="00C03F1B">
        <w:rPr>
          <w:rFonts w:eastAsia="Calibri"/>
          <w:lang w:val="en-US"/>
        </w:rPr>
        <w:t>industrialised</w:t>
      </w:r>
      <w:proofErr w:type="spellEnd"/>
      <w:r w:rsidRPr="00C03F1B">
        <w:rPr>
          <w:rFonts w:eastAsia="Calibri"/>
          <w:lang w:val="en-US"/>
        </w:rPr>
        <w:t xml:space="preserve"> primary production, R&amp;D, artificial intelligence, and innovation. At the same time, the creation of a financial instrument will be promoted. The Secretariat General of Private Investments will serve as the central point of contact for all foreign investors interested in investments below EUR 20 million. Public consultation is scheduled for the second quarter of 2026.</w:t>
      </w:r>
    </w:p>
    <w:p w14:paraId="5FDA878B" w14:textId="77777777" w:rsidR="00451CC2" w:rsidRPr="00C03F1B" w:rsidRDefault="00451CC2" w:rsidP="00DA620A">
      <w:pPr>
        <w:spacing w:after="180" w:line="262" w:lineRule="auto"/>
        <w:rPr>
          <w:rFonts w:eastAsia="Calibri"/>
          <w:lang w:val="en-US"/>
        </w:rPr>
      </w:pPr>
      <w:r w:rsidRPr="00C03F1B">
        <w:rPr>
          <w:rFonts w:eastAsia="Calibri"/>
          <w:lang w:val="en-US"/>
        </w:rPr>
        <w:t xml:space="preserve">Regarding the </w:t>
      </w:r>
      <w:r w:rsidRPr="006135FA">
        <w:rPr>
          <w:rFonts w:eastAsia="Calibri"/>
          <w:b/>
          <w:lang w:val="en-US"/>
        </w:rPr>
        <w:t>review and removal of significant entry barriers for new entrants to product markets</w:t>
      </w:r>
      <w:r w:rsidRPr="00C03F1B">
        <w:rPr>
          <w:rFonts w:eastAsia="Calibri"/>
          <w:lang w:val="en-US"/>
        </w:rPr>
        <w:t>, targeted measures are currently under design and implementation. Firstly, the review and amendment of Regulations on the Marketing/Trade of Products and the Provision of Services (DIEPPY) for the retail distribution of goods. The reform concerns the modernization of legislative and regulatory provisions with an emphasis on market regulations for the marketing and distribution of products in organized trade (indoor and outdoor)/ e-commerce.  The reform is ongoing and is expected to be completed by the end of 2027. Furthermore, a targeted competition study aimed at identifying and addressing legal and regulatory barriers that hinder effective competition is currently under planning. The study will focus on selected product and service markets, specifically private healthcare, food, transport and logistics, and fuels. Its purpose is to identify oligopolistic market structures and regulatory constraints and to propose the removal or simplification of legal provisions that restrict market entry, limit business growth, or distort competitive conditions. The study will draw on OECD expertise and established analytical tools, ensuring an evidence-based approach aligned with international best practices. The project is expected to be awarded in the second half of 2026, with completion anticipated by the end of 2027. In addition, an effort to define a training program for the exercise of the activity of operating forklifts for construction projects classified in specialty 2 has been completed, with the issuance of a respective Ministerial Decision (OJ 3350B/2024). Finally, the Amendment of Presidential Decree 113/12 is in progress. The purpose of the project is to simplify the procedures for accessing the activity of construction machinery operators. The Presidential Decree is expected to be adopted by the end of 2026.</w:t>
      </w:r>
    </w:p>
    <w:p w14:paraId="5D8ECC84" w14:textId="77777777" w:rsidR="00451CC2" w:rsidRPr="00C03F1B" w:rsidRDefault="00451CC2" w:rsidP="00DA620A">
      <w:pPr>
        <w:spacing w:after="180" w:line="262" w:lineRule="auto"/>
        <w:rPr>
          <w:rFonts w:eastAsia="Calibri"/>
          <w:lang w:val="en-US"/>
        </w:rPr>
      </w:pPr>
      <w:r w:rsidRPr="00C03F1B">
        <w:rPr>
          <w:rFonts w:eastAsia="Calibri"/>
          <w:lang w:val="en-US"/>
        </w:rPr>
        <w:t xml:space="preserve">Regarding the improvement of the governance of the national research, development and innovation system, the new configuration of the High-Level National Research and Innovation Council, effective since May 2025, was established to bring together representatives from all major R&amp;D stakeholders (GSRI, HFRI, the Ministries of Education and Development, and regional research councils) under a single forum. This Council, which began meeting quarterly in 2025, formulates a unified national RDI strategy and ensures alignment of funding priorities across </w:t>
      </w:r>
      <w:r w:rsidRPr="00C03F1B">
        <w:rPr>
          <w:rFonts w:eastAsia="Calibri"/>
          <w:lang w:val="en-US"/>
        </w:rPr>
        <w:lastRenderedPageBreak/>
        <w:t xml:space="preserve">sources. The reform is expected to be completed by the end of 2028. Please refer to </w:t>
      </w:r>
      <w:proofErr w:type="spellStart"/>
      <w:r w:rsidRPr="00C03F1B">
        <w:rPr>
          <w:rFonts w:eastAsia="Calibri"/>
          <w:lang w:val="en-US"/>
        </w:rPr>
        <w:t>CeSaR</w:t>
      </w:r>
      <w:proofErr w:type="spellEnd"/>
      <w:r w:rsidRPr="00C03F1B">
        <w:rPr>
          <w:rFonts w:eastAsia="Calibri"/>
          <w:lang w:val="en-US"/>
        </w:rPr>
        <w:t xml:space="preserve"> - Feb 2026 for more details.</w:t>
      </w:r>
    </w:p>
    <w:p w14:paraId="4A48C8CE" w14:textId="77777777" w:rsidR="00451CC2" w:rsidRPr="00C03F1B" w:rsidRDefault="00451CC2" w:rsidP="00DA620A">
      <w:pPr>
        <w:spacing w:after="180" w:line="262" w:lineRule="auto"/>
        <w:rPr>
          <w:rFonts w:eastAsia="Calibri"/>
          <w:lang w:val="en-US"/>
        </w:rPr>
      </w:pPr>
      <w:r w:rsidRPr="00C03F1B">
        <w:rPr>
          <w:rFonts w:eastAsia="Calibri"/>
          <w:lang w:val="en-US"/>
        </w:rPr>
        <w:t xml:space="preserve">The </w:t>
      </w:r>
      <w:r w:rsidRPr="006135FA">
        <w:rPr>
          <w:rFonts w:eastAsia="Calibri"/>
          <w:b/>
          <w:lang w:val="en-US"/>
        </w:rPr>
        <w:t>RRF Investment “Basic &amp; Applied Research”</w:t>
      </w:r>
      <w:r w:rsidRPr="00C03F1B">
        <w:rPr>
          <w:rFonts w:eastAsia="Calibri"/>
          <w:lang w:val="en-US"/>
        </w:rPr>
        <w:t xml:space="preserve"> aims to create entities to support applied research in the long run, and promote a “deep-tech” innovation ecosystem through funding interdisciplinary R&amp;D activities with industry implications. Regarding funding for Fundamental Research (horizontal support to all sciences), 279 projects are included in the financing lists. Concerning flagship actions in cross-cutting scientific areas of particular interest, the 12 Flagship projects have completed the implementation of their physical scope and are currently undergoing on-the-spot checks by auditing bodies. Furthermore, for each project, a certificate of eligibility and proper compliance from a certified auditor has been submitted. With regard to applied research in precision medicine, 45 contracts are completed, 10 contracts are under implementation and 1 contract is expected to be signed. On the Development of Autonomous Robotic Systems, 3 contracts are completed and 1 project is under implementation 6 contracts are expected to be signed. Concerning research in Artificial Intelligence, Data Science and Algorithms, 1 contract is completed and 2 contracts are under implementation. On translational Research in Sustainable Materials Technologies, 7 contracts are completed and 2 contracts are under implementation. Finally, with regard to the European Joint Undertakings: a) High Performance Computing/</w:t>
      </w:r>
      <w:proofErr w:type="spellStart"/>
      <w:r w:rsidRPr="00C03F1B">
        <w:rPr>
          <w:rFonts w:eastAsia="Calibri"/>
          <w:lang w:val="en-US"/>
        </w:rPr>
        <w:t>EuroHPC</w:t>
      </w:r>
      <w:proofErr w:type="spellEnd"/>
      <w:r w:rsidRPr="00C03F1B">
        <w:rPr>
          <w:rFonts w:eastAsia="Calibri"/>
          <w:lang w:val="en-US"/>
        </w:rPr>
        <w:t>-JU and b) Key Digital Technologies / KDT-JU, 5 and 12 funding proposals were approved accordingly and are under implementation. The projects are expected to be completed by Q2 2026.</w:t>
      </w:r>
    </w:p>
    <w:p w14:paraId="654C7368" w14:textId="77777777" w:rsidR="00451CC2" w:rsidRPr="00C03F1B" w:rsidRDefault="00451CC2" w:rsidP="00DA620A">
      <w:pPr>
        <w:spacing w:after="180" w:line="262" w:lineRule="auto"/>
        <w:rPr>
          <w:rFonts w:eastAsia="Calibri"/>
          <w:lang w:val="en-US"/>
        </w:rPr>
      </w:pPr>
      <w:r w:rsidRPr="00C03F1B">
        <w:rPr>
          <w:rFonts w:eastAsia="Calibri"/>
          <w:lang w:val="en-US"/>
        </w:rPr>
        <w:t xml:space="preserve">The </w:t>
      </w:r>
      <w:r w:rsidRPr="006135FA">
        <w:rPr>
          <w:rFonts w:eastAsia="Calibri"/>
          <w:b/>
          <w:lang w:val="en-US"/>
        </w:rPr>
        <w:t>RRF investment “Creation - Expansion – Upgrade of Infrastructures of Research Centers supervised by the General Secretariat for Research and Innovation (GSRI)”</w:t>
      </w:r>
      <w:r w:rsidRPr="00C03F1B">
        <w:rPr>
          <w:rFonts w:eastAsia="Calibri"/>
          <w:lang w:val="en-US"/>
        </w:rPr>
        <w:t xml:space="preserve"> comprises an infrastructure upgrade of 11 research centers, in order to enhance their research capacity and capabilities in important scientific and technological areas. Ten (10) out of eleven (11) Research and Technological Centers have completed their contract awards for construction works. Twenty-one (21) construction contracts have been signed. Regarding the supply of equipment, the total number of foreseen contracts is 320, of which 70 contracts are completed, 160 contracts are awarded, 70 contracts are in the process of awarding, 14 contracts are in the tendering process and 6 contracts are going to be tendered. The implementation of the investment is expected to be completed by Q2 2026. </w:t>
      </w:r>
    </w:p>
    <w:p w14:paraId="40F43E30" w14:textId="77777777" w:rsidR="00451CC2" w:rsidRPr="00C03F1B" w:rsidRDefault="00451CC2" w:rsidP="00DA620A">
      <w:pPr>
        <w:spacing w:after="180" w:line="262" w:lineRule="auto"/>
        <w:rPr>
          <w:rFonts w:eastAsia="Calibri"/>
          <w:lang w:val="en-US"/>
        </w:rPr>
      </w:pPr>
      <w:r w:rsidRPr="00C03F1B">
        <w:rPr>
          <w:rFonts w:eastAsia="Calibri"/>
          <w:lang w:val="en-US"/>
        </w:rPr>
        <w:t xml:space="preserve">The </w:t>
      </w:r>
      <w:r w:rsidRPr="006135FA">
        <w:rPr>
          <w:rFonts w:eastAsia="Calibri"/>
          <w:b/>
          <w:lang w:val="en-US"/>
        </w:rPr>
        <w:t>RRF Investment “Industrial Parks”</w:t>
      </w:r>
      <w:r w:rsidRPr="00C03F1B">
        <w:rPr>
          <w:rFonts w:eastAsia="Calibri"/>
          <w:lang w:val="en-US"/>
        </w:rPr>
        <w:t xml:space="preserve"> aims to promote investments in industrial parks. The investment consists of financial assistance for parks’ infrastructure and for electricity transmission stations to serve the parks, and a reform of the regulatory framework for industrial parks. Regarding the progress of the investment, at least 22 Investment projects (business parks as well as the 9 substations of HEDNO) are to be completed by the end of 2026.  </w:t>
      </w:r>
      <w:r>
        <w:rPr>
          <w:rFonts w:eastAsia="Calibri"/>
          <w:lang w:val="en-US"/>
        </w:rPr>
        <w:t>Law</w:t>
      </w:r>
      <w:r w:rsidRPr="00C03F1B">
        <w:rPr>
          <w:rFonts w:eastAsia="Calibri"/>
          <w:lang w:val="en-US"/>
        </w:rPr>
        <w:t xml:space="preserve"> 4982/2022 entered into force in October 2022. The new legal framework addressed several items including legal uncertainties, resolving governance issues and providing effective incentives for the resolution of informal industrial concentrations. The issuance of critical secondary legislation has been completed, with eleven (11) ministerial and joint ministerial decisions adopted. The implementation of the investment is expected to be completed by the end of August 2026.</w:t>
      </w:r>
    </w:p>
    <w:p w14:paraId="7502965E" w14:textId="77777777" w:rsidR="00451CC2" w:rsidRPr="00C03F1B" w:rsidRDefault="00451CC2" w:rsidP="00DA620A">
      <w:pPr>
        <w:spacing w:after="180" w:line="262" w:lineRule="auto"/>
        <w:rPr>
          <w:rFonts w:eastAsia="Calibri"/>
          <w:lang w:val="en-US"/>
        </w:rPr>
      </w:pPr>
      <w:r w:rsidRPr="00C03F1B">
        <w:rPr>
          <w:rFonts w:eastAsia="Calibri"/>
          <w:lang w:val="en-US"/>
        </w:rPr>
        <w:t xml:space="preserve">The </w:t>
      </w:r>
      <w:r w:rsidRPr="006135FA">
        <w:rPr>
          <w:rFonts w:eastAsia="Calibri"/>
          <w:b/>
          <w:lang w:val="en-US"/>
        </w:rPr>
        <w:t>RRF investment “TH2ORAX: Trellis Holistic &amp; Hybrid Operational Ruggedized Autonomous Exemplary system”</w:t>
      </w:r>
      <w:r w:rsidRPr="00C03F1B">
        <w:rPr>
          <w:rFonts w:eastAsia="Calibri"/>
          <w:lang w:val="en-US"/>
        </w:rPr>
        <w:t xml:space="preserve"> comprises the development of a “next generation” information system, which is expected to combine different types and forms of collaborative infrastructures to </w:t>
      </w:r>
      <w:r w:rsidRPr="00C03F1B">
        <w:rPr>
          <w:rFonts w:eastAsia="Calibri"/>
          <w:lang w:val="en-US"/>
        </w:rPr>
        <w:lastRenderedPageBreak/>
        <w:t>enhance institutions’ decision-making in real time. Four phases of the project have been completed and accepted by the Monitoring and Acceptance Committee, and the 5th Phase has been submitted to the Monitoring and Acceptance Committee for review. The 5th phase will also be accepted by the aforementioned Committee within May 2026. The implementation of the investment is expected to be completed by the end of August 2026.</w:t>
      </w:r>
    </w:p>
    <w:p w14:paraId="7F4F99AB" w14:textId="77777777" w:rsidR="00451CC2" w:rsidRPr="00C03F1B" w:rsidRDefault="00451CC2" w:rsidP="00DA620A">
      <w:pPr>
        <w:spacing w:after="180" w:line="262" w:lineRule="auto"/>
        <w:rPr>
          <w:rFonts w:eastAsia="Calibri"/>
          <w:lang w:val="en-US"/>
        </w:rPr>
      </w:pPr>
      <w:r w:rsidRPr="00C03F1B">
        <w:rPr>
          <w:rFonts w:eastAsia="Calibri"/>
          <w:lang w:val="en-US"/>
        </w:rPr>
        <w:t xml:space="preserve">The </w:t>
      </w:r>
      <w:r w:rsidRPr="006135FA">
        <w:rPr>
          <w:rFonts w:eastAsia="Calibri"/>
          <w:b/>
          <w:lang w:val="en-US"/>
        </w:rPr>
        <w:t>RRF investment “Acceleration of smart manufacturing”</w:t>
      </w:r>
      <w:r w:rsidRPr="00C03F1B">
        <w:rPr>
          <w:rFonts w:eastAsia="Calibri"/>
          <w:lang w:val="en-US"/>
        </w:rPr>
        <w:t xml:space="preserve"> aims to financially support very small, small, and medium manufacturing enterprises of the Greek industrial ecosystem, for adapting to the needs of the digital, and green, transition in order to increase business competitiveness through the enhancement of technological/digital infrastructure and the upgrade of manufacturing equipment. The initial budget of </w:t>
      </w:r>
      <w:r w:rsidR="004F176A">
        <w:rPr>
          <w:rFonts w:eastAsia="Calibri"/>
          <w:lang w:val="en-US"/>
        </w:rPr>
        <w:t>€</w:t>
      </w:r>
      <w:r w:rsidRPr="00C03F1B">
        <w:rPr>
          <w:rFonts w:eastAsia="Calibri"/>
          <w:lang w:val="en-US"/>
        </w:rPr>
        <w:t>73</w:t>
      </w:r>
      <w:r w:rsidR="004F176A">
        <w:rPr>
          <w:rFonts w:eastAsia="Calibri"/>
          <w:lang w:val="en-US"/>
        </w:rPr>
        <w:t>,</w:t>
      </w:r>
      <w:r w:rsidRPr="00C03F1B">
        <w:rPr>
          <w:rFonts w:eastAsia="Calibri"/>
          <w:lang w:val="en-US"/>
        </w:rPr>
        <w:t>227</w:t>
      </w:r>
      <w:r w:rsidR="004F176A">
        <w:rPr>
          <w:rFonts w:eastAsia="Calibri"/>
          <w:lang w:val="en-US"/>
        </w:rPr>
        <w:t>,</w:t>
      </w:r>
      <w:r w:rsidRPr="00C03F1B">
        <w:rPr>
          <w:rFonts w:eastAsia="Calibri"/>
          <w:lang w:val="en-US"/>
        </w:rPr>
        <w:t xml:space="preserve">620, was increased in May 2024 to </w:t>
      </w:r>
      <w:r w:rsidR="004F176A">
        <w:rPr>
          <w:rFonts w:eastAsia="Calibri"/>
          <w:lang w:val="en-US"/>
        </w:rPr>
        <w:t>€</w:t>
      </w:r>
      <w:r w:rsidRPr="00C03F1B">
        <w:rPr>
          <w:rFonts w:eastAsia="Calibri"/>
          <w:lang w:val="en-US"/>
        </w:rPr>
        <w:t>88</w:t>
      </w:r>
      <w:r w:rsidR="004F176A">
        <w:rPr>
          <w:rFonts w:eastAsia="Calibri"/>
          <w:lang w:val="en-US"/>
        </w:rPr>
        <w:t>,</w:t>
      </w:r>
      <w:r w:rsidRPr="00C03F1B">
        <w:rPr>
          <w:rFonts w:eastAsia="Calibri"/>
          <w:lang w:val="en-US"/>
        </w:rPr>
        <w:t>227</w:t>
      </w:r>
      <w:r w:rsidR="004F176A">
        <w:rPr>
          <w:rFonts w:eastAsia="Calibri"/>
          <w:lang w:val="en-US"/>
        </w:rPr>
        <w:t>,</w:t>
      </w:r>
      <w:r w:rsidRPr="00C03F1B">
        <w:rPr>
          <w:rFonts w:eastAsia="Calibri"/>
          <w:lang w:val="en-US"/>
        </w:rPr>
        <w:t xml:space="preserve">620 and again in October 2024 to </w:t>
      </w:r>
      <w:r w:rsidR="004F176A">
        <w:rPr>
          <w:rFonts w:eastAsia="Calibri"/>
          <w:lang w:val="en-US"/>
        </w:rPr>
        <w:t>€</w:t>
      </w:r>
      <w:r w:rsidRPr="00C03F1B">
        <w:rPr>
          <w:rFonts w:eastAsia="Calibri"/>
          <w:lang w:val="en-US"/>
        </w:rPr>
        <w:t>106</w:t>
      </w:r>
      <w:r w:rsidR="004F176A">
        <w:rPr>
          <w:rFonts w:eastAsia="Calibri"/>
          <w:lang w:val="en-US"/>
        </w:rPr>
        <w:t>,</w:t>
      </w:r>
      <w:r w:rsidRPr="00C03F1B">
        <w:rPr>
          <w:rFonts w:eastAsia="Calibri"/>
          <w:lang w:val="en-US"/>
        </w:rPr>
        <w:t>700</w:t>
      </w:r>
      <w:r w:rsidR="004F176A">
        <w:rPr>
          <w:rFonts w:eastAsia="Calibri"/>
          <w:lang w:val="en-US"/>
        </w:rPr>
        <w:t>,</w:t>
      </w:r>
      <w:r w:rsidRPr="00C03F1B">
        <w:rPr>
          <w:rFonts w:eastAsia="Calibri"/>
          <w:lang w:val="en-US"/>
        </w:rPr>
        <w:t xml:space="preserve">000. Following the evaluation of the objections filed and the final decision issued in November 2024, 23 additional SMEs were accepted i.e. in total 151 enterprises, for a budget of </w:t>
      </w:r>
      <w:r w:rsidR="00741C54">
        <w:rPr>
          <w:rFonts w:eastAsia="Calibri"/>
          <w:lang w:val="en-US"/>
        </w:rPr>
        <w:t>€</w:t>
      </w:r>
      <w:r w:rsidRPr="00C03F1B">
        <w:rPr>
          <w:rFonts w:eastAsia="Calibri"/>
          <w:lang w:val="en-US"/>
        </w:rPr>
        <w:t>102</w:t>
      </w:r>
      <w:r w:rsidR="004F176A">
        <w:rPr>
          <w:rFonts w:eastAsia="Calibri"/>
          <w:lang w:val="en-US"/>
        </w:rPr>
        <w:t>.</w:t>
      </w:r>
      <w:r w:rsidRPr="00C03F1B">
        <w:rPr>
          <w:rFonts w:eastAsia="Calibri"/>
          <w:lang w:val="en-US"/>
        </w:rPr>
        <w:t>5 million. In accordance with the procedure set out in the Investment Implementation Guide, as of 21 November 2025, a total of 132 SMEs remain in the project. The implementation of the investment is expected to be completed by the end of August 2026.</w:t>
      </w:r>
    </w:p>
    <w:p w14:paraId="2BC72956" w14:textId="77777777" w:rsidR="00451CC2" w:rsidRPr="00C03F1B" w:rsidRDefault="00451CC2" w:rsidP="00DA620A">
      <w:pPr>
        <w:spacing w:after="180" w:line="262" w:lineRule="auto"/>
        <w:rPr>
          <w:rFonts w:eastAsia="Calibri"/>
          <w:lang w:val="en-US"/>
        </w:rPr>
      </w:pPr>
      <w:r w:rsidRPr="00C03F1B">
        <w:rPr>
          <w:rFonts w:eastAsia="Calibri"/>
          <w:lang w:val="en-US"/>
        </w:rPr>
        <w:t xml:space="preserve">The </w:t>
      </w:r>
      <w:r w:rsidRPr="006135FA">
        <w:rPr>
          <w:rFonts w:eastAsia="Calibri"/>
          <w:b/>
          <w:lang w:val="en-US"/>
        </w:rPr>
        <w:t>RRF investment “Research - Create - Innovate”</w:t>
      </w:r>
      <w:r w:rsidRPr="00C03F1B">
        <w:rPr>
          <w:rFonts w:eastAsia="Calibri"/>
          <w:lang w:val="en-US"/>
        </w:rPr>
        <w:t xml:space="preserve"> aims to fund 36 project proposals that are evaluated with a very high score in the “excellence” criterion in smart </w:t>
      </w:r>
      <w:proofErr w:type="spellStart"/>
      <w:r w:rsidRPr="00C03F1B">
        <w:rPr>
          <w:rFonts w:eastAsia="Calibri"/>
          <w:lang w:val="en-US"/>
        </w:rPr>
        <w:t>specialisation</w:t>
      </w:r>
      <w:proofErr w:type="spellEnd"/>
      <w:r w:rsidRPr="00C03F1B">
        <w:rPr>
          <w:rFonts w:eastAsia="Calibri"/>
          <w:lang w:val="en-US"/>
        </w:rPr>
        <w:t xml:space="preserve"> (RIS3) sectors, but were not financed under previous EU financial instruments due to budgetary constraints. The main objective of "Research-Create-Innovate" is to link research and innovation with entrepreneurship and to enhance the competitiveness, productivity and extroversion of companies in international markets. All projects have been </w:t>
      </w:r>
      <w:r>
        <w:rPr>
          <w:rFonts w:eastAsia="Calibri"/>
          <w:lang w:val="en-US"/>
        </w:rPr>
        <w:t>completed</w:t>
      </w:r>
      <w:r w:rsidRPr="00C03F1B">
        <w:rPr>
          <w:rFonts w:eastAsia="Calibri"/>
          <w:lang w:val="en-US"/>
        </w:rPr>
        <w:t>. By the end of March 2026, the payments to the beneficiaries amounted to 78</w:t>
      </w:r>
      <w:r w:rsidR="004F176A">
        <w:rPr>
          <w:rFonts w:eastAsia="Calibri"/>
          <w:lang w:val="en-US"/>
        </w:rPr>
        <w:t>.</w:t>
      </w:r>
      <w:r w:rsidRPr="00C03F1B">
        <w:rPr>
          <w:rFonts w:eastAsia="Calibri"/>
          <w:lang w:val="en-US"/>
        </w:rPr>
        <w:t xml:space="preserve">1% of the total budget. The implementation of the investment is expected to be completed by the end of May 2026. </w:t>
      </w:r>
    </w:p>
    <w:p w14:paraId="12899798" w14:textId="77777777" w:rsidR="00451CC2" w:rsidRPr="00C03F1B" w:rsidRDefault="00451CC2" w:rsidP="00DA620A">
      <w:pPr>
        <w:spacing w:after="180" w:line="262" w:lineRule="auto"/>
        <w:rPr>
          <w:rFonts w:eastAsia="Calibri"/>
          <w:lang w:val="en-US"/>
        </w:rPr>
      </w:pPr>
      <w:r w:rsidRPr="00C03F1B">
        <w:rPr>
          <w:rFonts w:eastAsia="Calibri"/>
          <w:lang w:val="en-US"/>
        </w:rPr>
        <w:t xml:space="preserve">The </w:t>
      </w:r>
      <w:r w:rsidRPr="006135FA">
        <w:rPr>
          <w:rFonts w:eastAsia="Calibri"/>
          <w:b/>
          <w:lang w:val="en-US"/>
        </w:rPr>
        <w:t>RRF investment HORIZON 2020 “Seal of Excellence”</w:t>
      </w:r>
      <w:r>
        <w:rPr>
          <w:rFonts w:eastAsia="Calibri"/>
          <w:b/>
          <w:lang w:val="en-US"/>
        </w:rPr>
        <w:t xml:space="preserve"> </w:t>
      </w:r>
      <w:r w:rsidRPr="00C34268">
        <w:rPr>
          <w:rFonts w:eastAsia="Calibri"/>
          <w:lang w:val="en-US"/>
        </w:rPr>
        <w:t>(financing</w:t>
      </w:r>
      <w:r w:rsidRPr="00C03F1B">
        <w:rPr>
          <w:rFonts w:eastAsia="Calibri"/>
          <w:lang w:val="en-US"/>
        </w:rPr>
        <w:t xml:space="preserve"> top innovative companies</w:t>
      </w:r>
      <w:r>
        <w:rPr>
          <w:rFonts w:eastAsia="Calibri"/>
          <w:lang w:val="en-US"/>
        </w:rPr>
        <w:t>)</w:t>
      </w:r>
      <w:r w:rsidRPr="00C03F1B">
        <w:rPr>
          <w:rFonts w:eastAsia="Calibri"/>
          <w:lang w:val="en-US"/>
        </w:rPr>
        <w:t xml:space="preserve"> concerns 12 project proposals by small and medium-sized enterprises</w:t>
      </w:r>
      <w:r>
        <w:rPr>
          <w:rFonts w:eastAsia="Calibri"/>
          <w:lang w:val="en-US"/>
        </w:rPr>
        <w:t xml:space="preserve"> having </w:t>
      </w:r>
      <w:r w:rsidRPr="00C03F1B">
        <w:rPr>
          <w:rFonts w:eastAsia="Calibri"/>
          <w:lang w:val="en-US"/>
        </w:rPr>
        <w:t xml:space="preserve">received the HORIZON 2020 “Seal of Excellence” quality label and are eligible for a grant, but not financed under HORIZON 2020 due to budgetary constraints. The investment shall support these proposals, adding to private funding by the beneficiaries. All projects have been </w:t>
      </w:r>
      <w:r>
        <w:rPr>
          <w:rFonts w:eastAsia="Calibri"/>
          <w:lang w:val="en-US"/>
        </w:rPr>
        <w:t>completed</w:t>
      </w:r>
      <w:r w:rsidRPr="00C03F1B">
        <w:rPr>
          <w:rFonts w:eastAsia="Calibri"/>
          <w:lang w:val="en-US"/>
        </w:rPr>
        <w:t>. Τhe final payments to the beneficiaries amounted to 68</w:t>
      </w:r>
      <w:r w:rsidR="004F176A">
        <w:rPr>
          <w:rFonts w:eastAsia="Calibri"/>
          <w:lang w:val="en-US"/>
        </w:rPr>
        <w:t>.</w:t>
      </w:r>
      <w:r w:rsidRPr="00C03F1B">
        <w:rPr>
          <w:rFonts w:eastAsia="Calibri"/>
          <w:lang w:val="en-US"/>
        </w:rPr>
        <w:t>7% of the total eligible budget. The implementation of the investment is expected to be completed by the end of May 2026.</w:t>
      </w:r>
    </w:p>
    <w:p w14:paraId="43896368" w14:textId="77777777" w:rsidR="00451CC2" w:rsidRPr="00C03F1B" w:rsidRDefault="00451CC2" w:rsidP="00DA620A">
      <w:pPr>
        <w:spacing w:after="180" w:line="262" w:lineRule="auto"/>
        <w:rPr>
          <w:rFonts w:eastAsia="Calibri"/>
          <w:lang w:val="en-US"/>
        </w:rPr>
      </w:pPr>
      <w:r w:rsidRPr="00C03F1B">
        <w:rPr>
          <w:rFonts w:eastAsia="Calibri"/>
          <w:lang w:val="en-US"/>
        </w:rPr>
        <w:t xml:space="preserve">The investment </w:t>
      </w:r>
      <w:r w:rsidRPr="006135FA">
        <w:rPr>
          <w:rFonts w:eastAsia="Calibri"/>
          <w:b/>
          <w:lang w:val="en-US"/>
        </w:rPr>
        <w:t>“Research - Innovate”</w:t>
      </w:r>
      <w:r w:rsidRPr="00C03F1B">
        <w:rPr>
          <w:rFonts w:eastAsia="Calibri"/>
          <w:lang w:val="en-US"/>
        </w:rPr>
        <w:t xml:space="preserve"> includes the financial support of research and innovation investments with the aim to effectively address the challenges related to low investment in R&amp;D. The call for proposal launched in May 2024, with a total budget of </w:t>
      </w:r>
      <w:r w:rsidR="00741C54">
        <w:rPr>
          <w:rFonts w:eastAsia="Calibri"/>
          <w:lang w:val="en-US"/>
        </w:rPr>
        <w:t>€</w:t>
      </w:r>
      <w:r w:rsidRPr="00C03F1B">
        <w:rPr>
          <w:rFonts w:eastAsia="Calibri"/>
          <w:lang w:val="en-US"/>
        </w:rPr>
        <w:t>300 m</w:t>
      </w:r>
      <w:r w:rsidR="00741C54">
        <w:rPr>
          <w:rFonts w:eastAsia="Calibri"/>
          <w:lang w:val="en-US"/>
        </w:rPr>
        <w:t>illion</w:t>
      </w:r>
      <w:r w:rsidRPr="00C03F1B">
        <w:rPr>
          <w:rFonts w:eastAsia="Calibri"/>
          <w:lang w:val="en-US"/>
        </w:rPr>
        <w:t xml:space="preserve">, spanning in 4 different interventions and the submission of research proposals was completed in November 2024. 2,480 research proposals were submitted in the 4 interventions with a total requested budget of </w:t>
      </w:r>
      <w:r w:rsidR="00741C54">
        <w:rPr>
          <w:rFonts w:eastAsia="Calibri"/>
          <w:lang w:val="en-US"/>
        </w:rPr>
        <w:t>€</w:t>
      </w:r>
      <w:r w:rsidRPr="00C03F1B">
        <w:rPr>
          <w:rFonts w:eastAsia="Calibri"/>
          <w:lang w:val="en-US"/>
        </w:rPr>
        <w:t>3,255 m</w:t>
      </w:r>
      <w:r w:rsidR="00741C54">
        <w:rPr>
          <w:rFonts w:eastAsia="Calibri"/>
          <w:lang w:val="en-US"/>
        </w:rPr>
        <w:t>illion</w:t>
      </w:r>
      <w:r w:rsidRPr="00C03F1B">
        <w:rPr>
          <w:rFonts w:eastAsia="Calibri"/>
          <w:lang w:val="en-US"/>
        </w:rPr>
        <w:t xml:space="preserve"> and a total requested public expenditure of </w:t>
      </w:r>
      <w:r w:rsidR="00741C54">
        <w:rPr>
          <w:rFonts w:eastAsia="Calibri"/>
          <w:lang w:val="en-US"/>
        </w:rPr>
        <w:t>€</w:t>
      </w:r>
      <w:r w:rsidRPr="00C03F1B">
        <w:rPr>
          <w:rFonts w:eastAsia="Calibri"/>
          <w:lang w:val="en-US"/>
        </w:rPr>
        <w:t>2,732 m</w:t>
      </w:r>
      <w:r w:rsidR="00741C54">
        <w:rPr>
          <w:rFonts w:eastAsia="Calibri"/>
          <w:lang w:val="en-US"/>
        </w:rPr>
        <w:t>illion</w:t>
      </w:r>
      <w:r w:rsidRPr="00C03F1B">
        <w:rPr>
          <w:rFonts w:eastAsia="Calibri"/>
          <w:lang w:val="en-US"/>
        </w:rPr>
        <w:t>. The proposals submitted in the Intervention IV, the Intervention III and the Intervention I have been evaluated and the results were published in February 2025, June 2025 and November 2025 respectively. The evaluation of the proposals submitted to Intervention II is in progress and the results are expected in Q2 2026. The implementation of the investment is expected to be completed by the end of 2030.</w:t>
      </w:r>
    </w:p>
    <w:p w14:paraId="08B767AC" w14:textId="77777777" w:rsidR="00451CC2" w:rsidRPr="00C03F1B" w:rsidRDefault="00451CC2" w:rsidP="00DA620A">
      <w:pPr>
        <w:spacing w:after="180" w:line="262" w:lineRule="auto"/>
        <w:rPr>
          <w:rFonts w:eastAsia="Calibri"/>
          <w:lang w:val="en-US"/>
        </w:rPr>
      </w:pPr>
      <w:r w:rsidRPr="00C03F1B">
        <w:rPr>
          <w:rFonts w:eastAsia="Calibri"/>
          <w:lang w:val="en-US"/>
        </w:rPr>
        <w:lastRenderedPageBreak/>
        <w:t xml:space="preserve">The investment </w:t>
      </w:r>
      <w:r w:rsidRPr="006135FA">
        <w:rPr>
          <w:rFonts w:eastAsia="Calibri"/>
          <w:b/>
          <w:lang w:val="en-US"/>
        </w:rPr>
        <w:t>“Revision of the National Research Infrastructure Roadmap for the 2021-2027 Programming Period”</w:t>
      </w:r>
      <w:r w:rsidRPr="00C03F1B">
        <w:rPr>
          <w:rFonts w:eastAsia="Calibri"/>
          <w:lang w:val="en-US"/>
        </w:rPr>
        <w:t xml:space="preserve"> aims to increase the national and international competitiveness and visibility of the National Research Infrastructures through the reshaping of the National Research Infrastructure Roadmap in accordance with the directions of the National Strategic Research, Technological Development and Innovation 2021-27 and the National Smart Specialization Strategy 2021-27. Regarding the first call for proposals, the evaluation phase is delayed, while the second call was launched in July 2025. The implementation of the investment is expected to be completed by 2030 (deadline year for payments).</w:t>
      </w:r>
    </w:p>
    <w:p w14:paraId="7F10F19F" w14:textId="77777777" w:rsidR="00451CC2" w:rsidRPr="00C03F1B" w:rsidRDefault="00451CC2" w:rsidP="00DA620A">
      <w:pPr>
        <w:spacing w:after="180" w:line="262" w:lineRule="auto"/>
        <w:rPr>
          <w:rFonts w:eastAsia="Calibri"/>
          <w:lang w:val="en-US"/>
        </w:rPr>
      </w:pPr>
      <w:r w:rsidRPr="00C03F1B">
        <w:rPr>
          <w:rFonts w:eastAsia="Calibri"/>
          <w:lang w:val="en-US"/>
        </w:rPr>
        <w:t xml:space="preserve">The implementation of the </w:t>
      </w:r>
      <w:r w:rsidRPr="006135FA">
        <w:rPr>
          <w:rFonts w:eastAsia="Calibri"/>
          <w:b/>
          <w:lang w:val="en-US"/>
        </w:rPr>
        <w:t>institutional framework for private investment</w:t>
      </w:r>
      <w:r w:rsidRPr="00C03F1B">
        <w:rPr>
          <w:rFonts w:eastAsia="Calibri"/>
          <w:lang w:val="en-US"/>
        </w:rPr>
        <w:t xml:space="preserve"> aims to stimulate private sector growth through the implementation of state aid schemes. The new Development Law 4887/2022 introduces specific thematic state aid schemes to promote private investments in various sectors, focusing on manufacturing, digital transformation, green transition, and regional development. Implementation is ongoing with new state aid schemes being tendered every year. The Development Law was amended in June 2025 to fully align with the country’s ‘Development Model’. The main axis of the legal improvements includes the support of the sectors in which the country has a comparative advantage, such as industrial development, manufacturing and entrepreneurship. The reforms also aim to support less developed regions and regions close to the country's borders. Furthermore, the approval decisions for the investment projects have been published under the aid schemes “Manufacturing-Supply Chain” (1st and 2nd cycle) and “Tourism Investment Support” (1st and 2nd cycle). Additionally, the approval decisions have been issued for the investment plans under the aid schemes «Agri-Food, Primary Production and Processing of Agricultural Products, Fisheries and Aquaculture» and «Entrepreneurship 360». In June 2025, three new State aid schemes were launched, namely “Manufacturing and Supply Chain – 3rd Cycle”, “Special Aid Areas”, and “Large Investments”. The evaluation process of the investment projects associated with these schemes and the subscription decisions for these schemes are expected to be published shortly. Due to the high demand, all three schemes will be relaunched imminently. New state aid rounds will follow for the sectors of </w:t>
      </w:r>
      <w:r w:rsidR="00B913EE">
        <w:rPr>
          <w:rFonts w:eastAsia="Calibri"/>
          <w:lang w:val="en-US"/>
        </w:rPr>
        <w:t>Defence</w:t>
      </w:r>
      <w:r w:rsidRPr="00C03F1B">
        <w:rPr>
          <w:rFonts w:eastAsia="Calibri"/>
          <w:lang w:val="en-US"/>
        </w:rPr>
        <w:t xml:space="preserve">, new technologies and AI, extroversion, social entrepreneurship and handicrafts, agriculture and tourism.  Please refer to </w:t>
      </w:r>
      <w:proofErr w:type="spellStart"/>
      <w:r w:rsidRPr="00C03F1B">
        <w:rPr>
          <w:rFonts w:eastAsia="Calibri"/>
          <w:lang w:val="en-US"/>
        </w:rPr>
        <w:t>CeSaR</w:t>
      </w:r>
      <w:proofErr w:type="spellEnd"/>
      <w:r w:rsidRPr="00C03F1B">
        <w:rPr>
          <w:rFonts w:eastAsia="Calibri"/>
          <w:lang w:val="en-US"/>
        </w:rPr>
        <w:t xml:space="preserve"> - Feb 2026 for more details.</w:t>
      </w:r>
    </w:p>
    <w:p w14:paraId="48124D2F" w14:textId="77777777" w:rsidR="00451CC2" w:rsidRPr="00C03F1B" w:rsidRDefault="00451CC2" w:rsidP="00DA620A">
      <w:pPr>
        <w:spacing w:after="180" w:line="262" w:lineRule="auto"/>
        <w:rPr>
          <w:rFonts w:eastAsia="Calibri"/>
          <w:lang w:val="en-US"/>
        </w:rPr>
      </w:pPr>
      <w:r w:rsidRPr="00C03F1B">
        <w:rPr>
          <w:rFonts w:eastAsia="Calibri"/>
          <w:lang w:val="en-US"/>
        </w:rPr>
        <w:t xml:space="preserve">The implementation of the </w:t>
      </w:r>
      <w:r w:rsidRPr="006135FA">
        <w:rPr>
          <w:rFonts w:eastAsia="Calibri"/>
          <w:b/>
          <w:lang w:val="en-US"/>
        </w:rPr>
        <w:t>institutional framework for strategic investments</w:t>
      </w:r>
      <w:r w:rsidRPr="00C03F1B">
        <w:rPr>
          <w:rFonts w:eastAsia="Calibri"/>
          <w:lang w:val="en-US"/>
        </w:rPr>
        <w:t xml:space="preserve"> aims to streamline the approval and licensing of key projects that boost the national economy. Several notable strategic investments are underway, while others are awaiting approval. Divided into categories based on budget and impact, strategic investments focus on sectors such as agri-food, tourism, green economy and digital transformation. The implementation is ongoing with the </w:t>
      </w:r>
      <w:r>
        <w:rPr>
          <w:rFonts w:eastAsia="Calibri"/>
          <w:lang w:val="en-US"/>
        </w:rPr>
        <w:t xml:space="preserve">annual </w:t>
      </w:r>
      <w:r w:rsidRPr="00C03F1B">
        <w:rPr>
          <w:rFonts w:eastAsia="Calibri"/>
          <w:lang w:val="en-US"/>
        </w:rPr>
        <w:t xml:space="preserve">approval of new strategic investments. In December 2024, Law 5164/2024 (Article 60) was adopted, allowing strategic investments in critical raw materials, shipbuilding industry and circular economy to be classified as Emblematic Investments of Exceptional Significance. Within a year, eighteen (18) new strategic investments with a total budget of </w:t>
      </w:r>
      <w:r w:rsidR="00741C54">
        <w:rPr>
          <w:rFonts w:eastAsia="Calibri"/>
          <w:lang w:val="en-US"/>
        </w:rPr>
        <w:t>€</w:t>
      </w:r>
      <w:r w:rsidRPr="00C03F1B">
        <w:rPr>
          <w:rFonts w:eastAsia="Calibri"/>
          <w:lang w:val="en-US"/>
        </w:rPr>
        <w:t>2</w:t>
      </w:r>
      <w:r w:rsidRPr="00002C88">
        <w:rPr>
          <w:rFonts w:eastAsia="Calibri"/>
          <w:lang w:val="en-US"/>
        </w:rPr>
        <w:t>.</w:t>
      </w:r>
      <w:r w:rsidRPr="00C03F1B">
        <w:rPr>
          <w:rFonts w:eastAsia="Calibri"/>
          <w:lang w:val="en-US"/>
        </w:rPr>
        <w:t xml:space="preserve">7 billion have been approved under the legal provision of the L. 4864/2021. Furthermore, two Presidential Decrees for the approval of spatial development plans for strategic investments were </w:t>
      </w:r>
      <w:r>
        <w:rPr>
          <w:rFonts w:eastAsia="Calibri"/>
          <w:lang w:val="en-US"/>
        </w:rPr>
        <w:t>agreed</w:t>
      </w:r>
      <w:r w:rsidRPr="00C03F1B">
        <w:rPr>
          <w:rFonts w:eastAsia="Calibri"/>
          <w:lang w:val="en-US"/>
        </w:rPr>
        <w:t xml:space="preserve"> by the Council of State. In 2026, a new legal initiative will be implemented</w:t>
      </w:r>
      <w:r>
        <w:rPr>
          <w:rFonts w:eastAsia="Calibri"/>
          <w:lang w:val="en-US"/>
        </w:rPr>
        <w:t xml:space="preserve"> to</w:t>
      </w:r>
      <w:r w:rsidRPr="00C03F1B">
        <w:rPr>
          <w:rFonts w:eastAsia="Calibri"/>
          <w:lang w:val="en-US"/>
        </w:rPr>
        <w:t xml:space="preserve"> ensure compliance with ESG criteria as a prerequisite for the issuance of Strategic Investment status. Please refer to </w:t>
      </w:r>
      <w:proofErr w:type="spellStart"/>
      <w:r w:rsidRPr="00C03F1B">
        <w:rPr>
          <w:rFonts w:eastAsia="Calibri"/>
          <w:lang w:val="en-US"/>
        </w:rPr>
        <w:t>CeSaR</w:t>
      </w:r>
      <w:proofErr w:type="spellEnd"/>
      <w:r w:rsidRPr="00C03F1B">
        <w:rPr>
          <w:rFonts w:eastAsia="Calibri"/>
          <w:lang w:val="en-US"/>
        </w:rPr>
        <w:t xml:space="preserve"> - Feb 2026 for more details.</w:t>
      </w:r>
    </w:p>
    <w:p w14:paraId="0127D7A0" w14:textId="77777777" w:rsidR="00451CC2" w:rsidRPr="00A746D8" w:rsidRDefault="00451CC2" w:rsidP="00451CC2">
      <w:pPr>
        <w:spacing w:before="240"/>
        <w:rPr>
          <w:rFonts w:ascii="Calibri" w:eastAsia="Calibri" w:hAnsi="Calibri" w:cs="Calibri"/>
          <w:b/>
          <w:bCs/>
          <w:sz w:val="24"/>
          <w:szCs w:val="24"/>
          <w:lang w:val="en-US"/>
        </w:rPr>
      </w:pPr>
    </w:p>
    <w:p w14:paraId="7087B68A" w14:textId="77777777" w:rsidR="00451CC2" w:rsidRPr="009D64B1" w:rsidRDefault="009D64B1" w:rsidP="00FD7F05">
      <w:pPr>
        <w:pStyle w:val="Heading2"/>
        <w:pBdr>
          <w:bottom w:val="single" w:sz="4" w:space="1" w:color="4F81BD" w:themeColor="accent1"/>
        </w:pBdr>
        <w:spacing w:before="1200"/>
        <w:rPr>
          <w:rFonts w:eastAsia="Calibri"/>
          <w:sz w:val="36"/>
          <w:lang w:val="en-US"/>
        </w:rPr>
      </w:pPr>
      <w:bookmarkStart w:id="64" w:name="_Toc227932502"/>
      <w:bookmarkStart w:id="65" w:name="_Toc228279095"/>
      <w:r>
        <w:rPr>
          <w:rFonts w:eastAsia="Calibri"/>
          <w:sz w:val="36"/>
          <w:lang w:val="en-US"/>
        </w:rPr>
        <w:lastRenderedPageBreak/>
        <w:t>M</w:t>
      </w:r>
      <w:r w:rsidRPr="009D64B1">
        <w:rPr>
          <w:rFonts w:eastAsia="Calibri"/>
          <w:sz w:val="36"/>
          <w:lang w:val="en-US"/>
        </w:rPr>
        <w:t xml:space="preserve">inistry of </w:t>
      </w:r>
      <w:r>
        <w:rPr>
          <w:rFonts w:eastAsia="Calibri"/>
          <w:sz w:val="36"/>
          <w:lang w:val="en-US"/>
        </w:rPr>
        <w:t>L</w:t>
      </w:r>
      <w:r w:rsidRPr="009D64B1">
        <w:rPr>
          <w:rFonts w:eastAsia="Calibri"/>
          <w:sz w:val="36"/>
          <w:lang w:val="en-US"/>
        </w:rPr>
        <w:t xml:space="preserve">abour and </w:t>
      </w:r>
      <w:r>
        <w:rPr>
          <w:rFonts w:eastAsia="Calibri"/>
          <w:sz w:val="36"/>
          <w:lang w:val="en-US"/>
        </w:rPr>
        <w:t>S</w:t>
      </w:r>
      <w:r w:rsidRPr="009D64B1">
        <w:rPr>
          <w:rFonts w:eastAsia="Calibri"/>
          <w:sz w:val="36"/>
          <w:lang w:val="en-US"/>
        </w:rPr>
        <w:t xml:space="preserve">ocial </w:t>
      </w:r>
      <w:r>
        <w:rPr>
          <w:rFonts w:eastAsia="Calibri"/>
          <w:sz w:val="36"/>
          <w:lang w:val="en-US"/>
        </w:rPr>
        <w:t>S</w:t>
      </w:r>
      <w:r w:rsidRPr="009D64B1">
        <w:rPr>
          <w:rFonts w:eastAsia="Calibri"/>
          <w:sz w:val="36"/>
          <w:lang w:val="en-US"/>
        </w:rPr>
        <w:t>ecurity</w:t>
      </w:r>
      <w:bookmarkEnd w:id="64"/>
      <w:bookmarkEnd w:id="65"/>
    </w:p>
    <w:tbl>
      <w:tblPr>
        <w:tblW w:w="8922" w:type="dxa"/>
        <w:jc w:val="center"/>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Layout w:type="fixed"/>
        <w:tblLook w:val="0600" w:firstRow="0" w:lastRow="0" w:firstColumn="0" w:lastColumn="0" w:noHBand="1" w:noVBand="1"/>
      </w:tblPr>
      <w:tblGrid>
        <w:gridCol w:w="2969"/>
        <w:gridCol w:w="1408"/>
        <w:gridCol w:w="1732"/>
        <w:gridCol w:w="1537"/>
        <w:gridCol w:w="1276"/>
      </w:tblGrid>
      <w:tr w:rsidR="00451CC2" w:rsidRPr="009D64B1" w14:paraId="10EE4042" w14:textId="77777777" w:rsidTr="00CF4448">
        <w:trPr>
          <w:trHeight w:val="170"/>
          <w:jc w:val="center"/>
        </w:trPr>
        <w:tc>
          <w:tcPr>
            <w:tcW w:w="2969" w:type="dxa"/>
            <w:shd w:val="clear" w:color="auto" w:fill="CFE2F3"/>
            <w:tcMar>
              <w:top w:w="0" w:type="dxa"/>
              <w:left w:w="100" w:type="dxa"/>
              <w:bottom w:w="0" w:type="dxa"/>
              <w:right w:w="100" w:type="dxa"/>
            </w:tcMar>
            <w:vAlign w:val="center"/>
          </w:tcPr>
          <w:p w14:paraId="2172CCCA" w14:textId="77777777" w:rsidR="00451CC2" w:rsidRPr="009D64B1" w:rsidRDefault="00451CC2" w:rsidP="009D64B1">
            <w:pPr>
              <w:pStyle w:val="Tabletext"/>
              <w:rPr>
                <w:rFonts w:eastAsia="Calibri"/>
                <w:b/>
              </w:rPr>
            </w:pPr>
            <w:r w:rsidRPr="009D64B1">
              <w:rPr>
                <w:rFonts w:eastAsia="Calibri"/>
                <w:b/>
              </w:rPr>
              <w:t>REFORM / INVESTMENT</w:t>
            </w:r>
          </w:p>
        </w:tc>
        <w:tc>
          <w:tcPr>
            <w:tcW w:w="1408" w:type="dxa"/>
            <w:shd w:val="clear" w:color="auto" w:fill="CFE2F3"/>
            <w:tcMar>
              <w:top w:w="0" w:type="dxa"/>
              <w:left w:w="100" w:type="dxa"/>
              <w:bottom w:w="0" w:type="dxa"/>
              <w:right w:w="100" w:type="dxa"/>
            </w:tcMar>
            <w:vAlign w:val="center"/>
          </w:tcPr>
          <w:p w14:paraId="4C271BC0" w14:textId="77777777" w:rsidR="00451CC2" w:rsidRPr="009D64B1" w:rsidRDefault="00451CC2" w:rsidP="009D64B1">
            <w:pPr>
              <w:pStyle w:val="Tabletext"/>
              <w:rPr>
                <w:rFonts w:eastAsia="Calibri"/>
                <w:b/>
              </w:rPr>
            </w:pPr>
            <w:r w:rsidRPr="009D64B1">
              <w:rPr>
                <w:rFonts w:eastAsia="Calibri"/>
                <w:b/>
              </w:rPr>
              <w:t>RRF / MFF</w:t>
            </w:r>
          </w:p>
        </w:tc>
        <w:tc>
          <w:tcPr>
            <w:tcW w:w="1732" w:type="dxa"/>
            <w:shd w:val="clear" w:color="auto" w:fill="CFE2F3"/>
            <w:tcMar>
              <w:top w:w="0" w:type="dxa"/>
              <w:left w:w="100" w:type="dxa"/>
              <w:bottom w:w="0" w:type="dxa"/>
              <w:right w:w="100" w:type="dxa"/>
            </w:tcMar>
            <w:vAlign w:val="center"/>
          </w:tcPr>
          <w:p w14:paraId="136081B3" w14:textId="77777777" w:rsidR="00451CC2" w:rsidRPr="009D64B1" w:rsidRDefault="00451CC2" w:rsidP="009D64B1">
            <w:pPr>
              <w:pStyle w:val="Tabletext"/>
              <w:rPr>
                <w:rFonts w:eastAsia="Calibri"/>
                <w:b/>
              </w:rPr>
            </w:pPr>
            <w:r w:rsidRPr="009D64B1">
              <w:rPr>
                <w:rFonts w:eastAsia="Calibri"/>
                <w:b/>
              </w:rPr>
              <w:t>CSR</w:t>
            </w:r>
          </w:p>
        </w:tc>
        <w:tc>
          <w:tcPr>
            <w:tcW w:w="1537" w:type="dxa"/>
            <w:shd w:val="clear" w:color="auto" w:fill="CFE2F3"/>
            <w:tcMar>
              <w:top w:w="0" w:type="dxa"/>
              <w:left w:w="100" w:type="dxa"/>
              <w:bottom w:w="0" w:type="dxa"/>
              <w:right w:w="100" w:type="dxa"/>
            </w:tcMar>
            <w:vAlign w:val="center"/>
          </w:tcPr>
          <w:p w14:paraId="785C678C" w14:textId="77777777" w:rsidR="00451CC2" w:rsidRPr="009D64B1" w:rsidRDefault="00451CC2" w:rsidP="009D64B1">
            <w:pPr>
              <w:pStyle w:val="Tabletext"/>
              <w:rPr>
                <w:rFonts w:eastAsia="Calibri"/>
                <w:b/>
              </w:rPr>
            </w:pPr>
            <w:r w:rsidRPr="009D64B1">
              <w:rPr>
                <w:rFonts w:eastAsia="Calibri"/>
                <w:b/>
              </w:rPr>
              <w:t>COMMON PRIORITIES</w:t>
            </w:r>
          </w:p>
        </w:tc>
        <w:tc>
          <w:tcPr>
            <w:tcW w:w="1276" w:type="dxa"/>
            <w:shd w:val="clear" w:color="auto" w:fill="CFE2F3"/>
            <w:tcMar>
              <w:top w:w="0" w:type="dxa"/>
              <w:left w:w="100" w:type="dxa"/>
              <w:bottom w:w="0" w:type="dxa"/>
              <w:right w:w="100" w:type="dxa"/>
            </w:tcMar>
            <w:vAlign w:val="center"/>
          </w:tcPr>
          <w:p w14:paraId="0BFD568E" w14:textId="77777777" w:rsidR="00451CC2" w:rsidRPr="009D64B1" w:rsidRDefault="00451CC2" w:rsidP="009D64B1">
            <w:pPr>
              <w:pStyle w:val="Tabletext"/>
              <w:rPr>
                <w:rFonts w:eastAsia="Calibri"/>
                <w:b/>
              </w:rPr>
            </w:pPr>
            <w:r w:rsidRPr="009D64B1">
              <w:rPr>
                <w:rFonts w:eastAsia="Calibri"/>
                <w:b/>
              </w:rPr>
              <w:t>On-track status</w:t>
            </w:r>
          </w:p>
        </w:tc>
      </w:tr>
      <w:tr w:rsidR="00451CC2" w14:paraId="1FFC9015" w14:textId="77777777" w:rsidTr="00CF4448">
        <w:trPr>
          <w:trHeight w:val="170"/>
          <w:jc w:val="center"/>
        </w:trPr>
        <w:tc>
          <w:tcPr>
            <w:tcW w:w="2969" w:type="dxa"/>
            <w:tcMar>
              <w:top w:w="0" w:type="dxa"/>
              <w:left w:w="40" w:type="dxa"/>
              <w:bottom w:w="0" w:type="dxa"/>
              <w:right w:w="40" w:type="dxa"/>
            </w:tcMar>
            <w:vAlign w:val="center"/>
          </w:tcPr>
          <w:p w14:paraId="1F23E012" w14:textId="77777777" w:rsidR="00451CC2" w:rsidRPr="00A746D8" w:rsidRDefault="00540671" w:rsidP="009D64B1">
            <w:pPr>
              <w:pStyle w:val="Tabletext"/>
              <w:rPr>
                <w:rFonts w:eastAsia="Calibri"/>
              </w:rPr>
            </w:pPr>
            <w:r w:rsidRPr="00540671">
              <w:rPr>
                <w:rFonts w:eastAsia="Calibri"/>
                <w:b/>
              </w:rPr>
              <w:t>REFORM 1:</w:t>
            </w:r>
            <w:r w:rsidR="00451CC2" w:rsidRPr="00A746D8">
              <w:rPr>
                <w:rFonts w:eastAsia="Calibri"/>
              </w:rPr>
              <w:t xml:space="preserve"> Active Labour Market Policies</w:t>
            </w:r>
          </w:p>
        </w:tc>
        <w:tc>
          <w:tcPr>
            <w:tcW w:w="1408" w:type="dxa"/>
            <w:tcMar>
              <w:top w:w="0" w:type="dxa"/>
              <w:left w:w="40" w:type="dxa"/>
              <w:bottom w:w="0" w:type="dxa"/>
              <w:right w:w="40" w:type="dxa"/>
            </w:tcMar>
            <w:vAlign w:val="center"/>
          </w:tcPr>
          <w:p w14:paraId="3E57DFF1" w14:textId="77777777" w:rsidR="00451CC2" w:rsidRDefault="00451CC2" w:rsidP="009D64B1">
            <w:pPr>
              <w:pStyle w:val="Tabletext"/>
              <w:rPr>
                <w:rFonts w:eastAsia="Calibri"/>
              </w:rPr>
            </w:pPr>
            <w:r>
              <w:rPr>
                <w:rFonts w:eastAsia="Calibri"/>
              </w:rPr>
              <w:t>RRF 16747</w:t>
            </w:r>
          </w:p>
        </w:tc>
        <w:tc>
          <w:tcPr>
            <w:tcW w:w="1732" w:type="dxa"/>
            <w:tcMar>
              <w:top w:w="0" w:type="dxa"/>
              <w:left w:w="40" w:type="dxa"/>
              <w:bottom w:w="0" w:type="dxa"/>
              <w:right w:w="40" w:type="dxa"/>
            </w:tcMar>
            <w:vAlign w:val="center"/>
          </w:tcPr>
          <w:p w14:paraId="4C36EC61" w14:textId="77777777" w:rsidR="00451CC2" w:rsidRPr="00A746D8" w:rsidRDefault="00451CC2" w:rsidP="009D64B1">
            <w:pPr>
              <w:pStyle w:val="Tabletext"/>
              <w:rPr>
                <w:rFonts w:eastAsia="Calibri"/>
              </w:rPr>
            </w:pPr>
            <w:r w:rsidRPr="00A746D8">
              <w:rPr>
                <w:rFonts w:eastAsia="Calibri"/>
              </w:rPr>
              <w:t>2025.CSR5.4</w:t>
            </w:r>
          </w:p>
          <w:p w14:paraId="7217182E" w14:textId="77777777" w:rsidR="00451CC2" w:rsidRPr="00A746D8" w:rsidRDefault="00451CC2" w:rsidP="009D64B1">
            <w:pPr>
              <w:pStyle w:val="Tabletext"/>
              <w:rPr>
                <w:rFonts w:eastAsia="Calibri"/>
              </w:rPr>
            </w:pPr>
            <w:r w:rsidRPr="00A746D8">
              <w:rPr>
                <w:rFonts w:eastAsia="Calibri"/>
              </w:rPr>
              <w:t>2025.CSR5.1</w:t>
            </w:r>
          </w:p>
          <w:p w14:paraId="7B079FD5" w14:textId="77777777" w:rsidR="00451CC2" w:rsidRPr="00A746D8" w:rsidRDefault="00451CC2" w:rsidP="009D64B1">
            <w:pPr>
              <w:pStyle w:val="Tabletext"/>
              <w:rPr>
                <w:rFonts w:eastAsia="Calibri"/>
              </w:rPr>
            </w:pPr>
            <w:r w:rsidRPr="00A746D8">
              <w:rPr>
                <w:rFonts w:eastAsia="Calibri"/>
              </w:rPr>
              <w:t>2024.CSR2.1</w:t>
            </w:r>
          </w:p>
          <w:p w14:paraId="6E8BA9C9" w14:textId="77777777" w:rsidR="00451CC2" w:rsidRPr="00A746D8" w:rsidRDefault="00451CC2" w:rsidP="009D64B1">
            <w:pPr>
              <w:pStyle w:val="Tabletext"/>
              <w:rPr>
                <w:rFonts w:eastAsia="Calibri"/>
              </w:rPr>
            </w:pPr>
            <w:r w:rsidRPr="00A746D8">
              <w:rPr>
                <w:rFonts w:eastAsia="Calibri"/>
              </w:rPr>
              <w:t>2024.CSR1.7</w:t>
            </w:r>
          </w:p>
          <w:p w14:paraId="7EFD6426" w14:textId="77777777" w:rsidR="00451CC2" w:rsidRPr="00A746D8" w:rsidRDefault="00451CC2" w:rsidP="009D64B1">
            <w:pPr>
              <w:pStyle w:val="Tabletext"/>
              <w:rPr>
                <w:rFonts w:eastAsia="Calibri"/>
              </w:rPr>
            </w:pPr>
            <w:r w:rsidRPr="00A746D8">
              <w:rPr>
                <w:rFonts w:eastAsia="Calibri"/>
              </w:rPr>
              <w:t>2023.CSR4.5</w:t>
            </w:r>
          </w:p>
          <w:p w14:paraId="59F807CE" w14:textId="77777777" w:rsidR="00451CC2" w:rsidRPr="00A746D8" w:rsidRDefault="00451CC2" w:rsidP="009D64B1">
            <w:pPr>
              <w:pStyle w:val="Tabletext"/>
              <w:rPr>
                <w:rFonts w:eastAsia="Calibri"/>
              </w:rPr>
            </w:pPr>
            <w:r w:rsidRPr="00A746D8">
              <w:rPr>
                <w:rFonts w:eastAsia="Calibri"/>
              </w:rPr>
              <w:t>2020.CSR3.8</w:t>
            </w:r>
          </w:p>
          <w:p w14:paraId="1B50495F" w14:textId="77777777" w:rsidR="00451CC2" w:rsidRPr="00A746D8" w:rsidRDefault="00451CC2" w:rsidP="009D64B1">
            <w:pPr>
              <w:pStyle w:val="Tabletext"/>
              <w:rPr>
                <w:rFonts w:eastAsia="Calibri"/>
              </w:rPr>
            </w:pPr>
            <w:r w:rsidRPr="00A746D8">
              <w:rPr>
                <w:rFonts w:eastAsia="Calibri"/>
              </w:rPr>
              <w:t>2020.CSR3.1</w:t>
            </w:r>
          </w:p>
          <w:p w14:paraId="721B8BB0" w14:textId="77777777" w:rsidR="00451CC2" w:rsidRPr="00A746D8" w:rsidRDefault="00451CC2" w:rsidP="009D64B1">
            <w:pPr>
              <w:pStyle w:val="Tabletext"/>
              <w:rPr>
                <w:rFonts w:eastAsia="Calibri"/>
              </w:rPr>
            </w:pPr>
            <w:r w:rsidRPr="00A746D8">
              <w:rPr>
                <w:rFonts w:eastAsia="Calibri"/>
              </w:rPr>
              <w:t>2020.CSR2.2</w:t>
            </w:r>
          </w:p>
          <w:p w14:paraId="25CAD866" w14:textId="77777777" w:rsidR="00451CC2" w:rsidRPr="00A746D8" w:rsidRDefault="00451CC2" w:rsidP="009D64B1">
            <w:pPr>
              <w:pStyle w:val="Tabletext"/>
              <w:rPr>
                <w:rFonts w:eastAsia="Calibri"/>
              </w:rPr>
            </w:pPr>
            <w:r w:rsidRPr="00A746D8">
              <w:rPr>
                <w:rFonts w:eastAsia="Calibri"/>
              </w:rPr>
              <w:t>2019.CSR2.7</w:t>
            </w:r>
          </w:p>
          <w:p w14:paraId="71DC8576" w14:textId="77777777" w:rsidR="00451CC2" w:rsidRPr="00A746D8" w:rsidRDefault="00451CC2" w:rsidP="009D64B1">
            <w:pPr>
              <w:pStyle w:val="Tabletext"/>
              <w:rPr>
                <w:rFonts w:eastAsia="Calibri"/>
              </w:rPr>
            </w:pPr>
            <w:r w:rsidRPr="00A746D8">
              <w:rPr>
                <w:rFonts w:eastAsia="Calibri"/>
              </w:rPr>
              <w:t>2019.CSR2.6</w:t>
            </w:r>
          </w:p>
        </w:tc>
        <w:tc>
          <w:tcPr>
            <w:tcW w:w="1537" w:type="dxa"/>
            <w:tcMar>
              <w:top w:w="0" w:type="dxa"/>
              <w:left w:w="40" w:type="dxa"/>
              <w:bottom w:w="0" w:type="dxa"/>
              <w:right w:w="40" w:type="dxa"/>
            </w:tcMar>
            <w:vAlign w:val="center"/>
          </w:tcPr>
          <w:p w14:paraId="33F8F9DA" w14:textId="77777777" w:rsidR="00451CC2" w:rsidRDefault="00451CC2" w:rsidP="009D64B1">
            <w:pPr>
              <w:pStyle w:val="Tabletext"/>
              <w:rPr>
                <w:rFonts w:eastAsia="Calibri"/>
              </w:rPr>
            </w:pPr>
            <w:r>
              <w:rPr>
                <w:rFonts w:eastAsia="Calibri"/>
              </w:rPr>
              <w:t>Social and Economic resilience</w:t>
            </w:r>
          </w:p>
        </w:tc>
        <w:tc>
          <w:tcPr>
            <w:tcW w:w="1276" w:type="dxa"/>
            <w:tcMar>
              <w:top w:w="40" w:type="dxa"/>
              <w:left w:w="40" w:type="dxa"/>
              <w:bottom w:w="40" w:type="dxa"/>
              <w:right w:w="40" w:type="dxa"/>
            </w:tcMar>
            <w:vAlign w:val="center"/>
          </w:tcPr>
          <w:p w14:paraId="7195EEF1" w14:textId="77777777" w:rsidR="00451CC2" w:rsidRDefault="00451CC2" w:rsidP="009D64B1">
            <w:pPr>
              <w:pStyle w:val="Tabletext"/>
              <w:rPr>
                <w:rFonts w:eastAsia="Calibri"/>
              </w:rPr>
            </w:pPr>
            <w:r>
              <w:rPr>
                <w:rFonts w:eastAsia="Calibri"/>
              </w:rPr>
              <w:t>On track</w:t>
            </w:r>
          </w:p>
        </w:tc>
      </w:tr>
      <w:tr w:rsidR="00451CC2" w14:paraId="472086D2" w14:textId="77777777" w:rsidTr="00CF4448">
        <w:trPr>
          <w:trHeight w:val="170"/>
          <w:jc w:val="center"/>
        </w:trPr>
        <w:tc>
          <w:tcPr>
            <w:tcW w:w="2969" w:type="dxa"/>
            <w:tcMar>
              <w:top w:w="0" w:type="dxa"/>
              <w:left w:w="40" w:type="dxa"/>
              <w:bottom w:w="0" w:type="dxa"/>
              <w:right w:w="40" w:type="dxa"/>
            </w:tcMar>
            <w:vAlign w:val="center"/>
          </w:tcPr>
          <w:p w14:paraId="37304B46" w14:textId="77777777" w:rsidR="00451CC2" w:rsidRPr="00A746D8" w:rsidRDefault="00540671" w:rsidP="009D64B1">
            <w:pPr>
              <w:pStyle w:val="Tabletext"/>
              <w:rPr>
                <w:rFonts w:eastAsia="Calibri"/>
              </w:rPr>
            </w:pPr>
            <w:r w:rsidRPr="00540671">
              <w:rPr>
                <w:rFonts w:eastAsia="Calibri"/>
                <w:b/>
              </w:rPr>
              <w:t>REFORM 2:</w:t>
            </w:r>
            <w:r w:rsidR="00451CC2" w:rsidRPr="00A746D8">
              <w:rPr>
                <w:rFonts w:eastAsia="Calibri"/>
              </w:rPr>
              <w:t xml:space="preserve"> Strengthening the Apprenticeship System</w:t>
            </w:r>
          </w:p>
        </w:tc>
        <w:tc>
          <w:tcPr>
            <w:tcW w:w="1408" w:type="dxa"/>
            <w:tcMar>
              <w:top w:w="0" w:type="dxa"/>
              <w:left w:w="40" w:type="dxa"/>
              <w:bottom w:w="0" w:type="dxa"/>
              <w:right w:w="40" w:type="dxa"/>
            </w:tcMar>
            <w:vAlign w:val="center"/>
          </w:tcPr>
          <w:p w14:paraId="52C48782" w14:textId="77777777" w:rsidR="00451CC2" w:rsidRDefault="00451CC2" w:rsidP="009D64B1">
            <w:pPr>
              <w:pStyle w:val="Tabletext"/>
              <w:rPr>
                <w:rFonts w:eastAsia="Calibri"/>
              </w:rPr>
            </w:pPr>
            <w:r>
              <w:rPr>
                <w:rFonts w:eastAsia="Calibri"/>
              </w:rPr>
              <w:t>RRF 16794</w:t>
            </w:r>
          </w:p>
        </w:tc>
        <w:tc>
          <w:tcPr>
            <w:tcW w:w="1732" w:type="dxa"/>
            <w:tcMar>
              <w:top w:w="0" w:type="dxa"/>
              <w:left w:w="40" w:type="dxa"/>
              <w:bottom w:w="0" w:type="dxa"/>
              <w:right w:w="40" w:type="dxa"/>
            </w:tcMar>
            <w:vAlign w:val="center"/>
          </w:tcPr>
          <w:p w14:paraId="588F6037" w14:textId="77777777" w:rsidR="00451CC2" w:rsidRPr="00A746D8" w:rsidRDefault="00451CC2" w:rsidP="009D64B1">
            <w:pPr>
              <w:pStyle w:val="Tabletext"/>
              <w:rPr>
                <w:rFonts w:eastAsia="Calibri"/>
              </w:rPr>
            </w:pPr>
            <w:r w:rsidRPr="00A746D8">
              <w:rPr>
                <w:rFonts w:eastAsia="Calibri"/>
              </w:rPr>
              <w:t>2025.CSR5.5</w:t>
            </w:r>
          </w:p>
          <w:p w14:paraId="0F6AFD98" w14:textId="77777777" w:rsidR="00451CC2" w:rsidRPr="00A746D8" w:rsidRDefault="00451CC2" w:rsidP="009D64B1">
            <w:pPr>
              <w:pStyle w:val="Tabletext"/>
              <w:rPr>
                <w:rFonts w:eastAsia="Calibri"/>
              </w:rPr>
            </w:pPr>
            <w:r w:rsidRPr="00A746D8">
              <w:rPr>
                <w:rFonts w:eastAsia="Calibri"/>
              </w:rPr>
              <w:t>2024.CSR2.1</w:t>
            </w:r>
          </w:p>
          <w:p w14:paraId="168F5B01" w14:textId="77777777" w:rsidR="00451CC2" w:rsidRPr="00A746D8" w:rsidRDefault="00451CC2" w:rsidP="009D64B1">
            <w:pPr>
              <w:pStyle w:val="Tabletext"/>
              <w:rPr>
                <w:rFonts w:eastAsia="Calibri"/>
              </w:rPr>
            </w:pPr>
            <w:r w:rsidRPr="00A746D8">
              <w:rPr>
                <w:rFonts w:eastAsia="Calibri"/>
              </w:rPr>
              <w:t>2023.CSR4.5</w:t>
            </w:r>
          </w:p>
          <w:p w14:paraId="14A30457" w14:textId="77777777" w:rsidR="00451CC2" w:rsidRPr="00A746D8" w:rsidRDefault="00451CC2" w:rsidP="009D64B1">
            <w:pPr>
              <w:pStyle w:val="Tabletext"/>
              <w:rPr>
                <w:rFonts w:eastAsia="Calibri"/>
              </w:rPr>
            </w:pPr>
            <w:r w:rsidRPr="00A746D8">
              <w:rPr>
                <w:rFonts w:eastAsia="Calibri"/>
              </w:rPr>
              <w:t>2020.CSR3.9</w:t>
            </w:r>
          </w:p>
          <w:p w14:paraId="4CEA4250" w14:textId="77777777" w:rsidR="00451CC2" w:rsidRPr="00A746D8" w:rsidRDefault="00451CC2" w:rsidP="009D64B1">
            <w:pPr>
              <w:pStyle w:val="Tabletext"/>
              <w:rPr>
                <w:rFonts w:eastAsia="Calibri"/>
              </w:rPr>
            </w:pPr>
            <w:r w:rsidRPr="00A746D8">
              <w:rPr>
                <w:rFonts w:eastAsia="Calibri"/>
              </w:rPr>
              <w:t>2020.CSR3.8</w:t>
            </w:r>
          </w:p>
          <w:p w14:paraId="51FEE68E" w14:textId="77777777" w:rsidR="00451CC2" w:rsidRDefault="00451CC2" w:rsidP="009D64B1">
            <w:pPr>
              <w:pStyle w:val="Tabletext"/>
              <w:rPr>
                <w:rFonts w:eastAsia="Calibri"/>
              </w:rPr>
            </w:pPr>
            <w:r>
              <w:rPr>
                <w:rFonts w:eastAsia="Calibri"/>
              </w:rPr>
              <w:t>2020.CSR3.3</w:t>
            </w:r>
          </w:p>
          <w:p w14:paraId="3ADFBA37" w14:textId="77777777" w:rsidR="00451CC2" w:rsidRDefault="00451CC2" w:rsidP="009D64B1">
            <w:pPr>
              <w:pStyle w:val="Tabletext"/>
              <w:rPr>
                <w:rFonts w:eastAsia="Calibri"/>
              </w:rPr>
            </w:pPr>
            <w:r>
              <w:rPr>
                <w:rFonts w:eastAsia="Calibri"/>
              </w:rPr>
              <w:t>2019.CSR2.7 2019.CSR2.5</w:t>
            </w:r>
          </w:p>
          <w:p w14:paraId="33F7A7A6" w14:textId="77777777" w:rsidR="00451CC2" w:rsidRDefault="00451CC2" w:rsidP="009D64B1">
            <w:pPr>
              <w:pStyle w:val="Tabletext"/>
              <w:rPr>
                <w:rFonts w:eastAsia="Calibri"/>
              </w:rPr>
            </w:pPr>
            <w:r>
              <w:rPr>
                <w:rFonts w:eastAsia="Calibri"/>
              </w:rPr>
              <w:t>2019.CSR2.6</w:t>
            </w:r>
          </w:p>
        </w:tc>
        <w:tc>
          <w:tcPr>
            <w:tcW w:w="1537" w:type="dxa"/>
            <w:tcMar>
              <w:top w:w="0" w:type="dxa"/>
              <w:left w:w="40" w:type="dxa"/>
              <w:bottom w:w="0" w:type="dxa"/>
              <w:right w:w="40" w:type="dxa"/>
            </w:tcMar>
            <w:vAlign w:val="center"/>
          </w:tcPr>
          <w:p w14:paraId="3EE752B6" w14:textId="77777777" w:rsidR="00451CC2" w:rsidRDefault="00451CC2" w:rsidP="009D64B1">
            <w:pPr>
              <w:pStyle w:val="Tabletext"/>
              <w:rPr>
                <w:rFonts w:eastAsia="Calibri"/>
              </w:rPr>
            </w:pPr>
            <w:r>
              <w:rPr>
                <w:rFonts w:eastAsia="Calibri"/>
              </w:rPr>
              <w:t>Social and Economic resilience</w:t>
            </w:r>
          </w:p>
        </w:tc>
        <w:tc>
          <w:tcPr>
            <w:tcW w:w="1276" w:type="dxa"/>
            <w:tcMar>
              <w:top w:w="40" w:type="dxa"/>
              <w:left w:w="40" w:type="dxa"/>
              <w:bottom w:w="40" w:type="dxa"/>
              <w:right w:w="40" w:type="dxa"/>
            </w:tcMar>
            <w:vAlign w:val="center"/>
          </w:tcPr>
          <w:p w14:paraId="4B5CEDED" w14:textId="77777777" w:rsidR="00451CC2" w:rsidRDefault="00451CC2" w:rsidP="009D64B1">
            <w:pPr>
              <w:pStyle w:val="Tabletext"/>
              <w:rPr>
                <w:rFonts w:eastAsia="Calibri"/>
              </w:rPr>
            </w:pPr>
            <w:r>
              <w:rPr>
                <w:rFonts w:eastAsia="Calibri"/>
              </w:rPr>
              <w:t>On track</w:t>
            </w:r>
          </w:p>
        </w:tc>
      </w:tr>
      <w:tr w:rsidR="00451CC2" w14:paraId="1D389C3F" w14:textId="77777777" w:rsidTr="00CF4448">
        <w:trPr>
          <w:trHeight w:val="170"/>
          <w:jc w:val="center"/>
        </w:trPr>
        <w:tc>
          <w:tcPr>
            <w:tcW w:w="2969" w:type="dxa"/>
            <w:tcMar>
              <w:top w:w="0" w:type="dxa"/>
              <w:left w:w="40" w:type="dxa"/>
              <w:bottom w:w="0" w:type="dxa"/>
              <w:right w:w="40" w:type="dxa"/>
            </w:tcMar>
            <w:vAlign w:val="center"/>
          </w:tcPr>
          <w:p w14:paraId="45E10B71" w14:textId="77777777" w:rsidR="00451CC2" w:rsidRPr="00A746D8" w:rsidRDefault="00540671" w:rsidP="009D64B1">
            <w:pPr>
              <w:pStyle w:val="Tabletext"/>
              <w:rPr>
                <w:rFonts w:eastAsia="Calibri"/>
              </w:rPr>
            </w:pPr>
            <w:r w:rsidRPr="00540671">
              <w:rPr>
                <w:rFonts w:eastAsia="Calibri"/>
                <w:b/>
              </w:rPr>
              <w:t>REFORM 3:</w:t>
            </w:r>
            <w:r w:rsidR="00451CC2" w:rsidRPr="00A746D8">
              <w:rPr>
                <w:rFonts w:eastAsia="Calibri"/>
              </w:rPr>
              <w:t xml:space="preserve"> Labor force skilling, reskilling and upskilling through a reformed training model (Vocational Education &amp; Training REFORM)</w:t>
            </w:r>
          </w:p>
        </w:tc>
        <w:tc>
          <w:tcPr>
            <w:tcW w:w="1408" w:type="dxa"/>
            <w:tcMar>
              <w:top w:w="0" w:type="dxa"/>
              <w:left w:w="40" w:type="dxa"/>
              <w:bottom w:w="0" w:type="dxa"/>
              <w:right w:w="40" w:type="dxa"/>
            </w:tcMar>
            <w:vAlign w:val="center"/>
          </w:tcPr>
          <w:p w14:paraId="6580D021" w14:textId="77777777" w:rsidR="00451CC2" w:rsidRDefault="00451CC2" w:rsidP="009D64B1">
            <w:pPr>
              <w:pStyle w:val="Tabletext"/>
              <w:rPr>
                <w:rFonts w:eastAsia="Calibri"/>
              </w:rPr>
            </w:pPr>
            <w:r>
              <w:rPr>
                <w:rFonts w:eastAsia="Calibri"/>
              </w:rPr>
              <w:t>RRF 16792</w:t>
            </w:r>
          </w:p>
        </w:tc>
        <w:tc>
          <w:tcPr>
            <w:tcW w:w="1732" w:type="dxa"/>
            <w:tcMar>
              <w:top w:w="0" w:type="dxa"/>
              <w:left w:w="40" w:type="dxa"/>
              <w:bottom w:w="0" w:type="dxa"/>
              <w:right w:w="40" w:type="dxa"/>
            </w:tcMar>
            <w:vAlign w:val="center"/>
          </w:tcPr>
          <w:p w14:paraId="19BD7947" w14:textId="77777777" w:rsidR="00451CC2" w:rsidRPr="00A746D8" w:rsidRDefault="00451CC2" w:rsidP="009D64B1">
            <w:pPr>
              <w:pStyle w:val="Tabletext"/>
              <w:rPr>
                <w:rFonts w:eastAsia="Calibri"/>
              </w:rPr>
            </w:pPr>
            <w:r w:rsidRPr="00A746D8">
              <w:rPr>
                <w:rFonts w:eastAsia="Calibri"/>
              </w:rPr>
              <w:t>2025.CSR5.6</w:t>
            </w:r>
          </w:p>
          <w:p w14:paraId="14E252DE" w14:textId="77777777" w:rsidR="00451CC2" w:rsidRPr="00A746D8" w:rsidRDefault="00451CC2" w:rsidP="009D64B1">
            <w:pPr>
              <w:pStyle w:val="Tabletext"/>
              <w:rPr>
                <w:rFonts w:eastAsia="Calibri"/>
              </w:rPr>
            </w:pPr>
            <w:r w:rsidRPr="00A746D8">
              <w:rPr>
                <w:rFonts w:eastAsia="Calibri"/>
              </w:rPr>
              <w:t>2025.CSR5.5</w:t>
            </w:r>
          </w:p>
          <w:p w14:paraId="4991B95B" w14:textId="77777777" w:rsidR="00451CC2" w:rsidRPr="00A746D8" w:rsidRDefault="00451CC2" w:rsidP="009D64B1">
            <w:pPr>
              <w:pStyle w:val="Tabletext"/>
              <w:rPr>
                <w:rFonts w:eastAsia="Calibri"/>
              </w:rPr>
            </w:pPr>
            <w:r w:rsidRPr="00A746D8">
              <w:rPr>
                <w:rFonts w:eastAsia="Calibri"/>
              </w:rPr>
              <w:t>2024.CSR2.1</w:t>
            </w:r>
          </w:p>
          <w:p w14:paraId="7680C66D" w14:textId="77777777" w:rsidR="00451CC2" w:rsidRPr="00A746D8" w:rsidRDefault="00451CC2" w:rsidP="009D64B1">
            <w:pPr>
              <w:pStyle w:val="Tabletext"/>
              <w:rPr>
                <w:rFonts w:eastAsia="Calibri"/>
              </w:rPr>
            </w:pPr>
            <w:r w:rsidRPr="00A746D8">
              <w:rPr>
                <w:rFonts w:eastAsia="Calibri"/>
              </w:rPr>
              <w:t>2024.CSR3.1</w:t>
            </w:r>
          </w:p>
          <w:p w14:paraId="454932CB" w14:textId="77777777" w:rsidR="00451CC2" w:rsidRPr="00A746D8" w:rsidRDefault="00451CC2" w:rsidP="009D64B1">
            <w:pPr>
              <w:pStyle w:val="Tabletext"/>
              <w:rPr>
                <w:rFonts w:eastAsia="Calibri"/>
              </w:rPr>
            </w:pPr>
            <w:r w:rsidRPr="00A746D8">
              <w:rPr>
                <w:rFonts w:eastAsia="Calibri"/>
              </w:rPr>
              <w:t>2020.CSR3.9</w:t>
            </w:r>
          </w:p>
          <w:p w14:paraId="242E5E81" w14:textId="77777777" w:rsidR="00451CC2" w:rsidRPr="00A746D8" w:rsidRDefault="00451CC2" w:rsidP="009D64B1">
            <w:pPr>
              <w:pStyle w:val="Tabletext"/>
              <w:rPr>
                <w:rFonts w:eastAsia="Calibri"/>
              </w:rPr>
            </w:pPr>
            <w:r w:rsidRPr="00A746D8">
              <w:rPr>
                <w:rFonts w:eastAsia="Calibri"/>
              </w:rPr>
              <w:t>2020.CSR3.8</w:t>
            </w:r>
          </w:p>
          <w:p w14:paraId="21EC3CA7" w14:textId="77777777" w:rsidR="00451CC2" w:rsidRPr="00A746D8" w:rsidRDefault="00451CC2" w:rsidP="009D64B1">
            <w:pPr>
              <w:pStyle w:val="Tabletext"/>
              <w:rPr>
                <w:rFonts w:eastAsia="Calibri"/>
              </w:rPr>
            </w:pPr>
            <w:r w:rsidRPr="00A746D8">
              <w:rPr>
                <w:rFonts w:eastAsia="Calibri"/>
              </w:rPr>
              <w:t>2020.CSR2.2</w:t>
            </w:r>
          </w:p>
          <w:p w14:paraId="7EDF9893" w14:textId="77777777" w:rsidR="00451CC2" w:rsidRPr="00A746D8" w:rsidRDefault="00451CC2" w:rsidP="009D64B1">
            <w:pPr>
              <w:pStyle w:val="Tabletext"/>
              <w:rPr>
                <w:rFonts w:eastAsia="Calibri"/>
              </w:rPr>
            </w:pPr>
            <w:r w:rsidRPr="00A746D8">
              <w:rPr>
                <w:rFonts w:eastAsia="Calibri"/>
              </w:rPr>
              <w:t>2019.CSR2.3</w:t>
            </w:r>
          </w:p>
          <w:p w14:paraId="62ED2B4C" w14:textId="77777777" w:rsidR="00451CC2" w:rsidRPr="00A746D8" w:rsidRDefault="00451CC2" w:rsidP="009D64B1">
            <w:pPr>
              <w:pStyle w:val="Tabletext"/>
              <w:rPr>
                <w:rFonts w:eastAsia="Calibri"/>
              </w:rPr>
            </w:pPr>
            <w:r w:rsidRPr="00A746D8">
              <w:rPr>
                <w:rFonts w:eastAsia="Calibri"/>
              </w:rPr>
              <w:t>2019.CSR2.7</w:t>
            </w:r>
          </w:p>
          <w:p w14:paraId="3FA2F207" w14:textId="77777777" w:rsidR="00451CC2" w:rsidRPr="00A746D8" w:rsidRDefault="00451CC2" w:rsidP="009D64B1">
            <w:pPr>
              <w:pStyle w:val="Tabletext"/>
              <w:rPr>
                <w:rFonts w:eastAsia="Calibri"/>
              </w:rPr>
            </w:pPr>
            <w:r w:rsidRPr="00A746D8">
              <w:rPr>
                <w:rFonts w:eastAsia="Calibri"/>
              </w:rPr>
              <w:t>2019.CSR2.5</w:t>
            </w:r>
          </w:p>
        </w:tc>
        <w:tc>
          <w:tcPr>
            <w:tcW w:w="1537" w:type="dxa"/>
            <w:tcMar>
              <w:top w:w="0" w:type="dxa"/>
              <w:left w:w="40" w:type="dxa"/>
              <w:bottom w:w="0" w:type="dxa"/>
              <w:right w:w="40" w:type="dxa"/>
            </w:tcMar>
            <w:vAlign w:val="center"/>
          </w:tcPr>
          <w:p w14:paraId="692BD433" w14:textId="77777777" w:rsidR="00451CC2" w:rsidRDefault="00451CC2" w:rsidP="009D64B1">
            <w:pPr>
              <w:pStyle w:val="Tabletext"/>
              <w:rPr>
                <w:rFonts w:eastAsia="Calibri"/>
              </w:rPr>
            </w:pPr>
            <w:r>
              <w:rPr>
                <w:rFonts w:eastAsia="Calibri"/>
              </w:rPr>
              <w:t>Social and Economic resilience</w:t>
            </w:r>
          </w:p>
        </w:tc>
        <w:tc>
          <w:tcPr>
            <w:tcW w:w="1276" w:type="dxa"/>
            <w:tcMar>
              <w:top w:w="40" w:type="dxa"/>
              <w:left w:w="40" w:type="dxa"/>
              <w:bottom w:w="40" w:type="dxa"/>
              <w:right w:w="40" w:type="dxa"/>
            </w:tcMar>
            <w:vAlign w:val="center"/>
          </w:tcPr>
          <w:p w14:paraId="5178AAAD" w14:textId="77777777" w:rsidR="00451CC2" w:rsidRDefault="00451CC2" w:rsidP="009D64B1">
            <w:pPr>
              <w:pStyle w:val="Tabletext"/>
              <w:rPr>
                <w:rFonts w:eastAsia="Calibri"/>
              </w:rPr>
            </w:pPr>
            <w:r>
              <w:rPr>
                <w:rFonts w:eastAsia="Calibri"/>
              </w:rPr>
              <w:t>On track</w:t>
            </w:r>
          </w:p>
        </w:tc>
      </w:tr>
      <w:tr w:rsidR="00451CC2" w14:paraId="3520B3BE" w14:textId="77777777" w:rsidTr="00CF4448">
        <w:trPr>
          <w:trHeight w:val="170"/>
          <w:jc w:val="center"/>
        </w:trPr>
        <w:tc>
          <w:tcPr>
            <w:tcW w:w="2969" w:type="dxa"/>
            <w:tcMar>
              <w:top w:w="0" w:type="dxa"/>
              <w:left w:w="40" w:type="dxa"/>
              <w:bottom w:w="0" w:type="dxa"/>
              <w:right w:w="40" w:type="dxa"/>
            </w:tcMar>
            <w:vAlign w:val="center"/>
          </w:tcPr>
          <w:p w14:paraId="1FCED7DC" w14:textId="77777777" w:rsidR="00451CC2" w:rsidRPr="00A746D8" w:rsidRDefault="00540671" w:rsidP="009D64B1">
            <w:pPr>
              <w:pStyle w:val="Tabletext"/>
              <w:rPr>
                <w:rFonts w:eastAsia="Calibri"/>
              </w:rPr>
            </w:pPr>
            <w:r w:rsidRPr="00540671">
              <w:rPr>
                <w:rFonts w:eastAsia="Calibri"/>
                <w:b/>
              </w:rPr>
              <w:t>REFORM 4:</w:t>
            </w:r>
            <w:r w:rsidR="00451CC2" w:rsidRPr="00A746D8">
              <w:rPr>
                <w:rFonts w:eastAsia="Calibri"/>
              </w:rPr>
              <w:t xml:space="preserve"> A New Strategy for Lifelong Skilling: </w:t>
            </w:r>
            <w:proofErr w:type="spellStart"/>
            <w:r w:rsidR="00451CC2" w:rsidRPr="00A746D8">
              <w:rPr>
                <w:rFonts w:eastAsia="Calibri"/>
              </w:rPr>
              <w:t>Modernising</w:t>
            </w:r>
            <w:proofErr w:type="spellEnd"/>
            <w:r w:rsidR="00451CC2" w:rsidRPr="00A746D8">
              <w:rPr>
                <w:rFonts w:eastAsia="Calibri"/>
              </w:rPr>
              <w:t xml:space="preserve"> and Upgrading Greece’s Upskilling and Reskilling System</w:t>
            </w:r>
          </w:p>
        </w:tc>
        <w:tc>
          <w:tcPr>
            <w:tcW w:w="1408" w:type="dxa"/>
            <w:tcMar>
              <w:top w:w="0" w:type="dxa"/>
              <w:left w:w="40" w:type="dxa"/>
              <w:bottom w:w="0" w:type="dxa"/>
              <w:right w:w="40" w:type="dxa"/>
            </w:tcMar>
            <w:vAlign w:val="center"/>
          </w:tcPr>
          <w:p w14:paraId="5D3BC486" w14:textId="77777777" w:rsidR="00451CC2" w:rsidRDefault="00451CC2" w:rsidP="009D64B1">
            <w:pPr>
              <w:pStyle w:val="Tabletext"/>
              <w:rPr>
                <w:rFonts w:eastAsia="Calibri"/>
              </w:rPr>
            </w:pPr>
            <w:r>
              <w:rPr>
                <w:rFonts w:eastAsia="Calibri"/>
              </w:rPr>
              <w:t>RRF 16913</w:t>
            </w:r>
          </w:p>
        </w:tc>
        <w:tc>
          <w:tcPr>
            <w:tcW w:w="1732" w:type="dxa"/>
            <w:tcMar>
              <w:top w:w="0" w:type="dxa"/>
              <w:left w:w="40" w:type="dxa"/>
              <w:bottom w:w="0" w:type="dxa"/>
              <w:right w:w="40" w:type="dxa"/>
            </w:tcMar>
            <w:vAlign w:val="center"/>
          </w:tcPr>
          <w:p w14:paraId="58EF2BF5" w14:textId="77777777" w:rsidR="00451CC2" w:rsidRPr="00A746D8" w:rsidRDefault="00451CC2" w:rsidP="009D64B1">
            <w:pPr>
              <w:pStyle w:val="Tabletext"/>
              <w:rPr>
                <w:rFonts w:eastAsia="Calibri"/>
              </w:rPr>
            </w:pPr>
            <w:r w:rsidRPr="00A746D8">
              <w:rPr>
                <w:rFonts w:eastAsia="Calibri"/>
              </w:rPr>
              <w:t>2025.CSR5.4</w:t>
            </w:r>
          </w:p>
          <w:p w14:paraId="6A7649B1" w14:textId="77777777" w:rsidR="00451CC2" w:rsidRPr="00A746D8" w:rsidRDefault="00451CC2" w:rsidP="009D64B1">
            <w:pPr>
              <w:pStyle w:val="Tabletext"/>
              <w:rPr>
                <w:rFonts w:eastAsia="Calibri"/>
              </w:rPr>
            </w:pPr>
            <w:r w:rsidRPr="00A746D8">
              <w:rPr>
                <w:rFonts w:eastAsia="Calibri"/>
              </w:rPr>
              <w:t>2025.CSR5.5</w:t>
            </w:r>
          </w:p>
          <w:p w14:paraId="56F5F686" w14:textId="77777777" w:rsidR="00451CC2" w:rsidRPr="00A746D8" w:rsidRDefault="00451CC2" w:rsidP="009D64B1">
            <w:pPr>
              <w:pStyle w:val="Tabletext"/>
              <w:rPr>
                <w:rFonts w:eastAsia="Calibri"/>
              </w:rPr>
            </w:pPr>
            <w:r w:rsidRPr="00A746D8">
              <w:rPr>
                <w:rFonts w:eastAsia="Calibri"/>
              </w:rPr>
              <w:t>2024.CSR2.1</w:t>
            </w:r>
          </w:p>
          <w:p w14:paraId="34FF49BF" w14:textId="77777777" w:rsidR="00451CC2" w:rsidRPr="00A746D8" w:rsidRDefault="00451CC2" w:rsidP="009D64B1">
            <w:pPr>
              <w:pStyle w:val="Tabletext"/>
              <w:rPr>
                <w:rFonts w:eastAsia="Calibri"/>
              </w:rPr>
            </w:pPr>
            <w:r w:rsidRPr="00A746D8">
              <w:rPr>
                <w:rFonts w:eastAsia="Calibri"/>
              </w:rPr>
              <w:t>2024.CSR1.7</w:t>
            </w:r>
          </w:p>
          <w:p w14:paraId="40BD00C6" w14:textId="77777777" w:rsidR="00451CC2" w:rsidRPr="00A746D8" w:rsidRDefault="00451CC2" w:rsidP="009D64B1">
            <w:pPr>
              <w:pStyle w:val="Tabletext"/>
              <w:rPr>
                <w:rFonts w:eastAsia="Calibri"/>
              </w:rPr>
            </w:pPr>
            <w:r w:rsidRPr="00A746D8">
              <w:rPr>
                <w:rFonts w:eastAsia="Calibri"/>
              </w:rPr>
              <w:t>2024.CSR3.1</w:t>
            </w:r>
          </w:p>
          <w:p w14:paraId="2DD38459" w14:textId="77777777" w:rsidR="00451CC2" w:rsidRPr="00A746D8" w:rsidRDefault="00451CC2" w:rsidP="009D64B1">
            <w:pPr>
              <w:pStyle w:val="Tabletext"/>
              <w:rPr>
                <w:rFonts w:eastAsia="Calibri"/>
              </w:rPr>
            </w:pPr>
            <w:r w:rsidRPr="00A746D8">
              <w:rPr>
                <w:rFonts w:eastAsia="Calibri"/>
              </w:rPr>
              <w:t>2023.CSR4.5</w:t>
            </w:r>
          </w:p>
          <w:p w14:paraId="26890AB3" w14:textId="77777777" w:rsidR="00451CC2" w:rsidRPr="00A746D8" w:rsidRDefault="00451CC2" w:rsidP="009D64B1">
            <w:pPr>
              <w:pStyle w:val="Tabletext"/>
              <w:rPr>
                <w:rFonts w:eastAsia="Calibri"/>
              </w:rPr>
            </w:pPr>
            <w:r w:rsidRPr="00A746D8">
              <w:rPr>
                <w:rFonts w:eastAsia="Calibri"/>
              </w:rPr>
              <w:t>2020.CSR3.9</w:t>
            </w:r>
          </w:p>
          <w:p w14:paraId="726C29A0" w14:textId="77777777" w:rsidR="00451CC2" w:rsidRPr="00A746D8" w:rsidRDefault="00451CC2" w:rsidP="009D64B1">
            <w:pPr>
              <w:pStyle w:val="Tabletext"/>
              <w:rPr>
                <w:rFonts w:eastAsia="Calibri"/>
              </w:rPr>
            </w:pPr>
            <w:r w:rsidRPr="00A746D8">
              <w:rPr>
                <w:rFonts w:eastAsia="Calibri"/>
              </w:rPr>
              <w:t>2020.CSR3.8</w:t>
            </w:r>
          </w:p>
          <w:p w14:paraId="3A85CC99" w14:textId="77777777" w:rsidR="00451CC2" w:rsidRPr="00A746D8" w:rsidRDefault="00451CC2" w:rsidP="009D64B1">
            <w:pPr>
              <w:pStyle w:val="Tabletext"/>
              <w:rPr>
                <w:rFonts w:eastAsia="Calibri"/>
              </w:rPr>
            </w:pPr>
            <w:r w:rsidRPr="00A746D8">
              <w:rPr>
                <w:rFonts w:eastAsia="Calibri"/>
              </w:rPr>
              <w:t>2020.CSR2.2</w:t>
            </w:r>
          </w:p>
          <w:p w14:paraId="3A06CB98" w14:textId="77777777" w:rsidR="00451CC2" w:rsidRPr="00A746D8" w:rsidRDefault="00451CC2" w:rsidP="009D64B1">
            <w:pPr>
              <w:pStyle w:val="Tabletext"/>
              <w:rPr>
                <w:rFonts w:eastAsia="Calibri"/>
              </w:rPr>
            </w:pPr>
            <w:r w:rsidRPr="00A746D8">
              <w:rPr>
                <w:rFonts w:eastAsia="Calibri"/>
              </w:rPr>
              <w:t>2019.CSR2.3</w:t>
            </w:r>
          </w:p>
          <w:p w14:paraId="31BD6108" w14:textId="77777777" w:rsidR="00451CC2" w:rsidRDefault="00451CC2" w:rsidP="009D64B1">
            <w:pPr>
              <w:pStyle w:val="Tabletext"/>
              <w:rPr>
                <w:rFonts w:eastAsia="Calibri"/>
              </w:rPr>
            </w:pPr>
            <w:r>
              <w:rPr>
                <w:rFonts w:eastAsia="Calibri"/>
              </w:rPr>
              <w:t>2019.CSR2.7</w:t>
            </w:r>
          </w:p>
          <w:p w14:paraId="49404F71" w14:textId="77777777" w:rsidR="00451CC2" w:rsidRDefault="00451CC2" w:rsidP="009D64B1">
            <w:pPr>
              <w:pStyle w:val="Tabletext"/>
              <w:rPr>
                <w:rFonts w:eastAsia="Calibri"/>
              </w:rPr>
            </w:pPr>
            <w:r>
              <w:rPr>
                <w:rFonts w:eastAsia="Calibri"/>
              </w:rPr>
              <w:t>2019.CSR2.6</w:t>
            </w:r>
          </w:p>
        </w:tc>
        <w:tc>
          <w:tcPr>
            <w:tcW w:w="1537" w:type="dxa"/>
            <w:tcMar>
              <w:top w:w="0" w:type="dxa"/>
              <w:left w:w="40" w:type="dxa"/>
              <w:bottom w:w="0" w:type="dxa"/>
              <w:right w:w="40" w:type="dxa"/>
            </w:tcMar>
            <w:vAlign w:val="center"/>
          </w:tcPr>
          <w:p w14:paraId="43346C3B" w14:textId="77777777" w:rsidR="00451CC2" w:rsidRDefault="00451CC2" w:rsidP="009D64B1">
            <w:pPr>
              <w:pStyle w:val="Tabletext"/>
              <w:rPr>
                <w:rFonts w:eastAsia="Calibri"/>
              </w:rPr>
            </w:pPr>
            <w:r>
              <w:rPr>
                <w:rFonts w:eastAsia="Calibri"/>
              </w:rPr>
              <w:t>Fair green &amp; digital transition</w:t>
            </w:r>
          </w:p>
        </w:tc>
        <w:tc>
          <w:tcPr>
            <w:tcW w:w="1276" w:type="dxa"/>
            <w:tcMar>
              <w:top w:w="40" w:type="dxa"/>
              <w:left w:w="40" w:type="dxa"/>
              <w:bottom w:w="40" w:type="dxa"/>
              <w:right w:w="40" w:type="dxa"/>
            </w:tcMar>
            <w:vAlign w:val="center"/>
          </w:tcPr>
          <w:p w14:paraId="4D28E687" w14:textId="77777777" w:rsidR="00451CC2" w:rsidRDefault="00451CC2" w:rsidP="009D64B1">
            <w:pPr>
              <w:pStyle w:val="Tabletext"/>
              <w:rPr>
                <w:rFonts w:eastAsia="Calibri"/>
              </w:rPr>
            </w:pPr>
            <w:r>
              <w:rPr>
                <w:rFonts w:eastAsia="Calibri"/>
              </w:rPr>
              <w:t>On track</w:t>
            </w:r>
          </w:p>
        </w:tc>
      </w:tr>
      <w:tr w:rsidR="00451CC2" w14:paraId="1230D7E3" w14:textId="77777777" w:rsidTr="00CF4448">
        <w:trPr>
          <w:trHeight w:val="170"/>
          <w:jc w:val="center"/>
        </w:trPr>
        <w:tc>
          <w:tcPr>
            <w:tcW w:w="2969" w:type="dxa"/>
            <w:tcMar>
              <w:top w:w="0" w:type="dxa"/>
              <w:left w:w="40" w:type="dxa"/>
              <w:bottom w:w="0" w:type="dxa"/>
              <w:right w:w="40" w:type="dxa"/>
            </w:tcMar>
            <w:vAlign w:val="center"/>
          </w:tcPr>
          <w:p w14:paraId="429C4CAD" w14:textId="77777777" w:rsidR="00451CC2" w:rsidRPr="00A746D8" w:rsidRDefault="00540671" w:rsidP="009D64B1">
            <w:pPr>
              <w:pStyle w:val="Tabletext"/>
              <w:rPr>
                <w:rFonts w:eastAsia="Calibri"/>
              </w:rPr>
            </w:pPr>
            <w:r w:rsidRPr="00540671">
              <w:rPr>
                <w:rFonts w:eastAsia="Calibri"/>
                <w:b/>
              </w:rPr>
              <w:t>REFORM 5:</w:t>
            </w:r>
            <w:r w:rsidR="00451CC2" w:rsidRPr="00A746D8">
              <w:rPr>
                <w:rFonts w:eastAsia="Calibri"/>
              </w:rPr>
              <w:t xml:space="preserve"> Reform of Passive Labour Market Policies to Support Transitions to Employment</w:t>
            </w:r>
          </w:p>
        </w:tc>
        <w:tc>
          <w:tcPr>
            <w:tcW w:w="1408" w:type="dxa"/>
            <w:tcMar>
              <w:top w:w="0" w:type="dxa"/>
              <w:left w:w="40" w:type="dxa"/>
              <w:bottom w:w="0" w:type="dxa"/>
              <w:right w:w="40" w:type="dxa"/>
            </w:tcMar>
            <w:vAlign w:val="center"/>
          </w:tcPr>
          <w:p w14:paraId="01365BB9" w14:textId="77777777" w:rsidR="00451CC2" w:rsidRDefault="00451CC2" w:rsidP="009D64B1">
            <w:pPr>
              <w:pStyle w:val="Tabletext"/>
              <w:rPr>
                <w:rFonts w:eastAsia="Calibri"/>
              </w:rPr>
            </w:pPr>
            <w:r>
              <w:rPr>
                <w:rFonts w:eastAsia="Calibri"/>
              </w:rPr>
              <w:t>RRF 16746</w:t>
            </w:r>
          </w:p>
        </w:tc>
        <w:tc>
          <w:tcPr>
            <w:tcW w:w="1732" w:type="dxa"/>
            <w:tcMar>
              <w:top w:w="0" w:type="dxa"/>
              <w:left w:w="40" w:type="dxa"/>
              <w:bottom w:w="0" w:type="dxa"/>
              <w:right w:w="40" w:type="dxa"/>
            </w:tcMar>
            <w:vAlign w:val="center"/>
          </w:tcPr>
          <w:p w14:paraId="1D6977A4" w14:textId="77777777" w:rsidR="00451CC2" w:rsidRPr="00A746D8" w:rsidRDefault="00451CC2" w:rsidP="009D64B1">
            <w:pPr>
              <w:pStyle w:val="Tabletext"/>
              <w:rPr>
                <w:rFonts w:eastAsia="Calibri"/>
              </w:rPr>
            </w:pPr>
            <w:r w:rsidRPr="00A746D8">
              <w:rPr>
                <w:rFonts w:eastAsia="Calibri"/>
              </w:rPr>
              <w:t>2025.CSR5.1</w:t>
            </w:r>
          </w:p>
          <w:p w14:paraId="721F813A" w14:textId="77777777" w:rsidR="00451CC2" w:rsidRPr="00A746D8" w:rsidRDefault="00451CC2" w:rsidP="009D64B1">
            <w:pPr>
              <w:pStyle w:val="Tabletext"/>
              <w:rPr>
                <w:rFonts w:eastAsia="Calibri"/>
              </w:rPr>
            </w:pPr>
            <w:r w:rsidRPr="00A746D8">
              <w:rPr>
                <w:rFonts w:eastAsia="Calibri"/>
              </w:rPr>
              <w:t>2024.CSR2.1</w:t>
            </w:r>
          </w:p>
          <w:p w14:paraId="3DAD91AF" w14:textId="77777777" w:rsidR="00451CC2" w:rsidRPr="00A746D8" w:rsidRDefault="00451CC2" w:rsidP="009D64B1">
            <w:pPr>
              <w:pStyle w:val="Tabletext"/>
              <w:rPr>
                <w:rFonts w:eastAsia="Calibri"/>
              </w:rPr>
            </w:pPr>
            <w:r w:rsidRPr="00A746D8">
              <w:rPr>
                <w:rFonts w:eastAsia="Calibri"/>
              </w:rPr>
              <w:t>2024.CSR1.7</w:t>
            </w:r>
          </w:p>
          <w:p w14:paraId="46BAAF54" w14:textId="77777777" w:rsidR="00451CC2" w:rsidRPr="00A746D8" w:rsidRDefault="00451CC2" w:rsidP="009D64B1">
            <w:pPr>
              <w:pStyle w:val="Tabletext"/>
              <w:rPr>
                <w:rFonts w:eastAsia="Calibri"/>
              </w:rPr>
            </w:pPr>
            <w:r w:rsidRPr="00A746D8">
              <w:rPr>
                <w:rFonts w:eastAsia="Calibri"/>
              </w:rPr>
              <w:t>2020.CSR3.9</w:t>
            </w:r>
          </w:p>
          <w:p w14:paraId="02E511AC" w14:textId="77777777" w:rsidR="00451CC2" w:rsidRPr="00A746D8" w:rsidRDefault="00451CC2" w:rsidP="009D64B1">
            <w:pPr>
              <w:pStyle w:val="Tabletext"/>
              <w:rPr>
                <w:rFonts w:eastAsia="Calibri"/>
              </w:rPr>
            </w:pPr>
            <w:r w:rsidRPr="00A746D8">
              <w:rPr>
                <w:rFonts w:eastAsia="Calibri"/>
              </w:rPr>
              <w:t>2020.CSR2.2</w:t>
            </w:r>
          </w:p>
          <w:p w14:paraId="28E39308" w14:textId="77777777" w:rsidR="00451CC2" w:rsidRDefault="00451CC2" w:rsidP="009D64B1">
            <w:pPr>
              <w:pStyle w:val="Tabletext"/>
              <w:rPr>
                <w:rFonts w:eastAsia="Calibri"/>
              </w:rPr>
            </w:pPr>
            <w:r>
              <w:rPr>
                <w:rFonts w:eastAsia="Calibri"/>
              </w:rPr>
              <w:t>2020.CSR3.8</w:t>
            </w:r>
          </w:p>
          <w:p w14:paraId="3D8C5F71" w14:textId="77777777" w:rsidR="00451CC2" w:rsidRDefault="00451CC2" w:rsidP="009D64B1">
            <w:pPr>
              <w:pStyle w:val="Tabletext"/>
              <w:rPr>
                <w:rFonts w:eastAsia="Calibri"/>
              </w:rPr>
            </w:pPr>
            <w:r>
              <w:rPr>
                <w:rFonts w:eastAsia="Calibri"/>
              </w:rPr>
              <w:t>2019.CSR2.7</w:t>
            </w:r>
          </w:p>
          <w:p w14:paraId="4D36521C" w14:textId="77777777" w:rsidR="00451CC2" w:rsidRDefault="00451CC2" w:rsidP="009D64B1">
            <w:pPr>
              <w:pStyle w:val="Tabletext"/>
              <w:rPr>
                <w:rFonts w:eastAsia="Calibri"/>
              </w:rPr>
            </w:pPr>
            <w:r>
              <w:rPr>
                <w:rFonts w:eastAsia="Calibri"/>
              </w:rPr>
              <w:t>2019.CSR2.6</w:t>
            </w:r>
          </w:p>
        </w:tc>
        <w:tc>
          <w:tcPr>
            <w:tcW w:w="1537" w:type="dxa"/>
            <w:tcMar>
              <w:top w:w="0" w:type="dxa"/>
              <w:left w:w="40" w:type="dxa"/>
              <w:bottom w:w="0" w:type="dxa"/>
              <w:right w:w="40" w:type="dxa"/>
            </w:tcMar>
            <w:vAlign w:val="center"/>
          </w:tcPr>
          <w:p w14:paraId="37F8D0C4" w14:textId="77777777" w:rsidR="00451CC2" w:rsidRDefault="00451CC2" w:rsidP="009D64B1">
            <w:pPr>
              <w:pStyle w:val="Tabletext"/>
              <w:rPr>
                <w:rFonts w:eastAsia="Calibri"/>
              </w:rPr>
            </w:pPr>
            <w:r>
              <w:rPr>
                <w:rFonts w:eastAsia="Calibri"/>
              </w:rPr>
              <w:t>Social and Economic resilience</w:t>
            </w:r>
          </w:p>
        </w:tc>
        <w:tc>
          <w:tcPr>
            <w:tcW w:w="1276" w:type="dxa"/>
            <w:tcMar>
              <w:top w:w="40" w:type="dxa"/>
              <w:left w:w="40" w:type="dxa"/>
              <w:bottom w:w="40" w:type="dxa"/>
              <w:right w:w="40" w:type="dxa"/>
            </w:tcMar>
            <w:vAlign w:val="center"/>
          </w:tcPr>
          <w:p w14:paraId="5F6DCBD0" w14:textId="77777777" w:rsidR="00451CC2" w:rsidRDefault="00451CC2" w:rsidP="009D64B1">
            <w:pPr>
              <w:pStyle w:val="Tabletext"/>
              <w:rPr>
                <w:rFonts w:eastAsia="Calibri"/>
              </w:rPr>
            </w:pPr>
            <w:r>
              <w:rPr>
                <w:rFonts w:eastAsia="Calibri"/>
              </w:rPr>
              <w:t>On track</w:t>
            </w:r>
          </w:p>
        </w:tc>
      </w:tr>
      <w:tr w:rsidR="00451CC2" w14:paraId="5E94ECF7" w14:textId="77777777" w:rsidTr="00CF4448">
        <w:trPr>
          <w:trHeight w:val="170"/>
          <w:jc w:val="center"/>
        </w:trPr>
        <w:tc>
          <w:tcPr>
            <w:tcW w:w="2969" w:type="dxa"/>
            <w:tcMar>
              <w:top w:w="0" w:type="dxa"/>
              <w:left w:w="40" w:type="dxa"/>
              <w:bottom w:w="0" w:type="dxa"/>
              <w:right w:w="40" w:type="dxa"/>
            </w:tcMar>
            <w:vAlign w:val="center"/>
          </w:tcPr>
          <w:p w14:paraId="76D6D376" w14:textId="77777777" w:rsidR="00451CC2" w:rsidRPr="00A746D8" w:rsidRDefault="00540671" w:rsidP="009D64B1">
            <w:pPr>
              <w:pStyle w:val="Tabletext"/>
              <w:rPr>
                <w:rFonts w:eastAsia="Calibri"/>
              </w:rPr>
            </w:pPr>
            <w:r w:rsidRPr="00540671">
              <w:rPr>
                <w:rFonts w:eastAsia="Calibri"/>
                <w:b/>
              </w:rPr>
              <w:lastRenderedPageBreak/>
              <w:t>INVESTMENT 1:</w:t>
            </w:r>
            <w:r w:rsidR="00451CC2" w:rsidRPr="00A746D8">
              <w:rPr>
                <w:rFonts w:eastAsia="Calibri"/>
              </w:rPr>
              <w:t xml:space="preserve"> Digital Transformation of Labour Systems</w:t>
            </w:r>
          </w:p>
        </w:tc>
        <w:tc>
          <w:tcPr>
            <w:tcW w:w="1408" w:type="dxa"/>
            <w:tcMar>
              <w:top w:w="0" w:type="dxa"/>
              <w:left w:w="40" w:type="dxa"/>
              <w:bottom w:w="0" w:type="dxa"/>
              <w:right w:w="40" w:type="dxa"/>
            </w:tcMar>
            <w:vAlign w:val="center"/>
          </w:tcPr>
          <w:p w14:paraId="2A7B5852" w14:textId="77777777" w:rsidR="00451CC2" w:rsidRDefault="00451CC2" w:rsidP="009D64B1">
            <w:pPr>
              <w:pStyle w:val="Tabletext"/>
              <w:rPr>
                <w:rFonts w:eastAsia="Calibri"/>
              </w:rPr>
            </w:pPr>
            <w:r>
              <w:rPr>
                <w:rFonts w:eastAsia="Calibri"/>
              </w:rPr>
              <w:t>RRF 16750</w:t>
            </w:r>
          </w:p>
        </w:tc>
        <w:tc>
          <w:tcPr>
            <w:tcW w:w="1732" w:type="dxa"/>
            <w:tcMar>
              <w:top w:w="0" w:type="dxa"/>
              <w:left w:w="40" w:type="dxa"/>
              <w:bottom w:w="0" w:type="dxa"/>
              <w:right w:w="40" w:type="dxa"/>
            </w:tcMar>
            <w:vAlign w:val="center"/>
          </w:tcPr>
          <w:p w14:paraId="58F7FE68" w14:textId="77777777" w:rsidR="00451CC2" w:rsidRPr="00C24F2C" w:rsidRDefault="00451CC2" w:rsidP="009D64B1">
            <w:pPr>
              <w:pStyle w:val="Tabletext"/>
              <w:rPr>
                <w:rFonts w:eastAsia="Calibri"/>
              </w:rPr>
            </w:pPr>
            <w:r w:rsidRPr="00C24F2C">
              <w:rPr>
                <w:rFonts w:eastAsia="Calibri"/>
              </w:rPr>
              <w:t>2025.CSR5.1</w:t>
            </w:r>
          </w:p>
          <w:p w14:paraId="3CE7B399" w14:textId="77777777" w:rsidR="00451CC2" w:rsidRPr="00A746D8" w:rsidRDefault="00451CC2" w:rsidP="009D64B1">
            <w:pPr>
              <w:pStyle w:val="Tabletext"/>
              <w:rPr>
                <w:rFonts w:eastAsia="Calibri"/>
              </w:rPr>
            </w:pPr>
            <w:r w:rsidRPr="00A746D8">
              <w:rPr>
                <w:rFonts w:eastAsia="Calibri"/>
              </w:rPr>
              <w:t>2025.CSR3.1</w:t>
            </w:r>
          </w:p>
          <w:p w14:paraId="1FE1C9ED" w14:textId="77777777" w:rsidR="00451CC2" w:rsidRPr="00A746D8" w:rsidRDefault="00451CC2" w:rsidP="009D64B1">
            <w:pPr>
              <w:pStyle w:val="Tabletext"/>
              <w:rPr>
                <w:rFonts w:eastAsia="Calibri"/>
              </w:rPr>
            </w:pPr>
            <w:r w:rsidRPr="00A746D8">
              <w:rPr>
                <w:rFonts w:eastAsia="Calibri"/>
              </w:rPr>
              <w:t>2024.CSR2.1</w:t>
            </w:r>
          </w:p>
          <w:p w14:paraId="340C5EAB" w14:textId="77777777" w:rsidR="00451CC2" w:rsidRPr="00A746D8" w:rsidRDefault="00451CC2" w:rsidP="009D64B1">
            <w:pPr>
              <w:pStyle w:val="Tabletext"/>
              <w:rPr>
                <w:rFonts w:eastAsia="Calibri"/>
              </w:rPr>
            </w:pPr>
            <w:r w:rsidRPr="00A746D8">
              <w:rPr>
                <w:rFonts w:eastAsia="Calibri"/>
              </w:rPr>
              <w:t>2024.CSR1.3</w:t>
            </w:r>
          </w:p>
          <w:p w14:paraId="59988A3B" w14:textId="77777777" w:rsidR="00451CC2" w:rsidRPr="00A746D8" w:rsidRDefault="00451CC2" w:rsidP="009D64B1">
            <w:pPr>
              <w:pStyle w:val="Tabletext"/>
              <w:rPr>
                <w:rFonts w:eastAsia="Calibri"/>
              </w:rPr>
            </w:pPr>
            <w:r w:rsidRPr="00A746D8">
              <w:rPr>
                <w:rFonts w:eastAsia="Calibri"/>
              </w:rPr>
              <w:t>2024.CSR1.7</w:t>
            </w:r>
          </w:p>
          <w:p w14:paraId="4BFBD78B" w14:textId="77777777" w:rsidR="00451CC2" w:rsidRPr="00A746D8" w:rsidRDefault="00451CC2" w:rsidP="009D64B1">
            <w:pPr>
              <w:pStyle w:val="Tabletext"/>
              <w:rPr>
                <w:rFonts w:eastAsia="Calibri"/>
              </w:rPr>
            </w:pPr>
            <w:r w:rsidRPr="00A746D8">
              <w:rPr>
                <w:rFonts w:eastAsia="Calibri"/>
              </w:rPr>
              <w:t>2020.CSR3.9</w:t>
            </w:r>
          </w:p>
          <w:p w14:paraId="1788CEBC" w14:textId="77777777" w:rsidR="00451CC2" w:rsidRPr="00A746D8" w:rsidRDefault="00451CC2" w:rsidP="009D64B1">
            <w:pPr>
              <w:pStyle w:val="Tabletext"/>
              <w:rPr>
                <w:rFonts w:eastAsia="Calibri"/>
              </w:rPr>
            </w:pPr>
            <w:r w:rsidRPr="00A746D8">
              <w:rPr>
                <w:rFonts w:eastAsia="Calibri"/>
              </w:rPr>
              <w:t>2020.CSR1.1</w:t>
            </w:r>
          </w:p>
          <w:p w14:paraId="766FB099" w14:textId="77777777" w:rsidR="00451CC2" w:rsidRPr="00A746D8" w:rsidRDefault="00451CC2" w:rsidP="009D64B1">
            <w:pPr>
              <w:pStyle w:val="Tabletext"/>
              <w:rPr>
                <w:rFonts w:eastAsia="Calibri"/>
              </w:rPr>
            </w:pPr>
            <w:r w:rsidRPr="00A746D8">
              <w:rPr>
                <w:rFonts w:eastAsia="Calibri"/>
              </w:rPr>
              <w:t>2020.CSR4.1</w:t>
            </w:r>
          </w:p>
          <w:p w14:paraId="35D6E787" w14:textId="77777777" w:rsidR="00451CC2" w:rsidRPr="00A746D8" w:rsidRDefault="00451CC2" w:rsidP="009D64B1">
            <w:pPr>
              <w:pStyle w:val="Tabletext"/>
              <w:rPr>
                <w:rFonts w:eastAsia="Calibri"/>
              </w:rPr>
            </w:pPr>
            <w:r w:rsidRPr="00A746D8">
              <w:rPr>
                <w:rFonts w:eastAsia="Calibri"/>
              </w:rPr>
              <w:t>2019.CSR2.3</w:t>
            </w:r>
          </w:p>
          <w:p w14:paraId="107CE8F5" w14:textId="77777777" w:rsidR="00451CC2" w:rsidRPr="00A746D8" w:rsidRDefault="00451CC2" w:rsidP="009D64B1">
            <w:pPr>
              <w:pStyle w:val="Tabletext"/>
              <w:rPr>
                <w:rFonts w:eastAsia="Calibri"/>
              </w:rPr>
            </w:pPr>
            <w:r w:rsidRPr="00A746D8">
              <w:rPr>
                <w:rFonts w:eastAsia="Calibri"/>
              </w:rPr>
              <w:t>2019.CSR1.1</w:t>
            </w:r>
          </w:p>
        </w:tc>
        <w:tc>
          <w:tcPr>
            <w:tcW w:w="1537" w:type="dxa"/>
            <w:tcMar>
              <w:top w:w="0" w:type="dxa"/>
              <w:left w:w="40" w:type="dxa"/>
              <w:bottom w:w="0" w:type="dxa"/>
              <w:right w:w="40" w:type="dxa"/>
            </w:tcMar>
            <w:vAlign w:val="center"/>
          </w:tcPr>
          <w:p w14:paraId="2301BA59" w14:textId="77777777" w:rsidR="00451CC2" w:rsidRDefault="00451CC2" w:rsidP="009D64B1">
            <w:pPr>
              <w:pStyle w:val="Tabletext"/>
              <w:rPr>
                <w:rFonts w:eastAsia="Calibri"/>
              </w:rPr>
            </w:pPr>
            <w:r>
              <w:rPr>
                <w:rFonts w:eastAsia="Calibri"/>
              </w:rPr>
              <w:t>Fair green &amp; digital transition</w:t>
            </w:r>
          </w:p>
        </w:tc>
        <w:tc>
          <w:tcPr>
            <w:tcW w:w="1276" w:type="dxa"/>
            <w:tcMar>
              <w:top w:w="40" w:type="dxa"/>
              <w:left w:w="40" w:type="dxa"/>
              <w:bottom w:w="40" w:type="dxa"/>
              <w:right w:w="40" w:type="dxa"/>
            </w:tcMar>
            <w:vAlign w:val="center"/>
          </w:tcPr>
          <w:p w14:paraId="1456BCC7" w14:textId="77777777" w:rsidR="00451CC2" w:rsidRDefault="00451CC2" w:rsidP="009D64B1">
            <w:pPr>
              <w:pStyle w:val="Tabletext"/>
              <w:rPr>
                <w:rFonts w:eastAsia="Calibri"/>
              </w:rPr>
            </w:pPr>
            <w:r>
              <w:rPr>
                <w:rFonts w:eastAsia="Calibri"/>
              </w:rPr>
              <w:t>On track</w:t>
            </w:r>
          </w:p>
        </w:tc>
      </w:tr>
      <w:tr w:rsidR="00451CC2" w14:paraId="67C1BF63" w14:textId="77777777" w:rsidTr="00CF4448">
        <w:trPr>
          <w:trHeight w:val="170"/>
          <w:jc w:val="center"/>
        </w:trPr>
        <w:tc>
          <w:tcPr>
            <w:tcW w:w="2969" w:type="dxa"/>
            <w:tcMar>
              <w:top w:w="0" w:type="dxa"/>
              <w:left w:w="40" w:type="dxa"/>
              <w:bottom w:w="0" w:type="dxa"/>
              <w:right w:w="40" w:type="dxa"/>
            </w:tcMar>
            <w:vAlign w:val="center"/>
          </w:tcPr>
          <w:p w14:paraId="1253B54C" w14:textId="77777777" w:rsidR="00451CC2" w:rsidRPr="00A746D8" w:rsidRDefault="00540671" w:rsidP="009D64B1">
            <w:pPr>
              <w:pStyle w:val="Tabletext"/>
              <w:rPr>
                <w:rFonts w:eastAsia="Calibri"/>
              </w:rPr>
            </w:pPr>
            <w:r w:rsidRPr="00540671">
              <w:rPr>
                <w:rFonts w:eastAsia="Calibri"/>
                <w:b/>
              </w:rPr>
              <w:t>INVESTMENT 2:</w:t>
            </w:r>
            <w:r w:rsidR="00451CC2" w:rsidRPr="00A746D8">
              <w:rPr>
                <w:rFonts w:eastAsia="Calibri"/>
              </w:rPr>
              <w:t xml:space="preserve"> Restructuring and rebranding of DYPA local PES (KPA2)</w:t>
            </w:r>
          </w:p>
        </w:tc>
        <w:tc>
          <w:tcPr>
            <w:tcW w:w="1408" w:type="dxa"/>
            <w:tcMar>
              <w:top w:w="0" w:type="dxa"/>
              <w:left w:w="40" w:type="dxa"/>
              <w:bottom w:w="0" w:type="dxa"/>
              <w:right w:w="40" w:type="dxa"/>
            </w:tcMar>
            <w:vAlign w:val="center"/>
          </w:tcPr>
          <w:p w14:paraId="305ED7DD" w14:textId="77777777" w:rsidR="00451CC2" w:rsidRDefault="00451CC2" w:rsidP="009D64B1">
            <w:pPr>
              <w:pStyle w:val="Tabletext"/>
              <w:rPr>
                <w:rFonts w:eastAsia="Calibri"/>
              </w:rPr>
            </w:pPr>
            <w:r>
              <w:rPr>
                <w:rFonts w:eastAsia="Calibri"/>
              </w:rPr>
              <w:t>RRF 16941</w:t>
            </w:r>
          </w:p>
        </w:tc>
        <w:tc>
          <w:tcPr>
            <w:tcW w:w="1732" w:type="dxa"/>
            <w:tcMar>
              <w:top w:w="0" w:type="dxa"/>
              <w:left w:w="40" w:type="dxa"/>
              <w:bottom w:w="0" w:type="dxa"/>
              <w:right w:w="40" w:type="dxa"/>
            </w:tcMar>
            <w:vAlign w:val="center"/>
          </w:tcPr>
          <w:p w14:paraId="418BF60D" w14:textId="77777777" w:rsidR="00451CC2" w:rsidRPr="00A746D8" w:rsidRDefault="00451CC2" w:rsidP="009D64B1">
            <w:pPr>
              <w:pStyle w:val="Tabletext"/>
              <w:rPr>
                <w:rFonts w:eastAsia="Calibri"/>
              </w:rPr>
            </w:pPr>
            <w:r w:rsidRPr="00A746D8">
              <w:rPr>
                <w:rFonts w:eastAsia="Calibri"/>
              </w:rPr>
              <w:t>2025.CSR5.1</w:t>
            </w:r>
          </w:p>
          <w:p w14:paraId="316B367A" w14:textId="77777777" w:rsidR="00451CC2" w:rsidRPr="00A746D8" w:rsidRDefault="00451CC2" w:rsidP="009D64B1">
            <w:pPr>
              <w:pStyle w:val="Tabletext"/>
              <w:rPr>
                <w:rFonts w:eastAsia="Calibri"/>
              </w:rPr>
            </w:pPr>
            <w:r w:rsidRPr="00A746D8">
              <w:rPr>
                <w:rFonts w:eastAsia="Calibri"/>
              </w:rPr>
              <w:t>2024.CSR2.1</w:t>
            </w:r>
          </w:p>
          <w:p w14:paraId="7915B36B" w14:textId="77777777" w:rsidR="00451CC2" w:rsidRPr="00A746D8" w:rsidRDefault="00451CC2" w:rsidP="009D64B1">
            <w:pPr>
              <w:pStyle w:val="Tabletext"/>
              <w:rPr>
                <w:rFonts w:eastAsia="Calibri"/>
              </w:rPr>
            </w:pPr>
            <w:r w:rsidRPr="00A746D8">
              <w:rPr>
                <w:rFonts w:eastAsia="Calibri"/>
              </w:rPr>
              <w:t>2024.CSR1.7</w:t>
            </w:r>
          </w:p>
          <w:p w14:paraId="50910C8D" w14:textId="77777777" w:rsidR="00451CC2" w:rsidRPr="00A746D8" w:rsidRDefault="00451CC2" w:rsidP="009D64B1">
            <w:pPr>
              <w:pStyle w:val="Tabletext"/>
              <w:rPr>
                <w:rFonts w:eastAsia="Calibri"/>
              </w:rPr>
            </w:pPr>
            <w:r w:rsidRPr="00A746D8">
              <w:rPr>
                <w:rFonts w:eastAsia="Calibri"/>
              </w:rPr>
              <w:t>2022.CSR2.3</w:t>
            </w:r>
          </w:p>
          <w:p w14:paraId="679B60A7" w14:textId="77777777" w:rsidR="00451CC2" w:rsidRPr="00A746D8" w:rsidRDefault="00451CC2" w:rsidP="009D64B1">
            <w:pPr>
              <w:pStyle w:val="Tabletext"/>
              <w:rPr>
                <w:rFonts w:eastAsia="Calibri"/>
              </w:rPr>
            </w:pPr>
            <w:r w:rsidRPr="00A746D8">
              <w:rPr>
                <w:rFonts w:eastAsia="Calibri"/>
              </w:rPr>
              <w:t>2020.CSR2.2</w:t>
            </w:r>
          </w:p>
          <w:p w14:paraId="4ED7C1EE" w14:textId="77777777" w:rsidR="00451CC2" w:rsidRPr="00A746D8" w:rsidRDefault="00451CC2" w:rsidP="009D64B1">
            <w:pPr>
              <w:pStyle w:val="Tabletext"/>
              <w:rPr>
                <w:rFonts w:eastAsia="Calibri"/>
              </w:rPr>
            </w:pPr>
            <w:r w:rsidRPr="00A746D8">
              <w:rPr>
                <w:rFonts w:eastAsia="Calibri"/>
              </w:rPr>
              <w:t>2020.CSR3.9</w:t>
            </w:r>
          </w:p>
          <w:p w14:paraId="4637AA71" w14:textId="77777777" w:rsidR="00451CC2" w:rsidRPr="00A746D8" w:rsidRDefault="00451CC2" w:rsidP="009D64B1">
            <w:pPr>
              <w:pStyle w:val="Tabletext"/>
              <w:rPr>
                <w:rFonts w:eastAsia="Calibri"/>
              </w:rPr>
            </w:pPr>
            <w:r w:rsidRPr="00A746D8">
              <w:rPr>
                <w:rFonts w:eastAsia="Calibri"/>
              </w:rPr>
              <w:t>2020.CSR3.8</w:t>
            </w:r>
          </w:p>
          <w:p w14:paraId="609288DD" w14:textId="77777777" w:rsidR="00451CC2" w:rsidRPr="00A746D8" w:rsidRDefault="00451CC2" w:rsidP="009D64B1">
            <w:pPr>
              <w:pStyle w:val="Tabletext"/>
              <w:rPr>
                <w:rFonts w:eastAsia="Calibri"/>
              </w:rPr>
            </w:pPr>
            <w:r w:rsidRPr="00A746D8">
              <w:rPr>
                <w:rFonts w:eastAsia="Calibri"/>
              </w:rPr>
              <w:t>2019.CSR2.3</w:t>
            </w:r>
          </w:p>
          <w:p w14:paraId="709981FD" w14:textId="77777777" w:rsidR="00451CC2" w:rsidRPr="00A746D8" w:rsidRDefault="00451CC2" w:rsidP="009D64B1">
            <w:pPr>
              <w:pStyle w:val="Tabletext"/>
              <w:rPr>
                <w:rFonts w:eastAsia="Calibri"/>
              </w:rPr>
            </w:pPr>
            <w:r w:rsidRPr="00A746D8">
              <w:rPr>
                <w:rFonts w:eastAsia="Calibri"/>
              </w:rPr>
              <w:t>2019.CSR2.7</w:t>
            </w:r>
          </w:p>
          <w:p w14:paraId="4C1CC2D7" w14:textId="77777777" w:rsidR="00451CC2" w:rsidRPr="00A746D8" w:rsidRDefault="00451CC2" w:rsidP="009D64B1">
            <w:pPr>
              <w:pStyle w:val="Tabletext"/>
              <w:rPr>
                <w:rFonts w:eastAsia="Calibri"/>
              </w:rPr>
            </w:pPr>
            <w:r w:rsidRPr="00A746D8">
              <w:rPr>
                <w:rFonts w:eastAsia="Calibri"/>
              </w:rPr>
              <w:t>2019.CSR2.6</w:t>
            </w:r>
          </w:p>
        </w:tc>
        <w:tc>
          <w:tcPr>
            <w:tcW w:w="1537" w:type="dxa"/>
            <w:tcMar>
              <w:top w:w="0" w:type="dxa"/>
              <w:left w:w="40" w:type="dxa"/>
              <w:bottom w:w="0" w:type="dxa"/>
              <w:right w:w="40" w:type="dxa"/>
            </w:tcMar>
            <w:vAlign w:val="center"/>
          </w:tcPr>
          <w:p w14:paraId="066B9CBB" w14:textId="77777777" w:rsidR="00451CC2" w:rsidRDefault="00451CC2" w:rsidP="009D64B1">
            <w:pPr>
              <w:pStyle w:val="Tabletext"/>
              <w:rPr>
                <w:rFonts w:eastAsia="Calibri"/>
              </w:rPr>
            </w:pPr>
            <w:r>
              <w:rPr>
                <w:rFonts w:eastAsia="Calibri"/>
              </w:rPr>
              <w:t>Social and Economic resilience</w:t>
            </w:r>
          </w:p>
        </w:tc>
        <w:tc>
          <w:tcPr>
            <w:tcW w:w="1276" w:type="dxa"/>
            <w:tcMar>
              <w:top w:w="40" w:type="dxa"/>
              <w:left w:w="40" w:type="dxa"/>
              <w:bottom w:w="40" w:type="dxa"/>
              <w:right w:w="40" w:type="dxa"/>
            </w:tcMar>
            <w:vAlign w:val="center"/>
          </w:tcPr>
          <w:p w14:paraId="6968779D" w14:textId="77777777" w:rsidR="00451CC2" w:rsidRDefault="00451CC2" w:rsidP="009D64B1">
            <w:pPr>
              <w:pStyle w:val="Tabletext"/>
              <w:rPr>
                <w:rFonts w:eastAsia="Calibri"/>
              </w:rPr>
            </w:pPr>
            <w:r>
              <w:rPr>
                <w:rFonts w:eastAsia="Calibri"/>
              </w:rPr>
              <w:t>Delayed</w:t>
            </w:r>
          </w:p>
        </w:tc>
      </w:tr>
      <w:tr w:rsidR="00451CC2" w14:paraId="25336B66" w14:textId="77777777" w:rsidTr="00CF4448">
        <w:trPr>
          <w:trHeight w:val="170"/>
          <w:jc w:val="center"/>
        </w:trPr>
        <w:tc>
          <w:tcPr>
            <w:tcW w:w="2969" w:type="dxa"/>
            <w:tcMar>
              <w:top w:w="0" w:type="dxa"/>
              <w:left w:w="40" w:type="dxa"/>
              <w:bottom w:w="0" w:type="dxa"/>
              <w:right w:w="40" w:type="dxa"/>
            </w:tcMar>
            <w:vAlign w:val="center"/>
          </w:tcPr>
          <w:p w14:paraId="0ED834C0" w14:textId="77777777" w:rsidR="00451CC2" w:rsidRPr="00A746D8" w:rsidRDefault="00540671" w:rsidP="009D64B1">
            <w:pPr>
              <w:pStyle w:val="Tabletext"/>
              <w:rPr>
                <w:rFonts w:eastAsia="Calibri"/>
              </w:rPr>
            </w:pPr>
            <w:r w:rsidRPr="00540671">
              <w:rPr>
                <w:rFonts w:eastAsia="Calibri"/>
                <w:b/>
              </w:rPr>
              <w:t>INVESTMENT 3:</w:t>
            </w:r>
            <w:r w:rsidR="00451CC2" w:rsidRPr="00A746D8">
              <w:rPr>
                <w:rFonts w:eastAsia="Calibri"/>
              </w:rPr>
              <w:t xml:space="preserve"> Digital transformation of the public employment service (DYPA)</w:t>
            </w:r>
          </w:p>
        </w:tc>
        <w:tc>
          <w:tcPr>
            <w:tcW w:w="1408" w:type="dxa"/>
            <w:tcMar>
              <w:top w:w="0" w:type="dxa"/>
              <w:left w:w="40" w:type="dxa"/>
              <w:bottom w:w="0" w:type="dxa"/>
              <w:right w:w="40" w:type="dxa"/>
            </w:tcMar>
            <w:vAlign w:val="center"/>
          </w:tcPr>
          <w:p w14:paraId="176C5FED" w14:textId="77777777" w:rsidR="00451CC2" w:rsidRDefault="00451CC2" w:rsidP="009D64B1">
            <w:pPr>
              <w:pStyle w:val="Tabletext"/>
              <w:rPr>
                <w:rFonts w:eastAsia="Calibri"/>
              </w:rPr>
            </w:pPr>
            <w:r>
              <w:rPr>
                <w:rFonts w:eastAsia="Calibri"/>
              </w:rPr>
              <w:t>RRF 16942</w:t>
            </w:r>
          </w:p>
        </w:tc>
        <w:tc>
          <w:tcPr>
            <w:tcW w:w="1732" w:type="dxa"/>
            <w:tcMar>
              <w:top w:w="0" w:type="dxa"/>
              <w:left w:w="40" w:type="dxa"/>
              <w:bottom w:w="0" w:type="dxa"/>
              <w:right w:w="40" w:type="dxa"/>
            </w:tcMar>
            <w:vAlign w:val="center"/>
          </w:tcPr>
          <w:p w14:paraId="33A8C716" w14:textId="77777777" w:rsidR="00451CC2" w:rsidRPr="00A746D8" w:rsidRDefault="00451CC2" w:rsidP="009D64B1">
            <w:pPr>
              <w:pStyle w:val="Tabletext"/>
              <w:rPr>
                <w:rFonts w:eastAsia="Calibri"/>
              </w:rPr>
            </w:pPr>
            <w:r w:rsidRPr="00A746D8">
              <w:rPr>
                <w:rFonts w:eastAsia="Calibri"/>
              </w:rPr>
              <w:t>2025.CSR1.1</w:t>
            </w:r>
          </w:p>
          <w:p w14:paraId="6CEA7579" w14:textId="77777777" w:rsidR="00451CC2" w:rsidRPr="00A746D8" w:rsidRDefault="00451CC2" w:rsidP="009D64B1">
            <w:pPr>
              <w:pStyle w:val="Tabletext"/>
              <w:rPr>
                <w:rFonts w:eastAsia="Calibri"/>
              </w:rPr>
            </w:pPr>
            <w:r w:rsidRPr="00A746D8">
              <w:rPr>
                <w:rFonts w:eastAsia="Calibri"/>
              </w:rPr>
              <w:t>2024.CSR1.7</w:t>
            </w:r>
          </w:p>
          <w:p w14:paraId="79A9A508" w14:textId="77777777" w:rsidR="00451CC2" w:rsidRPr="00A746D8" w:rsidRDefault="00451CC2" w:rsidP="009D64B1">
            <w:pPr>
              <w:pStyle w:val="Tabletext"/>
              <w:rPr>
                <w:rFonts w:eastAsia="Calibri"/>
              </w:rPr>
            </w:pPr>
            <w:r w:rsidRPr="00A746D8">
              <w:rPr>
                <w:rFonts w:eastAsia="Calibri"/>
              </w:rPr>
              <w:t>2024.CSR2.1</w:t>
            </w:r>
          </w:p>
          <w:p w14:paraId="7C2D0A54" w14:textId="77777777" w:rsidR="00451CC2" w:rsidRPr="00A746D8" w:rsidRDefault="00451CC2" w:rsidP="009D64B1">
            <w:pPr>
              <w:pStyle w:val="Tabletext"/>
              <w:rPr>
                <w:rFonts w:eastAsia="Calibri"/>
              </w:rPr>
            </w:pPr>
            <w:r w:rsidRPr="00A746D8">
              <w:rPr>
                <w:rFonts w:eastAsia="Calibri"/>
              </w:rPr>
              <w:t>2020.CSR3.9</w:t>
            </w:r>
          </w:p>
          <w:p w14:paraId="66F24468" w14:textId="77777777" w:rsidR="00451CC2" w:rsidRPr="00A746D8" w:rsidRDefault="00451CC2" w:rsidP="009D64B1">
            <w:pPr>
              <w:pStyle w:val="Tabletext"/>
              <w:rPr>
                <w:rFonts w:eastAsia="Calibri"/>
              </w:rPr>
            </w:pPr>
            <w:r w:rsidRPr="00A746D8">
              <w:rPr>
                <w:rFonts w:eastAsia="Calibri"/>
              </w:rPr>
              <w:t>2020.CSR2.2</w:t>
            </w:r>
          </w:p>
          <w:p w14:paraId="7737286A" w14:textId="77777777" w:rsidR="00451CC2" w:rsidRDefault="00451CC2" w:rsidP="009D64B1">
            <w:pPr>
              <w:pStyle w:val="Tabletext"/>
              <w:rPr>
                <w:rFonts w:eastAsia="Calibri"/>
              </w:rPr>
            </w:pPr>
            <w:r>
              <w:rPr>
                <w:rFonts w:eastAsia="Calibri"/>
              </w:rPr>
              <w:t>2020.CSR3.8</w:t>
            </w:r>
          </w:p>
          <w:p w14:paraId="1A165429" w14:textId="77777777" w:rsidR="00451CC2" w:rsidRDefault="00451CC2" w:rsidP="009D64B1">
            <w:pPr>
              <w:pStyle w:val="Tabletext"/>
              <w:rPr>
                <w:rFonts w:eastAsia="Calibri"/>
              </w:rPr>
            </w:pPr>
            <w:r>
              <w:rPr>
                <w:rFonts w:eastAsia="Calibri"/>
              </w:rPr>
              <w:t>2019.CSR2.3</w:t>
            </w:r>
          </w:p>
          <w:p w14:paraId="65A760DD" w14:textId="77777777" w:rsidR="00451CC2" w:rsidRDefault="00451CC2" w:rsidP="009D64B1">
            <w:pPr>
              <w:pStyle w:val="Tabletext"/>
              <w:rPr>
                <w:rFonts w:eastAsia="Calibri"/>
              </w:rPr>
            </w:pPr>
            <w:r>
              <w:rPr>
                <w:rFonts w:eastAsia="Calibri"/>
              </w:rPr>
              <w:t>2019.CSR2.7</w:t>
            </w:r>
          </w:p>
          <w:p w14:paraId="613BF26C" w14:textId="77777777" w:rsidR="00451CC2" w:rsidRDefault="00451CC2" w:rsidP="009D64B1">
            <w:pPr>
              <w:pStyle w:val="Tabletext"/>
              <w:rPr>
                <w:rFonts w:eastAsia="Calibri"/>
              </w:rPr>
            </w:pPr>
            <w:r>
              <w:rPr>
                <w:rFonts w:eastAsia="Calibri"/>
              </w:rPr>
              <w:t>2019.CSR2.6</w:t>
            </w:r>
          </w:p>
        </w:tc>
        <w:tc>
          <w:tcPr>
            <w:tcW w:w="1537" w:type="dxa"/>
            <w:tcMar>
              <w:top w:w="0" w:type="dxa"/>
              <w:left w:w="40" w:type="dxa"/>
              <w:bottom w:w="0" w:type="dxa"/>
              <w:right w:w="40" w:type="dxa"/>
            </w:tcMar>
            <w:vAlign w:val="center"/>
          </w:tcPr>
          <w:p w14:paraId="53D007E7" w14:textId="77777777" w:rsidR="00451CC2" w:rsidRDefault="00451CC2" w:rsidP="009D64B1">
            <w:pPr>
              <w:pStyle w:val="Tabletext"/>
              <w:rPr>
                <w:rFonts w:eastAsia="Calibri"/>
              </w:rPr>
            </w:pPr>
            <w:r>
              <w:rPr>
                <w:rFonts w:eastAsia="Calibri"/>
              </w:rPr>
              <w:t>Fair green &amp; digital transition</w:t>
            </w:r>
          </w:p>
        </w:tc>
        <w:tc>
          <w:tcPr>
            <w:tcW w:w="1276" w:type="dxa"/>
            <w:tcMar>
              <w:top w:w="40" w:type="dxa"/>
              <w:left w:w="40" w:type="dxa"/>
              <w:bottom w:w="40" w:type="dxa"/>
              <w:right w:w="40" w:type="dxa"/>
            </w:tcMar>
            <w:vAlign w:val="center"/>
          </w:tcPr>
          <w:p w14:paraId="6ECC0D9E" w14:textId="77777777" w:rsidR="00451CC2" w:rsidRDefault="00451CC2" w:rsidP="009D64B1">
            <w:pPr>
              <w:pStyle w:val="Tabletext"/>
              <w:rPr>
                <w:rFonts w:eastAsia="Calibri"/>
              </w:rPr>
            </w:pPr>
            <w:r>
              <w:rPr>
                <w:rFonts w:eastAsia="Calibri"/>
              </w:rPr>
              <w:t>On track</w:t>
            </w:r>
          </w:p>
        </w:tc>
      </w:tr>
      <w:tr w:rsidR="00451CC2" w14:paraId="17F07D45" w14:textId="77777777" w:rsidTr="00CF4448">
        <w:trPr>
          <w:trHeight w:val="170"/>
          <w:jc w:val="center"/>
        </w:trPr>
        <w:tc>
          <w:tcPr>
            <w:tcW w:w="2969" w:type="dxa"/>
            <w:tcMar>
              <w:top w:w="0" w:type="dxa"/>
              <w:left w:w="40" w:type="dxa"/>
              <w:bottom w:w="0" w:type="dxa"/>
              <w:right w:w="40" w:type="dxa"/>
            </w:tcMar>
            <w:vAlign w:val="center"/>
          </w:tcPr>
          <w:p w14:paraId="40ABEB6A" w14:textId="77777777" w:rsidR="00451CC2" w:rsidRPr="00A746D8" w:rsidRDefault="00540671" w:rsidP="009D64B1">
            <w:pPr>
              <w:pStyle w:val="Tabletext"/>
              <w:rPr>
                <w:rFonts w:eastAsia="Calibri"/>
              </w:rPr>
            </w:pPr>
            <w:r w:rsidRPr="00540671">
              <w:rPr>
                <w:rFonts w:eastAsia="Calibri"/>
                <w:b/>
              </w:rPr>
              <w:t>INVESTMENT 4:</w:t>
            </w:r>
            <w:r w:rsidR="00451CC2" w:rsidRPr="00A746D8">
              <w:rPr>
                <w:rFonts w:eastAsia="Calibri"/>
              </w:rPr>
              <w:t xml:space="preserve"> Mechanism of labour market diagnosis</w:t>
            </w:r>
          </w:p>
          <w:p w14:paraId="1E7326AA" w14:textId="77777777" w:rsidR="00451CC2" w:rsidRPr="00A746D8" w:rsidRDefault="00451CC2" w:rsidP="009D64B1">
            <w:pPr>
              <w:pStyle w:val="Tabletext"/>
              <w:rPr>
                <w:rFonts w:eastAsia="Calibri"/>
              </w:rPr>
            </w:pPr>
            <w:r w:rsidRPr="00A746D8">
              <w:rPr>
                <w:rFonts w:eastAsia="Calibri"/>
              </w:rPr>
              <w:t xml:space="preserve"> </w:t>
            </w:r>
          </w:p>
        </w:tc>
        <w:tc>
          <w:tcPr>
            <w:tcW w:w="1408" w:type="dxa"/>
            <w:tcMar>
              <w:top w:w="0" w:type="dxa"/>
              <w:left w:w="40" w:type="dxa"/>
              <w:bottom w:w="0" w:type="dxa"/>
              <w:right w:w="40" w:type="dxa"/>
            </w:tcMar>
            <w:vAlign w:val="center"/>
          </w:tcPr>
          <w:p w14:paraId="429F037A" w14:textId="77777777" w:rsidR="00451CC2" w:rsidRDefault="00451CC2" w:rsidP="009D64B1">
            <w:pPr>
              <w:pStyle w:val="Tabletext"/>
              <w:rPr>
                <w:rFonts w:eastAsia="Calibri"/>
              </w:rPr>
            </w:pPr>
            <w:r>
              <w:rPr>
                <w:rFonts w:eastAsia="Calibri"/>
              </w:rPr>
              <w:t>MFF</w:t>
            </w:r>
          </w:p>
        </w:tc>
        <w:tc>
          <w:tcPr>
            <w:tcW w:w="1732" w:type="dxa"/>
            <w:tcMar>
              <w:top w:w="0" w:type="dxa"/>
              <w:left w:w="40" w:type="dxa"/>
              <w:bottom w:w="0" w:type="dxa"/>
              <w:right w:w="40" w:type="dxa"/>
            </w:tcMar>
            <w:vAlign w:val="center"/>
          </w:tcPr>
          <w:p w14:paraId="6955303E" w14:textId="77777777" w:rsidR="00451CC2" w:rsidRPr="00A746D8" w:rsidRDefault="00451CC2" w:rsidP="009D64B1">
            <w:pPr>
              <w:pStyle w:val="Tabletext"/>
              <w:rPr>
                <w:rFonts w:eastAsia="Calibri"/>
              </w:rPr>
            </w:pPr>
            <w:r w:rsidRPr="00A746D8">
              <w:rPr>
                <w:rFonts w:eastAsia="Calibri"/>
              </w:rPr>
              <w:t>2025.CSR5.5</w:t>
            </w:r>
          </w:p>
          <w:p w14:paraId="04289AF6" w14:textId="77777777" w:rsidR="00451CC2" w:rsidRPr="00A746D8" w:rsidRDefault="00451CC2" w:rsidP="009D64B1">
            <w:pPr>
              <w:pStyle w:val="Tabletext"/>
              <w:rPr>
                <w:rFonts w:eastAsia="Calibri"/>
              </w:rPr>
            </w:pPr>
            <w:r w:rsidRPr="00A746D8">
              <w:rPr>
                <w:rFonts w:eastAsia="Calibri"/>
              </w:rPr>
              <w:t>2024 CSR 1.3</w:t>
            </w:r>
          </w:p>
          <w:p w14:paraId="24CD7A14" w14:textId="77777777" w:rsidR="00451CC2" w:rsidRPr="00A746D8" w:rsidRDefault="00451CC2" w:rsidP="009D64B1">
            <w:pPr>
              <w:pStyle w:val="Tabletext"/>
              <w:rPr>
                <w:rFonts w:eastAsia="Calibri"/>
              </w:rPr>
            </w:pPr>
            <w:r w:rsidRPr="00A746D8">
              <w:rPr>
                <w:rFonts w:eastAsia="Calibri"/>
              </w:rPr>
              <w:t>2020 CSR 3.8</w:t>
            </w:r>
          </w:p>
          <w:p w14:paraId="79D11945" w14:textId="77777777" w:rsidR="00451CC2" w:rsidRPr="00A746D8" w:rsidRDefault="00451CC2" w:rsidP="009D64B1">
            <w:pPr>
              <w:pStyle w:val="Tabletext"/>
              <w:rPr>
                <w:rFonts w:eastAsia="Calibri"/>
              </w:rPr>
            </w:pPr>
            <w:r w:rsidRPr="00A746D8">
              <w:rPr>
                <w:rFonts w:eastAsia="Calibri"/>
              </w:rPr>
              <w:t>2020 CSR 3.9</w:t>
            </w:r>
          </w:p>
          <w:p w14:paraId="65C35B42" w14:textId="77777777" w:rsidR="00451CC2" w:rsidRPr="00A746D8" w:rsidRDefault="00451CC2" w:rsidP="009D64B1">
            <w:pPr>
              <w:pStyle w:val="Tabletext"/>
              <w:rPr>
                <w:rFonts w:eastAsia="Calibri"/>
              </w:rPr>
            </w:pPr>
            <w:r w:rsidRPr="00A746D8">
              <w:rPr>
                <w:rFonts w:eastAsia="Calibri"/>
              </w:rPr>
              <w:t>2019 CSR 2.3</w:t>
            </w:r>
          </w:p>
          <w:p w14:paraId="1290E219" w14:textId="77777777" w:rsidR="00451CC2" w:rsidRDefault="00451CC2" w:rsidP="009D64B1">
            <w:pPr>
              <w:pStyle w:val="Tabletext"/>
              <w:rPr>
                <w:rFonts w:eastAsia="Calibri"/>
              </w:rPr>
            </w:pPr>
            <w:r>
              <w:rPr>
                <w:rFonts w:eastAsia="Calibri"/>
              </w:rPr>
              <w:t>2019 CSR 2.7</w:t>
            </w:r>
          </w:p>
        </w:tc>
        <w:tc>
          <w:tcPr>
            <w:tcW w:w="1537" w:type="dxa"/>
            <w:tcMar>
              <w:top w:w="0" w:type="dxa"/>
              <w:left w:w="40" w:type="dxa"/>
              <w:bottom w:w="0" w:type="dxa"/>
              <w:right w:w="40" w:type="dxa"/>
            </w:tcMar>
            <w:vAlign w:val="center"/>
          </w:tcPr>
          <w:p w14:paraId="5B3E9ADE" w14:textId="77777777" w:rsidR="00451CC2" w:rsidRDefault="00451CC2" w:rsidP="009D64B1">
            <w:pPr>
              <w:pStyle w:val="Tabletext"/>
              <w:rPr>
                <w:rFonts w:eastAsia="Calibri"/>
              </w:rPr>
            </w:pPr>
            <w:r>
              <w:rPr>
                <w:rFonts w:eastAsia="Calibri"/>
              </w:rPr>
              <w:t>Social and Economic resilience</w:t>
            </w:r>
          </w:p>
        </w:tc>
        <w:tc>
          <w:tcPr>
            <w:tcW w:w="1276" w:type="dxa"/>
            <w:tcMar>
              <w:top w:w="40" w:type="dxa"/>
              <w:left w:w="40" w:type="dxa"/>
              <w:bottom w:w="40" w:type="dxa"/>
              <w:right w:w="40" w:type="dxa"/>
            </w:tcMar>
            <w:vAlign w:val="center"/>
          </w:tcPr>
          <w:p w14:paraId="0BC822EC" w14:textId="77777777" w:rsidR="00451CC2" w:rsidRDefault="00451CC2" w:rsidP="009D64B1">
            <w:pPr>
              <w:pStyle w:val="Tabletext"/>
              <w:rPr>
                <w:rFonts w:eastAsia="Calibri"/>
              </w:rPr>
            </w:pPr>
            <w:r>
              <w:rPr>
                <w:rFonts w:eastAsia="Calibri"/>
              </w:rPr>
              <w:t>On track</w:t>
            </w:r>
          </w:p>
        </w:tc>
      </w:tr>
      <w:tr w:rsidR="00451CC2" w14:paraId="6029B9ED" w14:textId="77777777" w:rsidTr="00CF4448">
        <w:trPr>
          <w:trHeight w:val="170"/>
          <w:jc w:val="center"/>
        </w:trPr>
        <w:tc>
          <w:tcPr>
            <w:tcW w:w="2969" w:type="dxa"/>
            <w:tcMar>
              <w:top w:w="0" w:type="dxa"/>
              <w:left w:w="40" w:type="dxa"/>
              <w:bottom w:w="0" w:type="dxa"/>
              <w:right w:w="40" w:type="dxa"/>
            </w:tcMar>
            <w:vAlign w:val="center"/>
          </w:tcPr>
          <w:p w14:paraId="00028920" w14:textId="77777777" w:rsidR="00451CC2" w:rsidRPr="00A746D8" w:rsidRDefault="00540671" w:rsidP="009D64B1">
            <w:pPr>
              <w:pStyle w:val="Tabletext"/>
              <w:rPr>
                <w:rFonts w:eastAsia="Calibri"/>
              </w:rPr>
            </w:pPr>
            <w:r w:rsidRPr="00540671">
              <w:rPr>
                <w:rFonts w:eastAsia="Calibri"/>
                <w:b/>
              </w:rPr>
              <w:t>INVESTMENT 5:</w:t>
            </w:r>
            <w:r w:rsidR="00451CC2" w:rsidRPr="00A746D8">
              <w:rPr>
                <w:rFonts w:eastAsia="Calibri"/>
              </w:rPr>
              <w:t xml:space="preserve"> Gaining professional/work experience for unemployed people aged 30 and over, through open-type programmes</w:t>
            </w:r>
          </w:p>
        </w:tc>
        <w:tc>
          <w:tcPr>
            <w:tcW w:w="1408" w:type="dxa"/>
            <w:tcMar>
              <w:top w:w="0" w:type="dxa"/>
              <w:left w:w="40" w:type="dxa"/>
              <w:bottom w:w="0" w:type="dxa"/>
              <w:right w:w="40" w:type="dxa"/>
            </w:tcMar>
            <w:vAlign w:val="center"/>
          </w:tcPr>
          <w:p w14:paraId="7C5347EB" w14:textId="77777777" w:rsidR="00451CC2" w:rsidRDefault="00451CC2" w:rsidP="009D64B1">
            <w:pPr>
              <w:pStyle w:val="Tabletext"/>
              <w:rPr>
                <w:rFonts w:eastAsia="Calibri"/>
              </w:rPr>
            </w:pPr>
            <w:r>
              <w:rPr>
                <w:rFonts w:eastAsia="Calibri"/>
              </w:rPr>
              <w:t>MFF</w:t>
            </w:r>
          </w:p>
        </w:tc>
        <w:tc>
          <w:tcPr>
            <w:tcW w:w="1732" w:type="dxa"/>
            <w:tcMar>
              <w:top w:w="0" w:type="dxa"/>
              <w:left w:w="40" w:type="dxa"/>
              <w:bottom w:w="0" w:type="dxa"/>
              <w:right w:w="40" w:type="dxa"/>
            </w:tcMar>
            <w:vAlign w:val="center"/>
          </w:tcPr>
          <w:p w14:paraId="21FB0486" w14:textId="77777777" w:rsidR="00451CC2" w:rsidRDefault="00451CC2" w:rsidP="009D64B1">
            <w:pPr>
              <w:pStyle w:val="Tabletext"/>
              <w:rPr>
                <w:rFonts w:eastAsia="Calibri"/>
              </w:rPr>
            </w:pPr>
            <w:r>
              <w:rPr>
                <w:rFonts w:eastAsia="Calibri"/>
              </w:rPr>
              <w:t>2025.CSR5.4</w:t>
            </w:r>
          </w:p>
          <w:p w14:paraId="35E95D93" w14:textId="77777777" w:rsidR="00451CC2" w:rsidRDefault="00451CC2" w:rsidP="009D64B1">
            <w:pPr>
              <w:pStyle w:val="Tabletext"/>
              <w:rPr>
                <w:rFonts w:eastAsia="Calibri"/>
              </w:rPr>
            </w:pPr>
            <w:r>
              <w:rPr>
                <w:rFonts w:eastAsia="Calibri"/>
              </w:rPr>
              <w:t>2020 CSR 3.8</w:t>
            </w:r>
          </w:p>
          <w:p w14:paraId="54B7A286" w14:textId="77777777" w:rsidR="00451CC2" w:rsidRDefault="00451CC2" w:rsidP="009D64B1">
            <w:pPr>
              <w:pStyle w:val="Tabletext"/>
              <w:rPr>
                <w:rFonts w:eastAsia="Calibri"/>
              </w:rPr>
            </w:pPr>
            <w:r>
              <w:rPr>
                <w:rFonts w:eastAsia="Calibri"/>
              </w:rPr>
              <w:t>2019 CSR 2.7</w:t>
            </w:r>
          </w:p>
        </w:tc>
        <w:tc>
          <w:tcPr>
            <w:tcW w:w="1537" w:type="dxa"/>
            <w:tcMar>
              <w:top w:w="0" w:type="dxa"/>
              <w:left w:w="40" w:type="dxa"/>
              <w:bottom w:w="0" w:type="dxa"/>
              <w:right w:w="40" w:type="dxa"/>
            </w:tcMar>
            <w:vAlign w:val="center"/>
          </w:tcPr>
          <w:p w14:paraId="23E2CB85" w14:textId="77777777" w:rsidR="00451CC2" w:rsidRDefault="00451CC2" w:rsidP="009D64B1">
            <w:pPr>
              <w:pStyle w:val="Tabletext"/>
              <w:rPr>
                <w:rFonts w:eastAsia="Calibri"/>
              </w:rPr>
            </w:pPr>
            <w:r>
              <w:rPr>
                <w:rFonts w:eastAsia="Calibri"/>
              </w:rPr>
              <w:t>Social and Economic resilience</w:t>
            </w:r>
          </w:p>
        </w:tc>
        <w:tc>
          <w:tcPr>
            <w:tcW w:w="1276" w:type="dxa"/>
            <w:tcMar>
              <w:top w:w="40" w:type="dxa"/>
              <w:left w:w="40" w:type="dxa"/>
              <w:bottom w:w="40" w:type="dxa"/>
              <w:right w:w="40" w:type="dxa"/>
            </w:tcMar>
            <w:vAlign w:val="center"/>
          </w:tcPr>
          <w:p w14:paraId="4EA662D1" w14:textId="77777777" w:rsidR="00451CC2" w:rsidRDefault="00451CC2" w:rsidP="009D64B1">
            <w:pPr>
              <w:pStyle w:val="Tabletext"/>
              <w:rPr>
                <w:rFonts w:eastAsia="Calibri"/>
              </w:rPr>
            </w:pPr>
            <w:r>
              <w:rPr>
                <w:rFonts w:eastAsia="Calibri"/>
              </w:rPr>
              <w:t>On track</w:t>
            </w:r>
          </w:p>
        </w:tc>
      </w:tr>
    </w:tbl>
    <w:p w14:paraId="3BCE964F" w14:textId="77777777" w:rsidR="00451CC2" w:rsidRPr="00A746D8" w:rsidRDefault="00451CC2" w:rsidP="00CF4448">
      <w:pPr>
        <w:spacing w:before="240"/>
        <w:rPr>
          <w:lang w:val="en-US"/>
        </w:rPr>
      </w:pPr>
      <w:r w:rsidRPr="00A746D8">
        <w:rPr>
          <w:rFonts w:eastAsia="Calibri"/>
          <w:lang w:val="en-US"/>
        </w:rPr>
        <w:t xml:space="preserve">The </w:t>
      </w:r>
      <w:r w:rsidRPr="00A746D8">
        <w:rPr>
          <w:rFonts w:eastAsia="Calibri"/>
          <w:b/>
          <w:lang w:val="en-US"/>
        </w:rPr>
        <w:t>RRF investment “</w:t>
      </w:r>
      <w:r w:rsidRPr="00A746D8">
        <w:rPr>
          <w:rFonts w:eastAsia="Calibri"/>
          <w:b/>
          <w:bCs/>
          <w:lang w:val="en-US"/>
        </w:rPr>
        <w:t>ALMPs (Active Labour Market Policies)</w:t>
      </w:r>
      <w:r w:rsidRPr="00A746D8">
        <w:rPr>
          <w:rFonts w:eastAsia="Calibri"/>
          <w:b/>
          <w:lang w:val="en-US"/>
        </w:rPr>
        <w:t>”</w:t>
      </w:r>
      <w:r w:rsidRPr="00A746D8">
        <w:rPr>
          <w:rFonts w:eastAsia="Calibri"/>
          <w:lang w:val="en-US"/>
        </w:rPr>
        <w:t xml:space="preserve"> consists of six employment programs. Four of them have been completed, while the other two will be completed in April and in June 2026. More specifically (ref. date 03.04.2026): (1) as regards the Integrated Training and Employment Program for Unemployed Individuals aged 25 to 45, it has been completed, and a total of 7.207 beneficiaries have been hired. The program was introduced with JMD No. 79435/7.9.2023 (B’ 5363) and was implemented during the period April 2025-April 2026. Regarding the training component, the Continuing Vocational Training programs implemented under the project ‘Subsidy to DYPA for the implementation of the project: Integrated Training and Employment Action for unemployed persons aged 25 to 45’ (Action 16747) were completed by Decision No. 1127875/31.12.2025 of the Governor of DYPA; (2) Concerning the Targeted employment Program in critical areas of long-term unemployment (aged 45 and over), introduced with the JMD No. 78561/26.8.2022 (B’ 4529), the program is complete and a total </w:t>
      </w:r>
      <w:r w:rsidRPr="00A746D8">
        <w:rPr>
          <w:rFonts w:eastAsia="Calibri"/>
          <w:lang w:val="en-US"/>
        </w:rPr>
        <w:lastRenderedPageBreak/>
        <w:t>of 9.199 beneficiaries have been hired; (3) In relation to the Pre-employment program for unemployed young people aged 18 to 30 (introduced with the JMD No. 78564/26.8.2022 (B’ 4530), as amended by Decisions No. 111490/24.11.2022 (B’ 6018) and 111521/20.12.2023 (B’ 7203), it has been completed, and a total of 14.563 beneficiaries have been hired; (4) In relation to the Program for subsidizing businesses for the employment of unemployed individuals in the sectors of the green economy with emphasis on women, it has been completed, and a total of 6.421 beneficiaries have been hired. (JMDs No. 25179/9.3.2023 (B’ 1448) and 23562/10.9.2025 (B’ 4892); (5) Concerning the Grant Program for Businesses for the Employment of Unemployed Individuals Facing Barriers to their integration or reintegration into the Labor Market, it will be completed in April 2026. Up until now a total of 10.547 beneficiaries have been hired (JMDs No. 90097/29.9.2022 (</w:t>
      </w:r>
      <w:r w:rsidRPr="006A65BD">
        <w:rPr>
          <w:rFonts w:eastAsia="Calibri"/>
        </w:rPr>
        <w:t>Β</w:t>
      </w:r>
      <w:r w:rsidRPr="00A746D8">
        <w:rPr>
          <w:rFonts w:eastAsia="Calibri"/>
          <w:lang w:val="en-US"/>
        </w:rPr>
        <w:t>’ 5106), as amended by Decisions No. 25300/9.3.2023 (</w:t>
      </w:r>
      <w:r w:rsidRPr="006A65BD">
        <w:rPr>
          <w:rFonts w:eastAsia="Calibri"/>
        </w:rPr>
        <w:t>Β</w:t>
      </w:r>
      <w:r w:rsidRPr="00A746D8">
        <w:rPr>
          <w:rFonts w:eastAsia="Calibri"/>
          <w:lang w:val="en-US"/>
        </w:rPr>
        <w:t>’ 1602), 110291/15.12.2023 (</w:t>
      </w:r>
      <w:r w:rsidRPr="006A65BD">
        <w:rPr>
          <w:rFonts w:eastAsia="Calibri"/>
        </w:rPr>
        <w:t>Β</w:t>
      </w:r>
      <w:r w:rsidRPr="00A746D8">
        <w:rPr>
          <w:rFonts w:eastAsia="Calibri"/>
          <w:lang w:val="en-US"/>
        </w:rPr>
        <w:t xml:space="preserve">’ 7128) and subsequent related acts). Last, with regard to the Scale-up of open-framework pilot programs, the program will be completed in June 2026. Up until now a total of 1.988 beneficiaries have been hired, while 697 new businesses have been created. It was introduced with JMD No. 54781/27.12.2024 and was implemented during the period April 2025 – April 2026. The deadline for the completion of beneficiary certification was Monday, 6 April 2026. Additional active labour market policies include the “Special employment program for the hiring of 2,000 unemployed Persons with Disabilities in First Degree Local Authorities” (national funding) (JMD No. 21333/5.8.2025, </w:t>
      </w:r>
      <w:r w:rsidRPr="006A65BD">
        <w:rPr>
          <w:rFonts w:eastAsia="Calibri"/>
        </w:rPr>
        <w:t>Β΄</w:t>
      </w:r>
      <w:r w:rsidRPr="00A746D8">
        <w:rPr>
          <w:rFonts w:eastAsia="Calibri"/>
          <w:lang w:val="en-US"/>
        </w:rPr>
        <w:t xml:space="preserve"> 5007) and the “Training program for unemployed recipients of the Minimum Guaranteed Income and subsidy program for enterprises for the employment of these individuals” (JMD No. 43144/26.8.2024 (</w:t>
      </w:r>
      <w:r w:rsidRPr="006A65BD">
        <w:rPr>
          <w:rFonts w:eastAsia="Calibri"/>
        </w:rPr>
        <w:t>Β</w:t>
      </w:r>
      <w:r w:rsidRPr="00A746D8">
        <w:rPr>
          <w:rFonts w:eastAsia="Calibri"/>
          <w:lang w:val="en-US"/>
        </w:rPr>
        <w:t>’ 4907), amended with JMD No. 34130/29.12.2025 (</w:t>
      </w:r>
      <w:r w:rsidRPr="006A65BD">
        <w:rPr>
          <w:rFonts w:eastAsia="Calibri"/>
        </w:rPr>
        <w:t>Β</w:t>
      </w:r>
      <w:r w:rsidRPr="00A746D8">
        <w:rPr>
          <w:rFonts w:eastAsia="Calibri"/>
          <w:lang w:val="en-US"/>
        </w:rPr>
        <w:t>’ 7092, RRF funding)).</w:t>
      </w:r>
    </w:p>
    <w:p w14:paraId="7F692D09" w14:textId="77777777" w:rsidR="00451CC2" w:rsidRPr="00A746D8" w:rsidRDefault="00451CC2" w:rsidP="00D31D31">
      <w:pPr>
        <w:rPr>
          <w:rFonts w:eastAsia="Calibri"/>
          <w:strike/>
          <w:lang w:val="en-US"/>
        </w:rPr>
      </w:pPr>
      <w:r w:rsidRPr="00A746D8">
        <w:rPr>
          <w:rFonts w:eastAsia="Calibri"/>
          <w:lang w:val="en-US"/>
        </w:rPr>
        <w:t xml:space="preserve">The </w:t>
      </w:r>
      <w:r w:rsidRPr="00A746D8">
        <w:rPr>
          <w:rFonts w:eastAsia="Calibri"/>
          <w:b/>
          <w:lang w:val="en-US"/>
        </w:rPr>
        <w:t>RRF reform</w:t>
      </w:r>
      <w:r w:rsidRPr="00A746D8">
        <w:rPr>
          <w:rFonts w:eastAsia="Calibri"/>
          <w:lang w:val="en-US"/>
        </w:rPr>
        <w:t xml:space="preserve"> </w:t>
      </w:r>
      <w:r w:rsidRPr="00A746D8">
        <w:rPr>
          <w:rFonts w:eastAsia="Calibri"/>
          <w:b/>
          <w:bCs/>
          <w:lang w:val="en-US"/>
        </w:rPr>
        <w:t>“Strengthening the Apprenticeship System”</w:t>
      </w:r>
      <w:r w:rsidRPr="00A746D8">
        <w:rPr>
          <w:rFonts w:eastAsia="Calibri"/>
          <w:lang w:val="en-US"/>
        </w:rPr>
        <w:t xml:space="preserve"> aims to firmly reestablish the DYPA/PES EPAS (Apprenticeship Vocational Schools) as a core element of the government’s strategy for delivering effective vocational education and training (VET) and reducing youth unemployment. Thirty</w:t>
      </w:r>
      <w:r w:rsidRPr="00A746D8">
        <w:rPr>
          <w:rFonts w:ascii="Cambria Math" w:eastAsia="Calibri" w:hAnsi="Cambria Math" w:cs="Cambria Math"/>
          <w:lang w:val="en-US"/>
        </w:rPr>
        <w:t>‑</w:t>
      </w:r>
      <w:r w:rsidRPr="00A746D8">
        <w:rPr>
          <w:rFonts w:eastAsia="Calibri"/>
          <w:lang w:val="en-US"/>
        </w:rPr>
        <w:t>seven (37) Joint Ministerial Decisions for the approval of an equal number of Training Guides for the Apprenticeship Vocational Schools (EPAS) of the Public Employment Service (DYPA, pursuant to Law 4763/2020 (A’ 254) [Article 41 and paragraph 1 of Article 44] are already signed and published. The customization of the G Suite platform has been completed, and a tender (</w:t>
      </w:r>
      <w:proofErr w:type="spellStart"/>
      <w:r w:rsidRPr="006A65BD">
        <w:rPr>
          <w:rFonts w:eastAsia="Calibri"/>
        </w:rPr>
        <w:t>Νο</w:t>
      </w:r>
      <w:proofErr w:type="spellEnd"/>
      <w:r w:rsidRPr="00A746D8">
        <w:rPr>
          <w:rFonts w:eastAsia="Calibri"/>
          <w:lang w:val="en-US"/>
        </w:rPr>
        <w:t>. 29/25) has been issued for the project management of DYPA’s G Suite e-learning platform. In addition, the digitization of educational material (250 courses) to support DYPA’s e-learning platform is under implementation, following a tender procedure (</w:t>
      </w:r>
      <w:proofErr w:type="spellStart"/>
      <w:r w:rsidRPr="006A65BD">
        <w:rPr>
          <w:rFonts w:eastAsia="Calibri"/>
        </w:rPr>
        <w:t>Νο</w:t>
      </w:r>
      <w:proofErr w:type="spellEnd"/>
      <w:r w:rsidRPr="00A746D8">
        <w:rPr>
          <w:rFonts w:eastAsia="Calibri"/>
          <w:lang w:val="en-US"/>
        </w:rPr>
        <w:t xml:space="preserve">. 19/24). </w:t>
      </w:r>
      <w:r w:rsidRPr="006A65BD">
        <w:rPr>
          <w:rFonts w:eastAsia="Calibri"/>
        </w:rPr>
        <w:t>Τ</w:t>
      </w:r>
      <w:r w:rsidRPr="00A746D8">
        <w:rPr>
          <w:rFonts w:eastAsia="Calibri"/>
          <w:lang w:val="en-US"/>
        </w:rPr>
        <w:t>he development and installation of virtual reality training classrooms is, also, under implementation, following Tender No. 17/25, with a view to enhancing practical training and improving learning outcomes. The training of DYPA trainers in modern synchronous and asynchronous education and training methods (Action 16794.9) has been completed. From April 2024 until 2 January 2025, a total of 445 individuals were enrolled in the program of whom 236 were certified. The fourth cycle of the project ran until 28 February 2026 and included 171 participants.</w:t>
      </w:r>
    </w:p>
    <w:p w14:paraId="00F1B865" w14:textId="77777777" w:rsidR="00451CC2" w:rsidRPr="00A746D8" w:rsidRDefault="00451CC2" w:rsidP="00D31D31">
      <w:pPr>
        <w:rPr>
          <w:rFonts w:eastAsia="Calibri"/>
          <w:strike/>
          <w:lang w:val="en-US"/>
        </w:rPr>
      </w:pPr>
      <w:r w:rsidRPr="00A746D8">
        <w:rPr>
          <w:rFonts w:eastAsia="Calibri"/>
          <w:lang w:val="en-US"/>
        </w:rPr>
        <w:t xml:space="preserve">In the context of the </w:t>
      </w:r>
      <w:r w:rsidRPr="00A746D8">
        <w:rPr>
          <w:rFonts w:eastAsia="Calibri"/>
          <w:b/>
          <w:bCs/>
          <w:lang w:val="en-US"/>
        </w:rPr>
        <w:t>labor force skilling, reskilling, and upskilling reform</w:t>
      </w:r>
      <w:r w:rsidRPr="00A746D8">
        <w:rPr>
          <w:rFonts w:eastAsia="Calibri"/>
          <w:lang w:val="en-US"/>
        </w:rPr>
        <w:t xml:space="preserve">, DYPA/PES has already developed and implemented a VET Tracking Information System, aiming to enhance quality control within its vocational training units. Following a tender procedure (No.12/25), the development of study guides for DYPA’s Lifelong Learning Centers and Lifelong Learning Centers for Persons with Disabilities is under implementation. The project includes the updating and </w:t>
      </w:r>
      <w:r w:rsidRPr="00A746D8">
        <w:rPr>
          <w:rFonts w:eastAsia="Calibri"/>
          <w:lang w:val="en-US"/>
        </w:rPr>
        <w:lastRenderedPageBreak/>
        <w:t>redesign of existing training programme guides, as well as the development of guides for new programmes in occupations with high labour market demand, based on a study covering 30 such occupations, completed in the summer of 2024. The development of 160 hours digitized training content for DYPA’s Lifelong Learning Centers and Lifelong Learning Centres for Persons with disabilities is under tender procedure (No. 30/25). Moreover, under Public Call No. 641154/24.07.2025, training programmes in key growth sectors (Action 16792) were implemented, benefiting 24,060 participants in trade, exports, crafts and industry. In addition, studies were carried out to ensure that the training programmes are relevant and aligned with labour market needs, based on the mapping of job vacancies, in cooperation with sectoral stakeholders. Last, DYPA is also moving forward with the procurement and installation of equipment for 49 ICT laboratories within its schools, which is currently under tender procedure (</w:t>
      </w:r>
      <w:proofErr w:type="spellStart"/>
      <w:r w:rsidRPr="006A65BD">
        <w:rPr>
          <w:rFonts w:eastAsia="Calibri"/>
        </w:rPr>
        <w:t>Νο</w:t>
      </w:r>
      <w:proofErr w:type="spellEnd"/>
      <w:r w:rsidRPr="00A746D8">
        <w:rPr>
          <w:rFonts w:eastAsia="Calibri"/>
          <w:lang w:val="en-US"/>
        </w:rPr>
        <w:t xml:space="preserve">.27/25). </w:t>
      </w:r>
    </w:p>
    <w:p w14:paraId="543BB390" w14:textId="77777777" w:rsidR="00451CC2" w:rsidRPr="00A746D8" w:rsidRDefault="00451CC2" w:rsidP="00D31D31">
      <w:pPr>
        <w:rPr>
          <w:rFonts w:eastAsia="Calibri"/>
          <w:lang w:val="en-US"/>
        </w:rPr>
      </w:pPr>
      <w:r w:rsidRPr="00A746D8">
        <w:rPr>
          <w:rFonts w:eastAsia="Calibri"/>
          <w:lang w:val="en-US"/>
        </w:rPr>
        <w:t xml:space="preserve">The </w:t>
      </w:r>
      <w:r w:rsidRPr="00A746D8">
        <w:rPr>
          <w:rFonts w:eastAsia="Calibri"/>
          <w:b/>
          <w:lang w:val="en-US"/>
        </w:rPr>
        <w:t xml:space="preserve">reform </w:t>
      </w:r>
      <w:r w:rsidRPr="00A746D8">
        <w:rPr>
          <w:rFonts w:eastAsia="Calibri"/>
          <w:b/>
          <w:bCs/>
          <w:lang w:val="en-US"/>
        </w:rPr>
        <w:t xml:space="preserve">“A New Strategy for Lifelong Skilling: </w:t>
      </w:r>
      <w:proofErr w:type="spellStart"/>
      <w:r w:rsidRPr="00A746D8">
        <w:rPr>
          <w:rFonts w:eastAsia="Calibri"/>
          <w:b/>
          <w:bCs/>
          <w:lang w:val="en-US"/>
        </w:rPr>
        <w:t>Modernising</w:t>
      </w:r>
      <w:proofErr w:type="spellEnd"/>
      <w:r w:rsidRPr="00A746D8">
        <w:rPr>
          <w:rFonts w:eastAsia="Calibri"/>
          <w:b/>
          <w:bCs/>
          <w:lang w:val="en-US"/>
        </w:rPr>
        <w:t xml:space="preserve"> and Upgrading Greece’s Upskilling and Reskilling System”</w:t>
      </w:r>
      <w:r w:rsidRPr="00A746D8">
        <w:rPr>
          <w:rFonts w:eastAsia="Calibri"/>
          <w:lang w:val="en-US"/>
        </w:rPr>
        <w:t xml:space="preserve"> is reshaping the national framework for lifelong learning by enhancing the quality, accessibility, and labor market relevance of training opportunities. Eight (8) public calls have been launched for unemployed individuals and private sector employees, focusing on digital, green and financial literacy skills. To date, over 500,000 beneficiaries have been trained and certified. The  completion of both training and certification  is expected by end May 2026. </w:t>
      </w:r>
    </w:p>
    <w:p w14:paraId="11646FFC" w14:textId="77777777" w:rsidR="00451CC2" w:rsidRPr="00A746D8" w:rsidRDefault="00451CC2" w:rsidP="00D31D31">
      <w:pPr>
        <w:rPr>
          <w:rFonts w:eastAsia="Calibri"/>
          <w:lang w:val="en-US"/>
        </w:rPr>
      </w:pPr>
      <w:r w:rsidRPr="00A746D8">
        <w:rPr>
          <w:rFonts w:eastAsia="Calibri"/>
          <w:lang w:val="en-US"/>
        </w:rPr>
        <w:t xml:space="preserve">In the context of reforming the </w:t>
      </w:r>
      <w:r w:rsidRPr="00A746D8">
        <w:rPr>
          <w:rFonts w:eastAsia="Calibri"/>
          <w:b/>
          <w:bCs/>
          <w:lang w:val="en-US"/>
        </w:rPr>
        <w:t>passive labour market policies</w:t>
      </w:r>
      <w:r w:rsidRPr="00A746D8">
        <w:rPr>
          <w:rFonts w:eastAsia="Calibri"/>
          <w:lang w:val="en-US"/>
        </w:rPr>
        <w:t>, the unemployment benefit “pilot” project is being implemented in accordance with Joint Ministerial Decision 54427/20.12.2024 (B' 7047). It was officially launched on March 28, 2025. A total of 15,000 beneficiaries has been selected, through a special algorithm which guarantees that a total amount equal to or greater than the amount that would be paid under the existing subsidy system is paid under the pilot program. The aim is to create a new unemployment benefit adapted to the needs of the modern labour market, more effective, simpler and fairer to all. The pilot unemployment benefit can be granted for up to 24 months, depending on the beneficiary's insured days within the 74 months preceding unemployment (excluding the last two months), without counting days already used for previous regular unemployment benefits. The new unemployment benefit model consolidates the existing Standard Unemployment Benefit and Long-Term Unemployment Benefit and consists of three financial components: (a) Fixed Component: Provided to all beneficiaries, based on their minimum wage or previous earnings, (b) Variable Component: Provided based on the beneficiary's insurance history and earnings under specific conditions, (c) Allowances: Granted to all beneficiaries and include Christmas and Easter bonuses, as well as allowances for dependents and single-parent status. On April 1st, 2026, the "pilot" unemployment basic benefit was increased to</w:t>
      </w:r>
      <w:r w:rsidR="00741C54">
        <w:rPr>
          <w:rFonts w:eastAsia="Calibri"/>
          <w:lang w:val="en-US"/>
        </w:rPr>
        <w:t xml:space="preserve"> €</w:t>
      </w:r>
      <w:r w:rsidRPr="00A746D8">
        <w:rPr>
          <w:rFonts w:eastAsia="Calibri"/>
          <w:lang w:val="en-US"/>
        </w:rPr>
        <w:t xml:space="preserve">719.07 per month (from the previous basic amount set at </w:t>
      </w:r>
      <w:r w:rsidR="00741C54">
        <w:rPr>
          <w:rFonts w:eastAsia="Calibri"/>
          <w:lang w:val="en-US"/>
        </w:rPr>
        <w:t>€</w:t>
      </w:r>
      <w:r w:rsidRPr="00A746D8">
        <w:rPr>
          <w:rFonts w:eastAsia="Calibri"/>
          <w:lang w:val="en-US"/>
        </w:rPr>
        <w:t xml:space="preserve">687.75) according to the new statutory minimum wage (circular nr 280487/31.03.2026 of DYPA). This is also augmented by a variable amount, proportional to the years of work and earnings of the unemployed person. </w:t>
      </w:r>
    </w:p>
    <w:p w14:paraId="5528DF3A" w14:textId="77777777" w:rsidR="00451CC2" w:rsidRPr="00A746D8" w:rsidRDefault="00451CC2" w:rsidP="00D31D31">
      <w:pPr>
        <w:rPr>
          <w:rFonts w:eastAsia="Calibri"/>
          <w:lang w:val="en-US"/>
        </w:rPr>
      </w:pPr>
      <w:r w:rsidRPr="00A746D8">
        <w:rPr>
          <w:rFonts w:eastAsia="Calibri"/>
          <w:lang w:val="en-US"/>
        </w:rPr>
        <w:t xml:space="preserve">With reference to the investment on </w:t>
      </w:r>
      <w:r w:rsidRPr="00A746D8">
        <w:rPr>
          <w:rFonts w:eastAsia="Calibri"/>
          <w:b/>
          <w:lang w:val="en-US"/>
        </w:rPr>
        <w:t>“</w:t>
      </w:r>
      <w:r w:rsidRPr="00A746D8">
        <w:rPr>
          <w:rFonts w:eastAsia="Calibri"/>
          <w:b/>
          <w:bCs/>
          <w:lang w:val="en-US"/>
        </w:rPr>
        <w:t>Digital Transformation of Labour Systems”</w:t>
      </w:r>
      <w:r w:rsidRPr="00A746D8">
        <w:rPr>
          <w:rFonts w:eastAsia="Calibri"/>
          <w:lang w:val="en-US"/>
        </w:rPr>
        <w:t>, the project “digitization of insurance history” by e-EFKA is underway and will be completed by 30/06/2026 (MD 53095/1-4-2026). The</w:t>
      </w:r>
      <w:r w:rsidRPr="006A65BD">
        <w:rPr>
          <w:rFonts w:eastAsia="Calibri"/>
          <w:lang w:val="en-US"/>
        </w:rPr>
        <w:t xml:space="preserve"> same stands for the project</w:t>
      </w:r>
      <w:r w:rsidRPr="00A746D8">
        <w:rPr>
          <w:rFonts w:eastAsia="Calibri"/>
          <w:lang w:val="en-US"/>
        </w:rPr>
        <w:t xml:space="preserve"> “Development of the new Integrated Information System (IITS) of e-EFKA, upgrading of the digital pension award system "ATLAS" and </w:t>
      </w:r>
      <w:r w:rsidRPr="00A746D8">
        <w:rPr>
          <w:rFonts w:eastAsia="Calibri"/>
          <w:lang w:val="en-US"/>
        </w:rPr>
        <w:lastRenderedPageBreak/>
        <w:t>development of centralized management systems for e-EFKA” (MD 55364/3-4-2026). Regarding HERIDANOS (Information System for Occupational Health and Safety monitoring) the project has been delivered. An additional functionality (interoperability with OPS SEPE – Labour Inspectorate Information System) is implemented</w:t>
      </w:r>
      <w:r w:rsidRPr="006A65BD">
        <w:rPr>
          <w:rFonts w:eastAsia="Calibri"/>
          <w:lang w:val="en-US"/>
        </w:rPr>
        <w:t xml:space="preserve"> according to the timetable</w:t>
      </w:r>
      <w:r w:rsidRPr="00A746D8">
        <w:rPr>
          <w:rFonts w:eastAsia="Calibri"/>
          <w:lang w:val="en-US"/>
        </w:rPr>
        <w:t xml:space="preserve">. As far as ARIADNE (Single IT system for labour market monitoring - interconnection of the ERGANI IT system with EFKA and SEPE ones) is concerned, the Unified Employment and Insurance Data Flow has been completed and the </w:t>
      </w:r>
      <w:proofErr w:type="spellStart"/>
      <w:r w:rsidRPr="00A746D8">
        <w:rPr>
          <w:rFonts w:eastAsia="Calibri"/>
          <w:lang w:val="en-US"/>
        </w:rPr>
        <w:t>interoperabilities</w:t>
      </w:r>
      <w:proofErr w:type="spellEnd"/>
      <w:r w:rsidRPr="00A746D8">
        <w:rPr>
          <w:rFonts w:eastAsia="Calibri"/>
          <w:lang w:val="en-US"/>
        </w:rPr>
        <w:t xml:space="preserve"> between the ERGANI and e</w:t>
      </w:r>
      <w:r w:rsidR="004F176A">
        <w:rPr>
          <w:rFonts w:eastAsia="Calibri"/>
          <w:lang w:val="en-US"/>
        </w:rPr>
        <w:t>-</w:t>
      </w:r>
      <w:r w:rsidRPr="00A746D8">
        <w:rPr>
          <w:rFonts w:eastAsia="Calibri"/>
          <w:lang w:val="en-US"/>
        </w:rPr>
        <w:t>EFKA information systems are already available. Also under ARIADNE, the Digital Work Card is steadily expanding into new sectors (3rd phase), covering an ever increasing number of employees and businesses. Regarding the project "Digital Data Collection Mechanism and Calculation of the Minimum Statutory Wage", the “Platform operation and user training” phase is in the process of being completed. Moreover, the Ministry of Labour and Social Security, in the framework of implementing CSR 3 (Subpart 1, 2025), has enacted Law No. 5239/2025 (IS ERGANI II has been implemented on the 16th of February 2026). Simplification is achieved through specific provisions in articles 6, 9 and 17</w:t>
      </w:r>
      <w:r w:rsidR="000A62F2">
        <w:rPr>
          <w:rFonts w:eastAsia="Calibri"/>
          <w:lang w:val="en-US"/>
        </w:rPr>
        <w:t>-</w:t>
      </w:r>
      <w:r w:rsidRPr="00A746D8">
        <w:rPr>
          <w:rFonts w:eastAsia="Calibri"/>
          <w:lang w:val="en-US"/>
        </w:rPr>
        <w:t xml:space="preserve">21 (obligation to submit part-time and rotation work contracts on the ERGANI Information System is being abolished, obligation to keep hard-copy documents of information that are also available in electronic form is also being abolished). The obligation to submit individual employment contracts, and their amendments to IS ERGANI II is abolished, as the system centrally collects the required information in digital form. Moreover, through the </w:t>
      </w:r>
      <w:proofErr w:type="spellStart"/>
      <w:r w:rsidRPr="00A746D8">
        <w:rPr>
          <w:rFonts w:eastAsia="Calibri"/>
          <w:lang w:val="en-US"/>
        </w:rPr>
        <w:t>MyErgani</w:t>
      </w:r>
      <w:proofErr w:type="spellEnd"/>
      <w:r w:rsidRPr="00A746D8">
        <w:rPr>
          <w:rFonts w:eastAsia="Calibri"/>
          <w:lang w:val="en-US"/>
        </w:rPr>
        <w:t xml:space="preserve"> app, employees gain direct access to their employment data and receive notifications for each new employer declaration. The Mobile app «</w:t>
      </w:r>
      <w:proofErr w:type="spellStart"/>
      <w:r w:rsidRPr="00A746D8">
        <w:rPr>
          <w:rFonts w:eastAsia="Calibri"/>
          <w:lang w:val="en-US"/>
        </w:rPr>
        <w:t>Ergani</w:t>
      </w:r>
      <w:proofErr w:type="spellEnd"/>
      <w:r w:rsidRPr="00A746D8">
        <w:rPr>
          <w:rFonts w:eastAsia="Calibri"/>
          <w:lang w:val="en-US"/>
        </w:rPr>
        <w:t>» allows businesses access to the ERGANI II system and the ability to upload and modify declarations, facilitating declaration procedures, submissions of outside typical hours, and urgent submissions. Any modification of the terms of the employment relationship requires submission of the “Digital Employment Relationship Change Declaration”.</w:t>
      </w:r>
    </w:p>
    <w:p w14:paraId="1C089541" w14:textId="77777777" w:rsidR="00451CC2" w:rsidRPr="00A746D8" w:rsidRDefault="00451CC2" w:rsidP="00D31D31">
      <w:pPr>
        <w:rPr>
          <w:rFonts w:eastAsia="Calibri"/>
          <w:lang w:val="en-US"/>
        </w:rPr>
      </w:pPr>
      <w:r w:rsidRPr="00A746D8">
        <w:rPr>
          <w:rFonts w:eastAsia="Calibri"/>
          <w:lang w:val="en-US"/>
        </w:rPr>
        <w:t xml:space="preserve">Regarding the </w:t>
      </w:r>
      <w:r w:rsidRPr="00A746D8">
        <w:rPr>
          <w:rFonts w:eastAsia="Calibri"/>
          <w:b/>
          <w:lang w:val="en-US"/>
        </w:rPr>
        <w:t>“</w:t>
      </w:r>
      <w:r w:rsidRPr="00A746D8">
        <w:rPr>
          <w:rFonts w:eastAsia="Calibri"/>
          <w:b/>
          <w:bCs/>
          <w:lang w:val="en-US"/>
        </w:rPr>
        <w:t>Restructuring and rebranding of DYPA’s local branches for the promotion of employment (KPA2)”,</w:t>
      </w:r>
      <w:r w:rsidRPr="00A746D8">
        <w:rPr>
          <w:rFonts w:eastAsia="Calibri"/>
          <w:lang w:val="en-US"/>
        </w:rPr>
        <w:t xml:space="preserve"> the following actions have been completed until April 2026: (1)  Preliminary study for the energy and Operational upgrade of Kallithea’s KPA2, (2)   Energy and Operational upgrade of Kallithea’s KPA2 as a pilot project, incorporating the Agency’s new corporate identity. Furthermore, the preliminary studies for the Energy and Operational upgrade of DYPA’s 39 local branches (KPA2) are underway. </w:t>
      </w:r>
    </w:p>
    <w:p w14:paraId="1052A8A5" w14:textId="77777777" w:rsidR="00451CC2" w:rsidRPr="00A746D8" w:rsidRDefault="00451CC2" w:rsidP="00D31D31">
      <w:pPr>
        <w:rPr>
          <w:rFonts w:eastAsia="Calibri"/>
          <w:lang w:val="en-US"/>
        </w:rPr>
      </w:pPr>
      <w:r w:rsidRPr="00A746D8">
        <w:rPr>
          <w:rFonts w:eastAsia="Calibri"/>
          <w:lang w:val="en-US"/>
        </w:rPr>
        <w:t xml:space="preserve">The </w:t>
      </w:r>
      <w:r w:rsidRPr="00A746D8">
        <w:rPr>
          <w:rFonts w:eastAsia="Calibri"/>
          <w:b/>
          <w:lang w:val="en-US"/>
        </w:rPr>
        <w:t>investment</w:t>
      </w:r>
      <w:r w:rsidRPr="00A746D8">
        <w:rPr>
          <w:rFonts w:eastAsia="Calibri"/>
          <w:lang w:val="en-US"/>
        </w:rPr>
        <w:t xml:space="preserve"> </w:t>
      </w:r>
      <w:r w:rsidRPr="00A746D8">
        <w:rPr>
          <w:rFonts w:eastAsia="Calibri"/>
          <w:b/>
          <w:bCs/>
          <w:lang w:val="en-US"/>
        </w:rPr>
        <w:t>“Digital transformation of the Public Employment Service (DYPA)”</w:t>
      </w:r>
      <w:r w:rsidRPr="00A746D8">
        <w:rPr>
          <w:rFonts w:eastAsia="Calibri"/>
          <w:lang w:val="en-US"/>
        </w:rPr>
        <w:t xml:space="preserve"> aims to improve the effectiveness of PES/DYPA’s services through a series of targeted digitization projects. More specifically, it consists of twenty (20) projects: a. The following six (6) projects are currently in smooth implementation and are expected to be completed on time:</w:t>
      </w:r>
      <w:r w:rsidRPr="00A746D8">
        <w:rPr>
          <w:rFonts w:eastAsia="Calibri"/>
          <w:u w:val="single"/>
          <w:lang w:val="en-US"/>
        </w:rPr>
        <w:t xml:space="preserve"> </w:t>
      </w:r>
      <w:r w:rsidRPr="00A746D8">
        <w:rPr>
          <w:rFonts w:eastAsia="Calibri"/>
          <w:lang w:val="en-US"/>
        </w:rPr>
        <w:t xml:space="preserve">DYPA app, Control Room, Cyber Security, Asset Management System, Virtual Desktop Infrastructure, Interactive Whiteboards. At the same time, the following thirteen (13) projects have already been completed: Skills-based matching tool, New evidence-based and data-driven decision-making system, OPS DYPA / e-Services Platform, HRMS, FMIS,  VET OPS, 100% Digital - Interoperability Services, Teleworking Infrastructure, Eco – Printing, </w:t>
      </w:r>
      <w:proofErr w:type="gramStart"/>
      <w:r w:rsidRPr="00A746D8">
        <w:rPr>
          <w:rFonts w:eastAsia="Calibri"/>
          <w:lang w:val="en-US"/>
        </w:rPr>
        <w:t>Two</w:t>
      </w:r>
      <w:proofErr w:type="gramEnd"/>
      <w:r w:rsidRPr="00A746D8">
        <w:rPr>
          <w:rFonts w:eastAsia="Calibri"/>
          <w:lang w:val="en-US"/>
        </w:rPr>
        <w:t xml:space="preserve"> (2) projects concerning DYPA Digitalization and Storage-Archiving of DYPA files, Chatbot, </w:t>
      </w:r>
      <w:proofErr w:type="spellStart"/>
      <w:r w:rsidRPr="00A746D8">
        <w:rPr>
          <w:rFonts w:eastAsia="Calibri"/>
          <w:lang w:val="en-US"/>
        </w:rPr>
        <w:t>i</w:t>
      </w:r>
      <w:proofErr w:type="spellEnd"/>
      <w:r w:rsidRPr="00A746D8">
        <w:rPr>
          <w:rFonts w:eastAsia="Calibri"/>
          <w:lang w:val="en-US"/>
        </w:rPr>
        <w:t>-KPA shops in Athens and Thessaloniki. Finally, DYPA is preparing to implement one (1) more project, namely Viber messaging and OTP which is going to be contracted during April 2026.</w:t>
      </w:r>
    </w:p>
    <w:p w14:paraId="4E1C871A" w14:textId="77777777" w:rsidR="00451CC2" w:rsidRPr="00A746D8" w:rsidRDefault="00451CC2" w:rsidP="00D31D31">
      <w:pPr>
        <w:rPr>
          <w:rFonts w:eastAsia="Calibri"/>
          <w:lang w:val="en-US"/>
        </w:rPr>
      </w:pPr>
      <w:r w:rsidRPr="00A746D8">
        <w:rPr>
          <w:rFonts w:eastAsia="Calibri"/>
          <w:lang w:val="en-US"/>
        </w:rPr>
        <w:lastRenderedPageBreak/>
        <w:t xml:space="preserve">The Executive Unit ESPA YEKA is implementing the action “Upgrading capabilities and expanding the operation of the </w:t>
      </w:r>
      <w:r w:rsidRPr="00A746D8">
        <w:rPr>
          <w:rFonts w:eastAsia="Calibri"/>
          <w:b/>
          <w:bCs/>
          <w:lang w:val="en-US"/>
        </w:rPr>
        <w:t>National Labour Market Needs Diagnosis Mechanism</w:t>
      </w:r>
      <w:r w:rsidRPr="00A746D8">
        <w:rPr>
          <w:rFonts w:eastAsia="Calibri"/>
          <w:lang w:val="en-US"/>
        </w:rPr>
        <w:t xml:space="preserve"> for the period 2021–2023”. At the same time, procedures are being carried out to ensure the enhancement and expansion of the capabilities of the Labour Market Needs Diagnosis Mechanism (LMPM), through the action entitled “Strengthening the operation of the Labour Market Needs Diagnosis Mechanism (LMPM) and expanding its capabilities”. It includes the upgrading of the information system, the updating and enrichment of databases, the expansion of an innovative tool for identifying skills demand that was piloted within the framework of the MDAAE, and the utilization of artificial intelligence applications for analyzing labor shortages. It also involves conducting targeted studies and research, as well as the development of forecasting and foresight methodologies and producing related outputs.</w:t>
      </w:r>
    </w:p>
    <w:p w14:paraId="3777BD06" w14:textId="77777777" w:rsidR="00451CC2" w:rsidRPr="006A65BD" w:rsidRDefault="00451CC2" w:rsidP="00D31D31">
      <w:pPr>
        <w:rPr>
          <w:rFonts w:eastAsia="Calibri"/>
          <w:lang w:val="en-US"/>
        </w:rPr>
      </w:pPr>
      <w:r w:rsidRPr="00A746D8">
        <w:rPr>
          <w:rFonts w:eastAsia="Calibri"/>
          <w:lang w:val="en-US"/>
        </w:rPr>
        <w:t xml:space="preserve">Finally, the </w:t>
      </w:r>
      <w:r w:rsidRPr="00A746D8">
        <w:rPr>
          <w:rFonts w:eastAsia="Calibri"/>
          <w:b/>
          <w:lang w:val="en-US"/>
        </w:rPr>
        <w:t xml:space="preserve">investment </w:t>
      </w:r>
      <w:r w:rsidRPr="00A746D8">
        <w:rPr>
          <w:rFonts w:eastAsia="Calibri"/>
          <w:b/>
          <w:bCs/>
          <w:lang w:val="en-US"/>
        </w:rPr>
        <w:t>“Gaining professional/work experience for unemployed people aged 30 and over, through open-type programmes”</w:t>
      </w:r>
      <w:r w:rsidRPr="00A746D8">
        <w:rPr>
          <w:rFonts w:eastAsia="Calibri"/>
          <w:lang w:val="en-US"/>
        </w:rPr>
        <w:t xml:space="preserve"> focuses on providing work experience opportunities to unemployed individuals over the age of 30, with an emphasis on groups outside the labor market and those particularly affected by unemployment. The JMD No. 24057/16.9.2025 (B’ 5801) provided for the “Open professional/work experience program for unemployed persons aged 30+ with an emphasis in groups outside the labour market and groups vastly affected by unemployment”. </w:t>
      </w:r>
      <w:r w:rsidRPr="00A746D8">
        <w:rPr>
          <w:lang w:val="en-US"/>
        </w:rPr>
        <w:t>The call for applications opened on November 6, 2025</w:t>
      </w:r>
      <w:r w:rsidRPr="006A65BD">
        <w:rPr>
          <w:lang w:val="en-US"/>
        </w:rPr>
        <w:t xml:space="preserve">. </w:t>
      </w:r>
      <w:r w:rsidRPr="00A746D8">
        <w:rPr>
          <w:rFonts w:eastAsia="Calibri"/>
          <w:lang w:val="en-US"/>
        </w:rPr>
        <w:t>Up to now 12.901 unemployed have been hired.</w:t>
      </w:r>
      <w:r w:rsidRPr="00A746D8">
        <w:rPr>
          <w:rFonts w:eastAsia="Calibri"/>
          <w:sz w:val="28"/>
          <w:lang w:val="en-US"/>
        </w:rPr>
        <w:t xml:space="preserve"> </w:t>
      </w:r>
    </w:p>
    <w:p w14:paraId="079B5B16" w14:textId="77777777" w:rsidR="00451CC2" w:rsidRPr="00FD4DF9" w:rsidRDefault="00FD4DF9" w:rsidP="00CF4448">
      <w:pPr>
        <w:pStyle w:val="Heading2"/>
        <w:pBdr>
          <w:bottom w:val="single" w:sz="4" w:space="1" w:color="4F81BD" w:themeColor="accent1"/>
        </w:pBdr>
        <w:spacing w:before="1560"/>
        <w:rPr>
          <w:rFonts w:eastAsia="Calibri"/>
          <w:sz w:val="36"/>
          <w:lang w:val="en-US"/>
        </w:rPr>
      </w:pPr>
      <w:bookmarkStart w:id="66" w:name="_Toc227932503"/>
      <w:bookmarkStart w:id="67" w:name="_Toc228279096"/>
      <w:r>
        <w:rPr>
          <w:rFonts w:eastAsia="Calibri"/>
          <w:sz w:val="36"/>
          <w:lang w:val="en-US"/>
        </w:rPr>
        <w:t>M</w:t>
      </w:r>
      <w:r w:rsidRPr="00FD4DF9">
        <w:rPr>
          <w:rFonts w:eastAsia="Calibri"/>
          <w:sz w:val="36"/>
          <w:lang w:val="en-US"/>
        </w:rPr>
        <w:t xml:space="preserve">inistry of </w:t>
      </w:r>
      <w:r>
        <w:rPr>
          <w:rFonts w:eastAsia="Calibri"/>
          <w:sz w:val="36"/>
          <w:lang w:val="en-US"/>
        </w:rPr>
        <w:t>J</w:t>
      </w:r>
      <w:r w:rsidRPr="00FD4DF9">
        <w:rPr>
          <w:rFonts w:eastAsia="Calibri"/>
          <w:sz w:val="36"/>
          <w:lang w:val="en-US"/>
        </w:rPr>
        <w:t>ustice</w:t>
      </w:r>
      <w:bookmarkEnd w:id="66"/>
      <w:bookmarkEnd w:id="67"/>
    </w:p>
    <w:tbl>
      <w:tblPr>
        <w:tblW w:w="8902" w:type="dxa"/>
        <w:jc w:val="center"/>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Layout w:type="fixed"/>
        <w:tblLook w:val="0600" w:firstRow="0" w:lastRow="0" w:firstColumn="0" w:lastColumn="0" w:noHBand="1" w:noVBand="1"/>
      </w:tblPr>
      <w:tblGrid>
        <w:gridCol w:w="2643"/>
        <w:gridCol w:w="1158"/>
        <w:gridCol w:w="1356"/>
        <w:gridCol w:w="1752"/>
        <w:gridCol w:w="1993"/>
      </w:tblGrid>
      <w:tr w:rsidR="00451CC2" w:rsidRPr="008A7CB8" w14:paraId="51260D35" w14:textId="77777777" w:rsidTr="00425017">
        <w:trPr>
          <w:trHeight w:val="170"/>
          <w:jc w:val="center"/>
        </w:trPr>
        <w:tc>
          <w:tcPr>
            <w:tcW w:w="2790" w:type="dxa"/>
            <w:shd w:val="clear" w:color="auto" w:fill="CFE2F3"/>
            <w:tcMar>
              <w:top w:w="0" w:type="dxa"/>
              <w:left w:w="100" w:type="dxa"/>
              <w:bottom w:w="0" w:type="dxa"/>
              <w:right w:w="100" w:type="dxa"/>
            </w:tcMar>
            <w:vAlign w:val="center"/>
          </w:tcPr>
          <w:p w14:paraId="6E020E8A" w14:textId="77777777" w:rsidR="00451CC2" w:rsidRPr="008A7CB8" w:rsidRDefault="00451CC2" w:rsidP="008A7CB8">
            <w:pPr>
              <w:pStyle w:val="Tabletext"/>
              <w:rPr>
                <w:rFonts w:eastAsia="Calibri"/>
                <w:b/>
              </w:rPr>
            </w:pPr>
            <w:r w:rsidRPr="008A7CB8">
              <w:rPr>
                <w:rFonts w:eastAsia="Calibri"/>
                <w:b/>
              </w:rPr>
              <w:t>REFORM / INVESTMENT</w:t>
            </w:r>
          </w:p>
        </w:tc>
        <w:tc>
          <w:tcPr>
            <w:tcW w:w="1215" w:type="dxa"/>
            <w:shd w:val="clear" w:color="auto" w:fill="CFE2F3"/>
            <w:tcMar>
              <w:top w:w="0" w:type="dxa"/>
              <w:left w:w="100" w:type="dxa"/>
              <w:bottom w:w="0" w:type="dxa"/>
              <w:right w:w="100" w:type="dxa"/>
            </w:tcMar>
            <w:vAlign w:val="center"/>
          </w:tcPr>
          <w:p w14:paraId="5FF4C322" w14:textId="77777777" w:rsidR="00451CC2" w:rsidRPr="008A7CB8" w:rsidRDefault="00451CC2" w:rsidP="008A7CB8">
            <w:pPr>
              <w:pStyle w:val="Tabletext"/>
              <w:rPr>
                <w:rFonts w:eastAsia="Calibri"/>
                <w:b/>
              </w:rPr>
            </w:pPr>
            <w:r w:rsidRPr="008A7CB8">
              <w:rPr>
                <w:rFonts w:eastAsia="Calibri"/>
                <w:b/>
              </w:rPr>
              <w:t>RRF / MFF</w:t>
            </w:r>
          </w:p>
        </w:tc>
        <w:tc>
          <w:tcPr>
            <w:tcW w:w="1425" w:type="dxa"/>
            <w:shd w:val="clear" w:color="auto" w:fill="CFE2F3"/>
            <w:tcMar>
              <w:top w:w="0" w:type="dxa"/>
              <w:left w:w="100" w:type="dxa"/>
              <w:bottom w:w="0" w:type="dxa"/>
              <w:right w:w="100" w:type="dxa"/>
            </w:tcMar>
            <w:vAlign w:val="center"/>
          </w:tcPr>
          <w:p w14:paraId="4BEEEB0F" w14:textId="77777777" w:rsidR="00451CC2" w:rsidRPr="008A7CB8" w:rsidRDefault="00451CC2" w:rsidP="008A7CB8">
            <w:pPr>
              <w:pStyle w:val="Tabletext"/>
              <w:rPr>
                <w:rFonts w:eastAsia="Calibri"/>
                <w:b/>
              </w:rPr>
            </w:pPr>
            <w:r w:rsidRPr="008A7CB8">
              <w:rPr>
                <w:rFonts w:eastAsia="Calibri"/>
                <w:b/>
              </w:rPr>
              <w:t>CSR</w:t>
            </w:r>
          </w:p>
        </w:tc>
        <w:tc>
          <w:tcPr>
            <w:tcW w:w="1845" w:type="dxa"/>
            <w:shd w:val="clear" w:color="auto" w:fill="CFE2F3"/>
            <w:tcMar>
              <w:top w:w="0" w:type="dxa"/>
              <w:left w:w="100" w:type="dxa"/>
              <w:bottom w:w="0" w:type="dxa"/>
              <w:right w:w="100" w:type="dxa"/>
            </w:tcMar>
            <w:vAlign w:val="center"/>
          </w:tcPr>
          <w:p w14:paraId="27BC7405" w14:textId="77777777" w:rsidR="00451CC2" w:rsidRPr="008A7CB8" w:rsidRDefault="00451CC2" w:rsidP="008A7CB8">
            <w:pPr>
              <w:pStyle w:val="Tabletext"/>
              <w:rPr>
                <w:rFonts w:eastAsia="Calibri"/>
                <w:b/>
              </w:rPr>
            </w:pPr>
            <w:r w:rsidRPr="008A7CB8">
              <w:rPr>
                <w:rFonts w:eastAsia="Calibri"/>
                <w:b/>
              </w:rPr>
              <w:t>COMMON PRIORITIES</w:t>
            </w:r>
          </w:p>
        </w:tc>
        <w:tc>
          <w:tcPr>
            <w:tcW w:w="2100" w:type="dxa"/>
            <w:shd w:val="clear" w:color="auto" w:fill="CFE2F3"/>
            <w:tcMar>
              <w:top w:w="0" w:type="dxa"/>
              <w:left w:w="100" w:type="dxa"/>
              <w:bottom w:w="0" w:type="dxa"/>
              <w:right w:w="100" w:type="dxa"/>
            </w:tcMar>
            <w:vAlign w:val="center"/>
          </w:tcPr>
          <w:p w14:paraId="03BBA7EE" w14:textId="77777777" w:rsidR="00451CC2" w:rsidRPr="008A7CB8" w:rsidRDefault="00451CC2" w:rsidP="008A7CB8">
            <w:pPr>
              <w:pStyle w:val="Tabletext"/>
              <w:rPr>
                <w:rFonts w:eastAsia="Calibri"/>
                <w:b/>
              </w:rPr>
            </w:pPr>
            <w:r w:rsidRPr="008A7CB8">
              <w:rPr>
                <w:rFonts w:eastAsia="Calibri"/>
                <w:b/>
              </w:rPr>
              <w:t>On-track status</w:t>
            </w:r>
          </w:p>
        </w:tc>
      </w:tr>
      <w:tr w:rsidR="00451CC2" w:rsidRPr="008A7CB8" w14:paraId="7511D57F" w14:textId="77777777" w:rsidTr="00425017">
        <w:trPr>
          <w:trHeight w:val="170"/>
          <w:jc w:val="center"/>
        </w:trPr>
        <w:tc>
          <w:tcPr>
            <w:tcW w:w="2790" w:type="dxa"/>
            <w:tcMar>
              <w:top w:w="40" w:type="dxa"/>
              <w:left w:w="40" w:type="dxa"/>
              <w:bottom w:w="40" w:type="dxa"/>
              <w:right w:w="40" w:type="dxa"/>
            </w:tcMar>
            <w:vAlign w:val="center"/>
          </w:tcPr>
          <w:p w14:paraId="3BD5897D" w14:textId="77777777" w:rsidR="00451CC2" w:rsidRPr="008A7CB8" w:rsidRDefault="00540671" w:rsidP="008A7CB8">
            <w:pPr>
              <w:pStyle w:val="Tabletext"/>
              <w:rPr>
                <w:rFonts w:eastAsia="Calibri"/>
              </w:rPr>
            </w:pPr>
            <w:r w:rsidRPr="00540671">
              <w:rPr>
                <w:rFonts w:eastAsia="Calibri"/>
                <w:b/>
              </w:rPr>
              <w:t>REFORM 1:</w:t>
            </w:r>
            <w:r w:rsidR="00451CC2" w:rsidRPr="008A7CB8">
              <w:rPr>
                <w:rFonts w:eastAsia="Calibri"/>
              </w:rPr>
              <w:t xml:space="preserve"> Αccelerating the administration of justice _ Judicial Map</w:t>
            </w:r>
          </w:p>
        </w:tc>
        <w:tc>
          <w:tcPr>
            <w:tcW w:w="1215" w:type="dxa"/>
            <w:tcMar>
              <w:top w:w="40" w:type="dxa"/>
              <w:left w:w="40" w:type="dxa"/>
              <w:bottom w:w="40" w:type="dxa"/>
              <w:right w:w="40" w:type="dxa"/>
            </w:tcMar>
            <w:vAlign w:val="center"/>
          </w:tcPr>
          <w:p w14:paraId="0A085515" w14:textId="77777777" w:rsidR="00451CC2" w:rsidRPr="008A7CB8" w:rsidRDefault="00451CC2" w:rsidP="008A7CB8">
            <w:pPr>
              <w:pStyle w:val="Tabletext"/>
              <w:rPr>
                <w:rFonts w:eastAsia="Calibri"/>
              </w:rPr>
            </w:pPr>
            <w:r w:rsidRPr="008A7CB8">
              <w:rPr>
                <w:rFonts w:eastAsia="Calibri"/>
              </w:rPr>
              <w:t>RRF 16575</w:t>
            </w:r>
          </w:p>
        </w:tc>
        <w:tc>
          <w:tcPr>
            <w:tcW w:w="1425" w:type="dxa"/>
            <w:tcMar>
              <w:top w:w="40" w:type="dxa"/>
              <w:left w:w="40" w:type="dxa"/>
              <w:bottom w:w="40" w:type="dxa"/>
              <w:right w:w="40" w:type="dxa"/>
            </w:tcMar>
            <w:vAlign w:val="center"/>
          </w:tcPr>
          <w:p w14:paraId="7CB4C3D8" w14:textId="77777777" w:rsidR="00451CC2" w:rsidRPr="008A7CB8" w:rsidRDefault="00451CC2" w:rsidP="008A7CB8">
            <w:pPr>
              <w:pStyle w:val="Tabletext"/>
              <w:rPr>
                <w:rFonts w:eastAsia="Calibri"/>
              </w:rPr>
            </w:pPr>
            <w:r w:rsidRPr="008A7CB8">
              <w:rPr>
                <w:rFonts w:eastAsia="Calibri"/>
              </w:rPr>
              <w:t>2025.CSR3.7</w:t>
            </w:r>
          </w:p>
          <w:p w14:paraId="3DCA1EAB" w14:textId="77777777" w:rsidR="00451CC2" w:rsidRPr="008A7CB8" w:rsidRDefault="00451CC2" w:rsidP="008A7CB8">
            <w:pPr>
              <w:pStyle w:val="Tabletext"/>
              <w:rPr>
                <w:rFonts w:eastAsia="Calibri"/>
              </w:rPr>
            </w:pPr>
            <w:r w:rsidRPr="008A7CB8">
              <w:rPr>
                <w:rFonts w:eastAsia="Calibri"/>
              </w:rPr>
              <w:t>2025.CSR1.5</w:t>
            </w:r>
          </w:p>
          <w:p w14:paraId="0E0760DD" w14:textId="77777777" w:rsidR="00451CC2" w:rsidRPr="008A7CB8" w:rsidRDefault="00451CC2" w:rsidP="008A7CB8">
            <w:pPr>
              <w:pStyle w:val="Tabletext"/>
              <w:rPr>
                <w:rFonts w:eastAsia="Calibri"/>
              </w:rPr>
            </w:pPr>
            <w:r w:rsidRPr="008A7CB8">
              <w:rPr>
                <w:rFonts w:eastAsia="Calibri"/>
              </w:rPr>
              <w:t>2025.CSR1.6</w:t>
            </w:r>
          </w:p>
          <w:p w14:paraId="4C1BB07D" w14:textId="77777777" w:rsidR="00451CC2" w:rsidRPr="008A7CB8" w:rsidRDefault="00451CC2" w:rsidP="008A7CB8">
            <w:pPr>
              <w:pStyle w:val="Tabletext"/>
              <w:rPr>
                <w:rFonts w:eastAsia="Calibri"/>
              </w:rPr>
            </w:pPr>
            <w:r w:rsidRPr="008A7CB8">
              <w:rPr>
                <w:rFonts w:eastAsia="Calibri"/>
              </w:rPr>
              <w:t>2024.CSR1.5</w:t>
            </w:r>
          </w:p>
          <w:p w14:paraId="5D4E79B5" w14:textId="77777777" w:rsidR="00451CC2" w:rsidRPr="008A7CB8" w:rsidRDefault="00451CC2" w:rsidP="008A7CB8">
            <w:pPr>
              <w:pStyle w:val="Tabletext"/>
              <w:rPr>
                <w:rFonts w:eastAsia="Calibri"/>
              </w:rPr>
            </w:pPr>
            <w:r w:rsidRPr="008A7CB8">
              <w:rPr>
                <w:rFonts w:eastAsia="Calibri"/>
              </w:rPr>
              <w:t>2022.CSR2.3</w:t>
            </w:r>
          </w:p>
          <w:p w14:paraId="26A00DD7" w14:textId="77777777" w:rsidR="00451CC2" w:rsidRPr="008A7CB8" w:rsidRDefault="00451CC2" w:rsidP="008A7CB8">
            <w:pPr>
              <w:pStyle w:val="Tabletext"/>
              <w:rPr>
                <w:rFonts w:eastAsia="Calibri"/>
              </w:rPr>
            </w:pPr>
            <w:r w:rsidRPr="008A7CB8">
              <w:rPr>
                <w:rFonts w:eastAsia="Calibri"/>
              </w:rPr>
              <w:t>2020.CSR1.1</w:t>
            </w:r>
          </w:p>
          <w:p w14:paraId="653FB8F6" w14:textId="77777777" w:rsidR="00451CC2" w:rsidRPr="008A7CB8" w:rsidRDefault="00451CC2" w:rsidP="008A7CB8">
            <w:pPr>
              <w:pStyle w:val="Tabletext"/>
              <w:rPr>
                <w:rFonts w:eastAsia="Calibri"/>
              </w:rPr>
            </w:pPr>
            <w:r w:rsidRPr="008A7CB8">
              <w:rPr>
                <w:rFonts w:eastAsia="Calibri"/>
              </w:rPr>
              <w:t>2020 CSR 3.9</w:t>
            </w:r>
          </w:p>
          <w:p w14:paraId="58A7969F" w14:textId="77777777" w:rsidR="00451CC2" w:rsidRPr="008A7CB8" w:rsidRDefault="00451CC2" w:rsidP="008A7CB8">
            <w:pPr>
              <w:pStyle w:val="Tabletext"/>
              <w:rPr>
                <w:rFonts w:eastAsia="Calibri"/>
              </w:rPr>
            </w:pPr>
            <w:r w:rsidRPr="008A7CB8">
              <w:rPr>
                <w:rFonts w:eastAsia="Calibri"/>
              </w:rPr>
              <w:t>2020.CSR4.1</w:t>
            </w:r>
          </w:p>
          <w:p w14:paraId="304A4920" w14:textId="77777777" w:rsidR="00451CC2" w:rsidRPr="008A7CB8" w:rsidRDefault="00451CC2" w:rsidP="008A7CB8">
            <w:pPr>
              <w:pStyle w:val="Tabletext"/>
              <w:rPr>
                <w:rFonts w:eastAsia="Calibri"/>
              </w:rPr>
            </w:pPr>
            <w:r w:rsidRPr="008A7CB8">
              <w:rPr>
                <w:rFonts w:eastAsia="Calibri"/>
              </w:rPr>
              <w:t>2019 CSR 1.1</w:t>
            </w:r>
          </w:p>
        </w:tc>
        <w:tc>
          <w:tcPr>
            <w:tcW w:w="1845" w:type="dxa"/>
            <w:tcMar>
              <w:top w:w="40" w:type="dxa"/>
              <w:left w:w="40" w:type="dxa"/>
              <w:bottom w:w="40" w:type="dxa"/>
              <w:right w:w="40" w:type="dxa"/>
            </w:tcMar>
            <w:vAlign w:val="center"/>
          </w:tcPr>
          <w:p w14:paraId="2CE411AA" w14:textId="77777777" w:rsidR="00451CC2" w:rsidRPr="008A7CB8" w:rsidRDefault="00451CC2" w:rsidP="008A7CB8">
            <w:pPr>
              <w:pStyle w:val="Tabletext"/>
              <w:rPr>
                <w:rFonts w:eastAsia="Calibri"/>
              </w:rPr>
            </w:pPr>
            <w:r w:rsidRPr="008A7CB8">
              <w:rPr>
                <w:rFonts w:eastAsia="Calibri"/>
              </w:rPr>
              <w:t>Social and Economic resilience</w:t>
            </w:r>
          </w:p>
        </w:tc>
        <w:tc>
          <w:tcPr>
            <w:tcW w:w="2100" w:type="dxa"/>
            <w:tcMar>
              <w:top w:w="0" w:type="dxa"/>
              <w:left w:w="100" w:type="dxa"/>
              <w:bottom w:w="0" w:type="dxa"/>
              <w:right w:w="100" w:type="dxa"/>
            </w:tcMar>
            <w:vAlign w:val="center"/>
          </w:tcPr>
          <w:p w14:paraId="448673B6" w14:textId="77777777" w:rsidR="00451CC2" w:rsidRPr="008A7CB8" w:rsidRDefault="00451CC2" w:rsidP="008A7CB8">
            <w:pPr>
              <w:pStyle w:val="Tabletext"/>
              <w:rPr>
                <w:rFonts w:eastAsia="Calibri"/>
              </w:rPr>
            </w:pPr>
            <w:r w:rsidRPr="008A7CB8">
              <w:rPr>
                <w:rFonts w:eastAsia="Calibri"/>
              </w:rPr>
              <w:t xml:space="preserve">Completed   </w:t>
            </w:r>
          </w:p>
        </w:tc>
      </w:tr>
      <w:tr w:rsidR="00451CC2" w:rsidRPr="008A7CB8" w14:paraId="56B4BAAC" w14:textId="77777777" w:rsidTr="00425017">
        <w:trPr>
          <w:trHeight w:val="170"/>
          <w:jc w:val="center"/>
        </w:trPr>
        <w:tc>
          <w:tcPr>
            <w:tcW w:w="2790" w:type="dxa"/>
            <w:tcMar>
              <w:top w:w="40" w:type="dxa"/>
              <w:left w:w="40" w:type="dxa"/>
              <w:bottom w:w="40" w:type="dxa"/>
              <w:right w:w="40" w:type="dxa"/>
            </w:tcMar>
            <w:vAlign w:val="center"/>
          </w:tcPr>
          <w:p w14:paraId="483854CF" w14:textId="77777777" w:rsidR="00451CC2" w:rsidRPr="008A7CB8" w:rsidRDefault="00540671" w:rsidP="008A7CB8">
            <w:pPr>
              <w:pStyle w:val="Tabletext"/>
              <w:rPr>
                <w:rFonts w:eastAsia="Calibri"/>
              </w:rPr>
            </w:pPr>
            <w:r w:rsidRPr="00540671">
              <w:rPr>
                <w:rFonts w:eastAsia="Calibri"/>
                <w:b/>
              </w:rPr>
              <w:t>REFORM 2:</w:t>
            </w:r>
            <w:r w:rsidR="00451CC2" w:rsidRPr="008A7CB8">
              <w:rPr>
                <w:rFonts w:eastAsia="Calibri"/>
              </w:rPr>
              <w:t xml:space="preserve"> Αccelerating the administration of justice _ Judicial Police</w:t>
            </w:r>
          </w:p>
        </w:tc>
        <w:tc>
          <w:tcPr>
            <w:tcW w:w="1215" w:type="dxa"/>
            <w:tcMar>
              <w:top w:w="40" w:type="dxa"/>
              <w:left w:w="40" w:type="dxa"/>
              <w:bottom w:w="40" w:type="dxa"/>
              <w:right w:w="40" w:type="dxa"/>
            </w:tcMar>
            <w:vAlign w:val="center"/>
          </w:tcPr>
          <w:p w14:paraId="341A63CA" w14:textId="77777777" w:rsidR="00451CC2" w:rsidRPr="008A7CB8" w:rsidRDefault="00451CC2" w:rsidP="008A7CB8">
            <w:pPr>
              <w:pStyle w:val="Tabletext"/>
              <w:rPr>
                <w:rFonts w:eastAsia="Calibri"/>
              </w:rPr>
            </w:pPr>
            <w:r w:rsidRPr="008A7CB8">
              <w:rPr>
                <w:rFonts w:eastAsia="Calibri"/>
              </w:rPr>
              <w:t>RRF 16575</w:t>
            </w:r>
          </w:p>
        </w:tc>
        <w:tc>
          <w:tcPr>
            <w:tcW w:w="1425" w:type="dxa"/>
            <w:tcMar>
              <w:top w:w="40" w:type="dxa"/>
              <w:left w:w="40" w:type="dxa"/>
              <w:bottom w:w="40" w:type="dxa"/>
              <w:right w:w="40" w:type="dxa"/>
            </w:tcMar>
            <w:vAlign w:val="center"/>
          </w:tcPr>
          <w:p w14:paraId="73730702" w14:textId="77777777" w:rsidR="00451CC2" w:rsidRPr="008A7CB8" w:rsidRDefault="00451CC2" w:rsidP="008A7CB8">
            <w:pPr>
              <w:pStyle w:val="Tabletext"/>
              <w:rPr>
                <w:rFonts w:eastAsia="Calibri"/>
              </w:rPr>
            </w:pPr>
            <w:r w:rsidRPr="008A7CB8">
              <w:rPr>
                <w:rFonts w:eastAsia="Calibri"/>
              </w:rPr>
              <w:t>2025.CSR3.7</w:t>
            </w:r>
          </w:p>
          <w:p w14:paraId="1EE0D4A2" w14:textId="77777777" w:rsidR="00451CC2" w:rsidRPr="008A7CB8" w:rsidRDefault="00451CC2" w:rsidP="008A7CB8">
            <w:pPr>
              <w:pStyle w:val="Tabletext"/>
              <w:rPr>
                <w:rFonts w:eastAsia="Calibri"/>
              </w:rPr>
            </w:pPr>
            <w:r w:rsidRPr="008A7CB8">
              <w:rPr>
                <w:rFonts w:eastAsia="Calibri"/>
              </w:rPr>
              <w:t>2025.CSR1.5</w:t>
            </w:r>
          </w:p>
          <w:p w14:paraId="324A1CE6" w14:textId="77777777" w:rsidR="00451CC2" w:rsidRPr="008A7CB8" w:rsidRDefault="00451CC2" w:rsidP="008A7CB8">
            <w:pPr>
              <w:pStyle w:val="Tabletext"/>
              <w:rPr>
                <w:rFonts w:eastAsia="Calibri"/>
              </w:rPr>
            </w:pPr>
            <w:r w:rsidRPr="008A7CB8">
              <w:rPr>
                <w:rFonts w:eastAsia="Calibri"/>
              </w:rPr>
              <w:t>2025.CSR1.6</w:t>
            </w:r>
          </w:p>
          <w:p w14:paraId="6043796C" w14:textId="77777777" w:rsidR="00451CC2" w:rsidRPr="008A7CB8" w:rsidRDefault="00451CC2" w:rsidP="008A7CB8">
            <w:pPr>
              <w:pStyle w:val="Tabletext"/>
              <w:rPr>
                <w:rFonts w:eastAsia="Calibri"/>
              </w:rPr>
            </w:pPr>
            <w:r w:rsidRPr="008A7CB8">
              <w:rPr>
                <w:rFonts w:eastAsia="Calibri"/>
              </w:rPr>
              <w:t>2019 CSR 2.6</w:t>
            </w:r>
          </w:p>
          <w:p w14:paraId="17960438" w14:textId="77777777" w:rsidR="00451CC2" w:rsidRPr="008A7CB8" w:rsidRDefault="00451CC2" w:rsidP="008A7CB8">
            <w:pPr>
              <w:pStyle w:val="Tabletext"/>
              <w:rPr>
                <w:rFonts w:eastAsia="Calibri"/>
              </w:rPr>
            </w:pPr>
            <w:r w:rsidRPr="008A7CB8">
              <w:rPr>
                <w:rFonts w:eastAsia="Calibri"/>
              </w:rPr>
              <w:t>2020 CSR 3.8</w:t>
            </w:r>
          </w:p>
        </w:tc>
        <w:tc>
          <w:tcPr>
            <w:tcW w:w="1845" w:type="dxa"/>
            <w:tcMar>
              <w:top w:w="40" w:type="dxa"/>
              <w:left w:w="40" w:type="dxa"/>
              <w:bottom w:w="40" w:type="dxa"/>
              <w:right w:w="40" w:type="dxa"/>
            </w:tcMar>
            <w:vAlign w:val="center"/>
          </w:tcPr>
          <w:p w14:paraId="712CA5F7" w14:textId="77777777" w:rsidR="00451CC2" w:rsidRPr="008A7CB8" w:rsidRDefault="00451CC2" w:rsidP="008A7CB8">
            <w:pPr>
              <w:pStyle w:val="Tabletext"/>
              <w:rPr>
                <w:rFonts w:eastAsia="Calibri"/>
              </w:rPr>
            </w:pPr>
            <w:r w:rsidRPr="008A7CB8">
              <w:rPr>
                <w:rFonts w:eastAsia="Calibri"/>
              </w:rPr>
              <w:t>Social and Economic resilience</w:t>
            </w:r>
          </w:p>
        </w:tc>
        <w:tc>
          <w:tcPr>
            <w:tcW w:w="2100" w:type="dxa"/>
            <w:tcMar>
              <w:top w:w="0" w:type="dxa"/>
              <w:left w:w="100" w:type="dxa"/>
              <w:bottom w:w="0" w:type="dxa"/>
              <w:right w:w="100" w:type="dxa"/>
            </w:tcMar>
            <w:vAlign w:val="center"/>
          </w:tcPr>
          <w:p w14:paraId="58E7FBD3" w14:textId="77777777" w:rsidR="00451CC2" w:rsidRPr="008A7CB8" w:rsidRDefault="00451CC2" w:rsidP="008A7CB8">
            <w:pPr>
              <w:pStyle w:val="Tabletext"/>
              <w:rPr>
                <w:rFonts w:eastAsia="Calibri"/>
              </w:rPr>
            </w:pPr>
            <w:r w:rsidRPr="008A7CB8">
              <w:rPr>
                <w:rFonts w:eastAsia="Calibri"/>
              </w:rPr>
              <w:t xml:space="preserve">Completed </w:t>
            </w:r>
          </w:p>
        </w:tc>
      </w:tr>
      <w:tr w:rsidR="00451CC2" w:rsidRPr="008A7CB8" w14:paraId="2E6C4913" w14:textId="77777777" w:rsidTr="00425017">
        <w:trPr>
          <w:trHeight w:val="170"/>
          <w:jc w:val="center"/>
        </w:trPr>
        <w:tc>
          <w:tcPr>
            <w:tcW w:w="2790" w:type="dxa"/>
            <w:tcMar>
              <w:top w:w="40" w:type="dxa"/>
              <w:left w:w="40" w:type="dxa"/>
              <w:bottom w:w="40" w:type="dxa"/>
              <w:right w:w="40" w:type="dxa"/>
            </w:tcMar>
            <w:vAlign w:val="center"/>
          </w:tcPr>
          <w:p w14:paraId="6E6A3D56" w14:textId="77777777" w:rsidR="00451CC2" w:rsidRPr="008A7CB8" w:rsidRDefault="00540671" w:rsidP="008A7CB8">
            <w:pPr>
              <w:pStyle w:val="Tabletext"/>
              <w:rPr>
                <w:rFonts w:eastAsia="Calibri"/>
              </w:rPr>
            </w:pPr>
            <w:r w:rsidRPr="00540671">
              <w:rPr>
                <w:rFonts w:eastAsia="Calibri"/>
                <w:b/>
              </w:rPr>
              <w:t>REFORM 3:</w:t>
            </w:r>
            <w:r w:rsidR="00451CC2" w:rsidRPr="008A7CB8">
              <w:rPr>
                <w:rFonts w:eastAsia="Calibri"/>
              </w:rPr>
              <w:t xml:space="preserve"> Improve the efficiency of the justice </w:t>
            </w:r>
            <w:proofErr w:type="spellStart"/>
            <w:r w:rsidR="00451CC2" w:rsidRPr="008A7CB8">
              <w:rPr>
                <w:rFonts w:eastAsia="Calibri"/>
              </w:rPr>
              <w:t>system_Digital</w:t>
            </w:r>
            <w:proofErr w:type="spellEnd"/>
            <w:r w:rsidR="00451CC2" w:rsidRPr="008A7CB8">
              <w:rPr>
                <w:rFonts w:eastAsia="Calibri"/>
              </w:rPr>
              <w:t xml:space="preserve"> Transformation of Justice (E-Justice)</w:t>
            </w:r>
          </w:p>
        </w:tc>
        <w:tc>
          <w:tcPr>
            <w:tcW w:w="1215" w:type="dxa"/>
            <w:tcMar>
              <w:top w:w="40" w:type="dxa"/>
              <w:left w:w="40" w:type="dxa"/>
              <w:bottom w:w="40" w:type="dxa"/>
              <w:right w:w="40" w:type="dxa"/>
            </w:tcMar>
            <w:vAlign w:val="center"/>
          </w:tcPr>
          <w:p w14:paraId="7CBFF8CF" w14:textId="77777777" w:rsidR="00451CC2" w:rsidRPr="008A7CB8" w:rsidRDefault="00451CC2" w:rsidP="008A7CB8">
            <w:pPr>
              <w:pStyle w:val="Tabletext"/>
              <w:rPr>
                <w:rFonts w:eastAsia="Calibri"/>
              </w:rPr>
            </w:pPr>
            <w:r w:rsidRPr="008A7CB8">
              <w:rPr>
                <w:rFonts w:eastAsia="Calibri"/>
              </w:rPr>
              <w:t>RRF 16727</w:t>
            </w:r>
          </w:p>
        </w:tc>
        <w:tc>
          <w:tcPr>
            <w:tcW w:w="1425" w:type="dxa"/>
            <w:tcMar>
              <w:top w:w="40" w:type="dxa"/>
              <w:left w:w="40" w:type="dxa"/>
              <w:bottom w:w="40" w:type="dxa"/>
              <w:right w:w="40" w:type="dxa"/>
            </w:tcMar>
            <w:vAlign w:val="center"/>
          </w:tcPr>
          <w:p w14:paraId="6BB9250B" w14:textId="77777777" w:rsidR="00451CC2" w:rsidRPr="008A7CB8" w:rsidRDefault="00451CC2" w:rsidP="008A7CB8">
            <w:pPr>
              <w:pStyle w:val="Tabletext"/>
              <w:rPr>
                <w:rFonts w:eastAsia="Calibri"/>
              </w:rPr>
            </w:pPr>
            <w:r w:rsidRPr="008A7CB8">
              <w:rPr>
                <w:rFonts w:eastAsia="Calibri"/>
              </w:rPr>
              <w:t>2025.CSR3.7</w:t>
            </w:r>
          </w:p>
          <w:p w14:paraId="38CEFCF9" w14:textId="77777777" w:rsidR="00451CC2" w:rsidRPr="008A7CB8" w:rsidRDefault="00451CC2" w:rsidP="008A7CB8">
            <w:pPr>
              <w:pStyle w:val="Tabletext"/>
              <w:rPr>
                <w:rFonts w:eastAsia="Calibri"/>
              </w:rPr>
            </w:pPr>
            <w:r w:rsidRPr="008A7CB8">
              <w:rPr>
                <w:rFonts w:eastAsia="Calibri"/>
              </w:rPr>
              <w:t>2025.CSR1.5</w:t>
            </w:r>
          </w:p>
          <w:p w14:paraId="77CBBE89" w14:textId="77777777" w:rsidR="00451CC2" w:rsidRPr="008A7CB8" w:rsidRDefault="00451CC2" w:rsidP="008A7CB8">
            <w:pPr>
              <w:pStyle w:val="Tabletext"/>
              <w:rPr>
                <w:rFonts w:eastAsia="Calibri"/>
              </w:rPr>
            </w:pPr>
            <w:r w:rsidRPr="008A7CB8">
              <w:rPr>
                <w:rFonts w:eastAsia="Calibri"/>
              </w:rPr>
              <w:t>2025.CSR1.6</w:t>
            </w:r>
          </w:p>
          <w:p w14:paraId="5E59850E" w14:textId="77777777" w:rsidR="00451CC2" w:rsidRPr="008A7CB8" w:rsidRDefault="00451CC2" w:rsidP="008A7CB8">
            <w:pPr>
              <w:pStyle w:val="Tabletext"/>
              <w:rPr>
                <w:rFonts w:eastAsia="Calibri"/>
              </w:rPr>
            </w:pPr>
            <w:r w:rsidRPr="008A7CB8">
              <w:rPr>
                <w:rFonts w:eastAsia="Calibri"/>
              </w:rPr>
              <w:t>2024.CSR1.5</w:t>
            </w:r>
          </w:p>
          <w:p w14:paraId="2B524A85" w14:textId="77777777" w:rsidR="00451CC2" w:rsidRPr="008A7CB8" w:rsidRDefault="00451CC2" w:rsidP="008A7CB8">
            <w:pPr>
              <w:pStyle w:val="Tabletext"/>
              <w:rPr>
                <w:rFonts w:eastAsia="Calibri"/>
              </w:rPr>
            </w:pPr>
            <w:r w:rsidRPr="008A7CB8">
              <w:rPr>
                <w:rFonts w:eastAsia="Calibri"/>
              </w:rPr>
              <w:t>2019 CSR 2.3</w:t>
            </w:r>
          </w:p>
        </w:tc>
        <w:tc>
          <w:tcPr>
            <w:tcW w:w="1845" w:type="dxa"/>
            <w:tcMar>
              <w:top w:w="40" w:type="dxa"/>
              <w:left w:w="40" w:type="dxa"/>
              <w:bottom w:w="40" w:type="dxa"/>
              <w:right w:w="40" w:type="dxa"/>
            </w:tcMar>
            <w:vAlign w:val="center"/>
          </w:tcPr>
          <w:p w14:paraId="0F01A164" w14:textId="77777777" w:rsidR="00451CC2" w:rsidRPr="008A7CB8" w:rsidRDefault="00451CC2" w:rsidP="008A7CB8">
            <w:pPr>
              <w:pStyle w:val="Tabletext"/>
              <w:rPr>
                <w:rFonts w:eastAsia="Calibri"/>
              </w:rPr>
            </w:pPr>
            <w:r w:rsidRPr="008A7CB8">
              <w:rPr>
                <w:rFonts w:eastAsia="Calibri"/>
              </w:rPr>
              <w:t>A fair green and digital transition</w:t>
            </w:r>
          </w:p>
        </w:tc>
        <w:tc>
          <w:tcPr>
            <w:tcW w:w="2100" w:type="dxa"/>
            <w:tcMar>
              <w:top w:w="0" w:type="dxa"/>
              <w:left w:w="100" w:type="dxa"/>
              <w:bottom w:w="0" w:type="dxa"/>
              <w:right w:w="100" w:type="dxa"/>
            </w:tcMar>
            <w:vAlign w:val="center"/>
          </w:tcPr>
          <w:p w14:paraId="4C994155" w14:textId="77777777" w:rsidR="00451CC2" w:rsidRPr="008A7CB8" w:rsidRDefault="00451CC2" w:rsidP="008A7CB8">
            <w:pPr>
              <w:pStyle w:val="Tabletext"/>
              <w:rPr>
                <w:rFonts w:eastAsia="Calibri"/>
              </w:rPr>
            </w:pPr>
            <w:r w:rsidRPr="008A7CB8">
              <w:rPr>
                <w:rFonts w:eastAsia="Calibri"/>
              </w:rPr>
              <w:t>On track</w:t>
            </w:r>
          </w:p>
        </w:tc>
      </w:tr>
      <w:tr w:rsidR="00451CC2" w:rsidRPr="008A7CB8" w14:paraId="7E437902" w14:textId="77777777" w:rsidTr="00425017">
        <w:trPr>
          <w:trHeight w:val="170"/>
          <w:jc w:val="center"/>
        </w:trPr>
        <w:tc>
          <w:tcPr>
            <w:tcW w:w="2790" w:type="dxa"/>
            <w:tcMar>
              <w:top w:w="40" w:type="dxa"/>
              <w:left w:w="40" w:type="dxa"/>
              <w:bottom w:w="40" w:type="dxa"/>
              <w:right w:w="40" w:type="dxa"/>
            </w:tcMar>
            <w:vAlign w:val="center"/>
          </w:tcPr>
          <w:p w14:paraId="0B3C26A9" w14:textId="77777777" w:rsidR="00451CC2" w:rsidRPr="008A7CB8" w:rsidRDefault="00540671" w:rsidP="008A7CB8">
            <w:pPr>
              <w:pStyle w:val="Tabletext"/>
              <w:rPr>
                <w:rFonts w:eastAsia="Calibri"/>
              </w:rPr>
            </w:pPr>
            <w:r w:rsidRPr="00540671">
              <w:rPr>
                <w:rFonts w:eastAsia="Calibri"/>
                <w:b/>
              </w:rPr>
              <w:lastRenderedPageBreak/>
              <w:t>REFORM 4:</w:t>
            </w:r>
            <w:r w:rsidR="00451CC2" w:rsidRPr="008A7CB8">
              <w:rPr>
                <w:rFonts w:eastAsia="Calibri"/>
              </w:rPr>
              <w:t xml:space="preserve"> Case Management System for administrative records (‘’OSDDY-DD’’)</w:t>
            </w:r>
          </w:p>
        </w:tc>
        <w:tc>
          <w:tcPr>
            <w:tcW w:w="1215" w:type="dxa"/>
            <w:tcMar>
              <w:top w:w="40" w:type="dxa"/>
              <w:left w:w="40" w:type="dxa"/>
              <w:bottom w:w="40" w:type="dxa"/>
              <w:right w:w="40" w:type="dxa"/>
            </w:tcMar>
            <w:vAlign w:val="center"/>
          </w:tcPr>
          <w:p w14:paraId="1DA3E32F" w14:textId="77777777" w:rsidR="00451CC2" w:rsidRPr="008A7CB8" w:rsidRDefault="00451CC2" w:rsidP="008A7CB8">
            <w:pPr>
              <w:pStyle w:val="Tabletext"/>
              <w:rPr>
                <w:rFonts w:eastAsia="Calibri"/>
              </w:rPr>
            </w:pPr>
            <w:r w:rsidRPr="008A7CB8">
              <w:rPr>
                <w:rFonts w:eastAsia="Calibri"/>
              </w:rPr>
              <w:t>MFF</w:t>
            </w:r>
          </w:p>
        </w:tc>
        <w:tc>
          <w:tcPr>
            <w:tcW w:w="1425" w:type="dxa"/>
            <w:tcMar>
              <w:top w:w="40" w:type="dxa"/>
              <w:left w:w="40" w:type="dxa"/>
              <w:bottom w:w="40" w:type="dxa"/>
              <w:right w:w="40" w:type="dxa"/>
            </w:tcMar>
            <w:vAlign w:val="center"/>
          </w:tcPr>
          <w:p w14:paraId="334F47FC" w14:textId="77777777" w:rsidR="00451CC2" w:rsidRPr="008A7CB8" w:rsidRDefault="00451CC2" w:rsidP="008A7CB8">
            <w:pPr>
              <w:pStyle w:val="Tabletext"/>
              <w:rPr>
                <w:rFonts w:eastAsia="Calibri"/>
              </w:rPr>
            </w:pPr>
            <w:r w:rsidRPr="008A7CB8">
              <w:rPr>
                <w:rFonts w:eastAsia="Calibri"/>
              </w:rPr>
              <w:t>2025.CSR3.7</w:t>
            </w:r>
          </w:p>
          <w:p w14:paraId="03895416" w14:textId="77777777" w:rsidR="00451CC2" w:rsidRPr="008A7CB8" w:rsidRDefault="00451CC2" w:rsidP="008A7CB8">
            <w:pPr>
              <w:pStyle w:val="Tabletext"/>
              <w:rPr>
                <w:rFonts w:eastAsia="Calibri"/>
              </w:rPr>
            </w:pPr>
            <w:r w:rsidRPr="008A7CB8">
              <w:rPr>
                <w:rFonts w:eastAsia="Calibri"/>
              </w:rPr>
              <w:t>2025.CSR1.5</w:t>
            </w:r>
          </w:p>
          <w:p w14:paraId="466B72AF" w14:textId="77777777" w:rsidR="00451CC2" w:rsidRPr="008A7CB8" w:rsidRDefault="00451CC2" w:rsidP="008A7CB8">
            <w:pPr>
              <w:pStyle w:val="Tabletext"/>
              <w:rPr>
                <w:rFonts w:eastAsia="Calibri"/>
              </w:rPr>
            </w:pPr>
            <w:r w:rsidRPr="008A7CB8">
              <w:rPr>
                <w:rFonts w:eastAsia="Calibri"/>
              </w:rPr>
              <w:t>2025.CSR1.6</w:t>
            </w:r>
          </w:p>
          <w:p w14:paraId="231B813D" w14:textId="77777777" w:rsidR="00451CC2" w:rsidRPr="008A7CB8" w:rsidRDefault="00451CC2" w:rsidP="008A7CB8">
            <w:pPr>
              <w:pStyle w:val="Tabletext"/>
              <w:rPr>
                <w:rFonts w:eastAsia="Calibri"/>
              </w:rPr>
            </w:pPr>
            <w:r w:rsidRPr="008A7CB8">
              <w:rPr>
                <w:rFonts w:eastAsia="Calibri"/>
              </w:rPr>
              <w:t>2019 CSR 2.3</w:t>
            </w:r>
          </w:p>
        </w:tc>
        <w:tc>
          <w:tcPr>
            <w:tcW w:w="1845" w:type="dxa"/>
            <w:tcMar>
              <w:top w:w="40" w:type="dxa"/>
              <w:left w:w="40" w:type="dxa"/>
              <w:bottom w:w="40" w:type="dxa"/>
              <w:right w:w="40" w:type="dxa"/>
            </w:tcMar>
            <w:vAlign w:val="center"/>
          </w:tcPr>
          <w:p w14:paraId="7139B695" w14:textId="77777777" w:rsidR="00451CC2" w:rsidRPr="008A7CB8" w:rsidRDefault="00451CC2" w:rsidP="008A7CB8">
            <w:pPr>
              <w:pStyle w:val="Tabletext"/>
              <w:rPr>
                <w:rFonts w:eastAsia="Calibri"/>
              </w:rPr>
            </w:pPr>
            <w:r w:rsidRPr="008A7CB8">
              <w:rPr>
                <w:rFonts w:eastAsia="Calibri"/>
              </w:rPr>
              <w:t>A fair green and digital transition</w:t>
            </w:r>
          </w:p>
        </w:tc>
        <w:tc>
          <w:tcPr>
            <w:tcW w:w="2100" w:type="dxa"/>
            <w:tcMar>
              <w:top w:w="0" w:type="dxa"/>
              <w:left w:w="100" w:type="dxa"/>
              <w:bottom w:w="0" w:type="dxa"/>
              <w:right w:w="100" w:type="dxa"/>
            </w:tcMar>
            <w:vAlign w:val="center"/>
          </w:tcPr>
          <w:p w14:paraId="4E1E5F86" w14:textId="77777777" w:rsidR="00451CC2" w:rsidRPr="008A7CB8" w:rsidRDefault="00451CC2" w:rsidP="008A7CB8">
            <w:pPr>
              <w:pStyle w:val="Tabletext"/>
              <w:rPr>
                <w:rFonts w:eastAsia="Calibri"/>
              </w:rPr>
            </w:pPr>
            <w:r w:rsidRPr="008A7CB8">
              <w:rPr>
                <w:rFonts w:eastAsia="Calibri"/>
              </w:rPr>
              <w:t>On track</w:t>
            </w:r>
          </w:p>
        </w:tc>
      </w:tr>
      <w:tr w:rsidR="00451CC2" w:rsidRPr="008A7CB8" w14:paraId="14FAB450" w14:textId="77777777" w:rsidTr="00425017">
        <w:trPr>
          <w:trHeight w:val="170"/>
          <w:jc w:val="center"/>
        </w:trPr>
        <w:tc>
          <w:tcPr>
            <w:tcW w:w="2790" w:type="dxa"/>
            <w:tcMar>
              <w:top w:w="40" w:type="dxa"/>
              <w:left w:w="40" w:type="dxa"/>
              <w:bottom w:w="40" w:type="dxa"/>
              <w:right w:w="40" w:type="dxa"/>
            </w:tcMar>
            <w:vAlign w:val="center"/>
          </w:tcPr>
          <w:p w14:paraId="7D86400D" w14:textId="77777777" w:rsidR="00451CC2" w:rsidRPr="008A7CB8" w:rsidRDefault="00540671" w:rsidP="008A7CB8">
            <w:pPr>
              <w:pStyle w:val="Tabletext"/>
              <w:rPr>
                <w:rFonts w:eastAsia="Calibri"/>
              </w:rPr>
            </w:pPr>
            <w:r w:rsidRPr="00540671">
              <w:rPr>
                <w:rFonts w:eastAsia="Calibri"/>
                <w:b/>
              </w:rPr>
              <w:t>REFORM 5:</w:t>
            </w:r>
            <w:r w:rsidR="00451CC2" w:rsidRPr="008A7CB8">
              <w:rPr>
                <w:rFonts w:eastAsia="Calibri"/>
              </w:rPr>
              <w:t xml:space="preserve"> Digital (Electronic) Case File</w:t>
            </w:r>
          </w:p>
        </w:tc>
        <w:tc>
          <w:tcPr>
            <w:tcW w:w="1215" w:type="dxa"/>
            <w:tcMar>
              <w:top w:w="40" w:type="dxa"/>
              <w:left w:w="40" w:type="dxa"/>
              <w:bottom w:w="40" w:type="dxa"/>
              <w:right w:w="40" w:type="dxa"/>
            </w:tcMar>
            <w:vAlign w:val="center"/>
          </w:tcPr>
          <w:p w14:paraId="22543C85" w14:textId="77777777" w:rsidR="00451CC2" w:rsidRPr="008A7CB8" w:rsidRDefault="00451CC2" w:rsidP="008A7CB8">
            <w:pPr>
              <w:pStyle w:val="Tabletext"/>
              <w:rPr>
                <w:rFonts w:eastAsia="Calibri"/>
              </w:rPr>
            </w:pPr>
            <w:r w:rsidRPr="008A7CB8">
              <w:rPr>
                <w:rFonts w:eastAsia="Calibri"/>
              </w:rPr>
              <w:t xml:space="preserve"> </w:t>
            </w:r>
          </w:p>
        </w:tc>
        <w:tc>
          <w:tcPr>
            <w:tcW w:w="1425" w:type="dxa"/>
            <w:tcMar>
              <w:top w:w="40" w:type="dxa"/>
              <w:left w:w="40" w:type="dxa"/>
              <w:bottom w:w="40" w:type="dxa"/>
              <w:right w:w="40" w:type="dxa"/>
            </w:tcMar>
            <w:vAlign w:val="center"/>
          </w:tcPr>
          <w:p w14:paraId="14A26F4B" w14:textId="77777777" w:rsidR="00451CC2" w:rsidRPr="008A7CB8" w:rsidRDefault="00451CC2" w:rsidP="008A7CB8">
            <w:pPr>
              <w:pStyle w:val="Tabletext"/>
              <w:rPr>
                <w:rFonts w:eastAsia="Calibri"/>
              </w:rPr>
            </w:pPr>
            <w:r w:rsidRPr="008A7CB8">
              <w:rPr>
                <w:rFonts w:eastAsia="Calibri"/>
              </w:rPr>
              <w:t>2025.CSR3.7</w:t>
            </w:r>
          </w:p>
          <w:p w14:paraId="369453D5" w14:textId="77777777" w:rsidR="00451CC2" w:rsidRPr="008A7CB8" w:rsidRDefault="00451CC2" w:rsidP="008A7CB8">
            <w:pPr>
              <w:pStyle w:val="Tabletext"/>
              <w:rPr>
                <w:rFonts w:eastAsia="Calibri"/>
              </w:rPr>
            </w:pPr>
            <w:r w:rsidRPr="008A7CB8">
              <w:rPr>
                <w:rFonts w:eastAsia="Calibri"/>
              </w:rPr>
              <w:t>2025.CSR1.5</w:t>
            </w:r>
          </w:p>
          <w:p w14:paraId="7360E612" w14:textId="77777777" w:rsidR="00451CC2" w:rsidRPr="008A7CB8" w:rsidRDefault="00451CC2" w:rsidP="008A7CB8">
            <w:pPr>
              <w:pStyle w:val="Tabletext"/>
              <w:rPr>
                <w:rFonts w:eastAsia="Calibri"/>
              </w:rPr>
            </w:pPr>
            <w:r w:rsidRPr="008A7CB8">
              <w:rPr>
                <w:rFonts w:eastAsia="Calibri"/>
              </w:rPr>
              <w:t>2025.CSR1.6</w:t>
            </w:r>
          </w:p>
          <w:p w14:paraId="67673C9E" w14:textId="77777777" w:rsidR="00451CC2" w:rsidRPr="008A7CB8" w:rsidRDefault="00451CC2" w:rsidP="008A7CB8">
            <w:pPr>
              <w:pStyle w:val="Tabletext"/>
              <w:rPr>
                <w:rFonts w:eastAsia="Calibri"/>
              </w:rPr>
            </w:pPr>
            <w:r w:rsidRPr="008A7CB8">
              <w:rPr>
                <w:rFonts w:eastAsia="Calibri"/>
              </w:rPr>
              <w:t xml:space="preserve"> </w:t>
            </w:r>
          </w:p>
        </w:tc>
        <w:tc>
          <w:tcPr>
            <w:tcW w:w="1845" w:type="dxa"/>
            <w:tcMar>
              <w:top w:w="40" w:type="dxa"/>
              <w:left w:w="40" w:type="dxa"/>
              <w:bottom w:w="40" w:type="dxa"/>
              <w:right w:w="40" w:type="dxa"/>
            </w:tcMar>
            <w:vAlign w:val="center"/>
          </w:tcPr>
          <w:p w14:paraId="7E8D71CE" w14:textId="77777777" w:rsidR="00451CC2" w:rsidRPr="008A7CB8" w:rsidRDefault="00451CC2" w:rsidP="008A7CB8">
            <w:pPr>
              <w:pStyle w:val="Tabletext"/>
              <w:rPr>
                <w:rFonts w:eastAsia="Calibri"/>
              </w:rPr>
            </w:pPr>
            <w:r w:rsidRPr="008A7CB8">
              <w:rPr>
                <w:rFonts w:eastAsia="Calibri"/>
              </w:rPr>
              <w:t>Social and Economic resilience</w:t>
            </w:r>
          </w:p>
        </w:tc>
        <w:tc>
          <w:tcPr>
            <w:tcW w:w="2100" w:type="dxa"/>
            <w:tcMar>
              <w:top w:w="0" w:type="dxa"/>
              <w:left w:w="100" w:type="dxa"/>
              <w:bottom w:w="0" w:type="dxa"/>
              <w:right w:w="100" w:type="dxa"/>
            </w:tcMar>
            <w:vAlign w:val="center"/>
          </w:tcPr>
          <w:p w14:paraId="1353E812" w14:textId="77777777" w:rsidR="00451CC2" w:rsidRPr="008A7CB8" w:rsidRDefault="00451CC2" w:rsidP="008A7CB8">
            <w:pPr>
              <w:pStyle w:val="Tabletext"/>
              <w:rPr>
                <w:rFonts w:eastAsia="Calibri"/>
              </w:rPr>
            </w:pPr>
            <w:r w:rsidRPr="008A7CB8">
              <w:rPr>
                <w:rFonts w:eastAsia="Calibri"/>
              </w:rPr>
              <w:t>On track</w:t>
            </w:r>
          </w:p>
        </w:tc>
      </w:tr>
      <w:tr w:rsidR="00451CC2" w:rsidRPr="008A7CB8" w14:paraId="6B6C163B" w14:textId="77777777" w:rsidTr="00425017">
        <w:trPr>
          <w:trHeight w:val="170"/>
          <w:jc w:val="center"/>
        </w:trPr>
        <w:tc>
          <w:tcPr>
            <w:tcW w:w="2790" w:type="dxa"/>
            <w:tcMar>
              <w:top w:w="40" w:type="dxa"/>
              <w:left w:w="40" w:type="dxa"/>
              <w:bottom w:w="40" w:type="dxa"/>
              <w:right w:w="40" w:type="dxa"/>
            </w:tcMar>
            <w:vAlign w:val="center"/>
          </w:tcPr>
          <w:p w14:paraId="70E41642" w14:textId="77777777" w:rsidR="00451CC2" w:rsidRPr="008A7CB8" w:rsidRDefault="00540671" w:rsidP="008A7CB8">
            <w:pPr>
              <w:pStyle w:val="Tabletext"/>
              <w:rPr>
                <w:rFonts w:eastAsia="Calibri"/>
              </w:rPr>
            </w:pPr>
            <w:r w:rsidRPr="00540671">
              <w:rPr>
                <w:rFonts w:eastAsia="Calibri"/>
                <w:b/>
              </w:rPr>
              <w:t>REFORM 6:</w:t>
            </w:r>
            <w:r w:rsidR="00451CC2" w:rsidRPr="008A7CB8">
              <w:rPr>
                <w:rFonts w:eastAsia="Calibri"/>
              </w:rPr>
              <w:t xml:space="preserve"> Code of Alternative Dispute Resolution (ADR)</w:t>
            </w:r>
          </w:p>
          <w:p w14:paraId="7936E0D4" w14:textId="77777777" w:rsidR="00451CC2" w:rsidRPr="008A7CB8" w:rsidRDefault="00451CC2" w:rsidP="008A7CB8">
            <w:pPr>
              <w:pStyle w:val="Tabletext"/>
              <w:rPr>
                <w:rFonts w:eastAsia="Calibri"/>
              </w:rPr>
            </w:pPr>
            <w:r w:rsidRPr="008A7CB8">
              <w:rPr>
                <w:rFonts w:eastAsia="Calibri"/>
              </w:rPr>
              <w:t xml:space="preserve"> </w:t>
            </w:r>
          </w:p>
        </w:tc>
        <w:tc>
          <w:tcPr>
            <w:tcW w:w="1215" w:type="dxa"/>
            <w:tcMar>
              <w:top w:w="40" w:type="dxa"/>
              <w:left w:w="40" w:type="dxa"/>
              <w:bottom w:w="40" w:type="dxa"/>
              <w:right w:w="40" w:type="dxa"/>
            </w:tcMar>
            <w:vAlign w:val="center"/>
          </w:tcPr>
          <w:p w14:paraId="495C12C9" w14:textId="77777777" w:rsidR="00451CC2" w:rsidRPr="008A7CB8" w:rsidRDefault="00451CC2" w:rsidP="008A7CB8">
            <w:pPr>
              <w:pStyle w:val="Tabletext"/>
              <w:rPr>
                <w:rFonts w:eastAsia="Calibri"/>
              </w:rPr>
            </w:pPr>
            <w:r w:rsidRPr="008A7CB8">
              <w:rPr>
                <w:rFonts w:eastAsia="Calibri"/>
              </w:rPr>
              <w:t xml:space="preserve"> </w:t>
            </w:r>
          </w:p>
        </w:tc>
        <w:tc>
          <w:tcPr>
            <w:tcW w:w="1425" w:type="dxa"/>
            <w:tcMar>
              <w:top w:w="40" w:type="dxa"/>
              <w:left w:w="40" w:type="dxa"/>
              <w:bottom w:w="40" w:type="dxa"/>
              <w:right w:w="40" w:type="dxa"/>
            </w:tcMar>
            <w:vAlign w:val="center"/>
          </w:tcPr>
          <w:p w14:paraId="6C4986E7" w14:textId="77777777" w:rsidR="00451CC2" w:rsidRPr="008A7CB8" w:rsidRDefault="00451CC2" w:rsidP="008A7CB8">
            <w:pPr>
              <w:pStyle w:val="Tabletext"/>
              <w:rPr>
                <w:rFonts w:eastAsia="Calibri"/>
              </w:rPr>
            </w:pPr>
            <w:r w:rsidRPr="008A7CB8">
              <w:rPr>
                <w:rFonts w:eastAsia="Calibri"/>
              </w:rPr>
              <w:t>2025.CSR3.7</w:t>
            </w:r>
          </w:p>
          <w:p w14:paraId="5BC93C9C" w14:textId="77777777" w:rsidR="00451CC2" w:rsidRPr="008A7CB8" w:rsidRDefault="00451CC2" w:rsidP="008A7CB8">
            <w:pPr>
              <w:pStyle w:val="Tabletext"/>
              <w:rPr>
                <w:rFonts w:eastAsia="Calibri"/>
              </w:rPr>
            </w:pPr>
            <w:r w:rsidRPr="008A7CB8">
              <w:rPr>
                <w:rFonts w:eastAsia="Calibri"/>
              </w:rPr>
              <w:t xml:space="preserve"> </w:t>
            </w:r>
          </w:p>
        </w:tc>
        <w:tc>
          <w:tcPr>
            <w:tcW w:w="1845" w:type="dxa"/>
            <w:tcMar>
              <w:top w:w="40" w:type="dxa"/>
              <w:left w:w="40" w:type="dxa"/>
              <w:bottom w:w="40" w:type="dxa"/>
              <w:right w:w="40" w:type="dxa"/>
            </w:tcMar>
            <w:vAlign w:val="center"/>
          </w:tcPr>
          <w:p w14:paraId="52270DB4" w14:textId="77777777" w:rsidR="00451CC2" w:rsidRPr="008A7CB8" w:rsidRDefault="00451CC2" w:rsidP="008A7CB8">
            <w:pPr>
              <w:pStyle w:val="Tabletext"/>
              <w:rPr>
                <w:rFonts w:eastAsia="Calibri"/>
              </w:rPr>
            </w:pPr>
            <w:r w:rsidRPr="008A7CB8">
              <w:rPr>
                <w:rFonts w:eastAsia="Calibri"/>
              </w:rPr>
              <w:t>Social and Economic resilience</w:t>
            </w:r>
          </w:p>
        </w:tc>
        <w:tc>
          <w:tcPr>
            <w:tcW w:w="2100" w:type="dxa"/>
            <w:tcMar>
              <w:top w:w="0" w:type="dxa"/>
              <w:left w:w="100" w:type="dxa"/>
              <w:bottom w:w="0" w:type="dxa"/>
              <w:right w:w="100" w:type="dxa"/>
            </w:tcMar>
            <w:vAlign w:val="center"/>
          </w:tcPr>
          <w:p w14:paraId="3F4594D9" w14:textId="77777777" w:rsidR="00451CC2" w:rsidRPr="008A7CB8" w:rsidRDefault="00451CC2" w:rsidP="008A7CB8">
            <w:pPr>
              <w:pStyle w:val="Tabletext"/>
              <w:rPr>
                <w:rFonts w:eastAsia="Calibri"/>
              </w:rPr>
            </w:pPr>
            <w:r w:rsidRPr="008A7CB8">
              <w:rPr>
                <w:rFonts w:eastAsia="Calibri"/>
              </w:rPr>
              <w:t>On track</w:t>
            </w:r>
          </w:p>
        </w:tc>
      </w:tr>
      <w:tr w:rsidR="00451CC2" w:rsidRPr="008A7CB8" w14:paraId="366F9F8B" w14:textId="77777777" w:rsidTr="00425017">
        <w:trPr>
          <w:trHeight w:val="170"/>
          <w:jc w:val="center"/>
        </w:trPr>
        <w:tc>
          <w:tcPr>
            <w:tcW w:w="2790" w:type="dxa"/>
            <w:tcMar>
              <w:top w:w="40" w:type="dxa"/>
              <w:left w:w="40" w:type="dxa"/>
              <w:bottom w:w="40" w:type="dxa"/>
              <w:right w:w="40" w:type="dxa"/>
            </w:tcMar>
            <w:vAlign w:val="center"/>
          </w:tcPr>
          <w:p w14:paraId="2C9DC7A0" w14:textId="77777777" w:rsidR="00451CC2" w:rsidRPr="008A7CB8" w:rsidRDefault="00451CC2" w:rsidP="008A7CB8">
            <w:pPr>
              <w:pStyle w:val="Tabletext"/>
              <w:rPr>
                <w:rFonts w:eastAsia="Calibri"/>
              </w:rPr>
            </w:pPr>
            <w:r w:rsidRPr="008A7CB8">
              <w:rPr>
                <w:rFonts w:eastAsia="Calibri"/>
              </w:rPr>
              <w:t xml:space="preserve">IΝVESTMENT 1: Improve the efficiency of the justice </w:t>
            </w:r>
            <w:proofErr w:type="spellStart"/>
            <w:r w:rsidRPr="008A7CB8">
              <w:rPr>
                <w:rFonts w:eastAsia="Calibri"/>
              </w:rPr>
              <w:t>system_New</w:t>
            </w:r>
            <w:proofErr w:type="spellEnd"/>
            <w:r w:rsidRPr="008A7CB8">
              <w:rPr>
                <w:rFonts w:eastAsia="Calibri"/>
              </w:rPr>
              <w:t xml:space="preserve"> Judicial Buildings</w:t>
            </w:r>
          </w:p>
        </w:tc>
        <w:tc>
          <w:tcPr>
            <w:tcW w:w="1215" w:type="dxa"/>
            <w:tcMar>
              <w:top w:w="40" w:type="dxa"/>
              <w:left w:w="40" w:type="dxa"/>
              <w:bottom w:w="40" w:type="dxa"/>
              <w:right w:w="40" w:type="dxa"/>
            </w:tcMar>
            <w:vAlign w:val="center"/>
          </w:tcPr>
          <w:p w14:paraId="3C001812" w14:textId="77777777" w:rsidR="00451CC2" w:rsidRPr="008A7CB8" w:rsidRDefault="00451CC2" w:rsidP="008A7CB8">
            <w:pPr>
              <w:pStyle w:val="Tabletext"/>
              <w:rPr>
                <w:rFonts w:eastAsia="Calibri"/>
              </w:rPr>
            </w:pPr>
            <w:r w:rsidRPr="008A7CB8">
              <w:rPr>
                <w:rFonts w:eastAsia="Calibri"/>
              </w:rPr>
              <w:t xml:space="preserve"> </w:t>
            </w:r>
          </w:p>
          <w:p w14:paraId="6AA8474C" w14:textId="77777777" w:rsidR="00451CC2" w:rsidRPr="008A7CB8" w:rsidRDefault="00451CC2" w:rsidP="008A7CB8">
            <w:pPr>
              <w:pStyle w:val="Tabletext"/>
              <w:rPr>
                <w:rFonts w:eastAsia="Calibri"/>
              </w:rPr>
            </w:pPr>
            <w:r w:rsidRPr="008A7CB8">
              <w:rPr>
                <w:rFonts w:eastAsia="Calibri"/>
              </w:rPr>
              <w:t>RRF 16292</w:t>
            </w:r>
          </w:p>
        </w:tc>
        <w:tc>
          <w:tcPr>
            <w:tcW w:w="1425" w:type="dxa"/>
            <w:tcMar>
              <w:top w:w="40" w:type="dxa"/>
              <w:left w:w="40" w:type="dxa"/>
              <w:bottom w:w="40" w:type="dxa"/>
              <w:right w:w="40" w:type="dxa"/>
            </w:tcMar>
            <w:vAlign w:val="center"/>
          </w:tcPr>
          <w:p w14:paraId="54C429DE" w14:textId="77777777" w:rsidR="00451CC2" w:rsidRPr="008A7CB8" w:rsidRDefault="00451CC2" w:rsidP="008A7CB8">
            <w:pPr>
              <w:pStyle w:val="Tabletext"/>
              <w:rPr>
                <w:rFonts w:eastAsia="Calibri"/>
              </w:rPr>
            </w:pPr>
            <w:r w:rsidRPr="008A7CB8">
              <w:rPr>
                <w:rFonts w:eastAsia="Calibri"/>
              </w:rPr>
              <w:t>2024.CSR1. 5</w:t>
            </w:r>
          </w:p>
          <w:p w14:paraId="0486FBC6" w14:textId="77777777" w:rsidR="00451CC2" w:rsidRPr="008A7CB8" w:rsidRDefault="00451CC2" w:rsidP="008A7CB8">
            <w:pPr>
              <w:pStyle w:val="Tabletext"/>
              <w:rPr>
                <w:rFonts w:eastAsia="Calibri"/>
              </w:rPr>
            </w:pPr>
            <w:r w:rsidRPr="008A7CB8">
              <w:rPr>
                <w:rFonts w:eastAsia="Calibri"/>
              </w:rPr>
              <w:t>2022 CSR 1.6</w:t>
            </w:r>
          </w:p>
          <w:p w14:paraId="49759167" w14:textId="77777777" w:rsidR="00451CC2" w:rsidRPr="008A7CB8" w:rsidRDefault="00451CC2" w:rsidP="008A7CB8">
            <w:pPr>
              <w:pStyle w:val="Tabletext"/>
              <w:rPr>
                <w:rFonts w:eastAsia="Calibri"/>
              </w:rPr>
            </w:pPr>
            <w:r w:rsidRPr="008A7CB8">
              <w:rPr>
                <w:rFonts w:eastAsia="Calibri"/>
              </w:rPr>
              <w:t>2022 CSR 4.5</w:t>
            </w:r>
          </w:p>
          <w:p w14:paraId="3E57F848" w14:textId="77777777" w:rsidR="00451CC2" w:rsidRPr="008A7CB8" w:rsidRDefault="00451CC2" w:rsidP="008A7CB8">
            <w:pPr>
              <w:pStyle w:val="Tabletext"/>
              <w:rPr>
                <w:rFonts w:eastAsia="Calibri"/>
              </w:rPr>
            </w:pPr>
            <w:r w:rsidRPr="008A7CB8">
              <w:rPr>
                <w:rFonts w:eastAsia="Calibri"/>
              </w:rPr>
              <w:t>2020 CSR 1.1</w:t>
            </w:r>
          </w:p>
          <w:p w14:paraId="4FDCB028" w14:textId="77777777" w:rsidR="00451CC2" w:rsidRPr="008A7CB8" w:rsidRDefault="00451CC2" w:rsidP="008A7CB8">
            <w:pPr>
              <w:pStyle w:val="Tabletext"/>
              <w:rPr>
                <w:rFonts w:eastAsia="Calibri"/>
              </w:rPr>
            </w:pPr>
            <w:r w:rsidRPr="008A7CB8">
              <w:rPr>
                <w:rFonts w:eastAsia="Calibri"/>
              </w:rPr>
              <w:t>2020 CSR 3.9</w:t>
            </w:r>
          </w:p>
        </w:tc>
        <w:tc>
          <w:tcPr>
            <w:tcW w:w="1845" w:type="dxa"/>
            <w:tcMar>
              <w:top w:w="40" w:type="dxa"/>
              <w:left w:w="40" w:type="dxa"/>
              <w:bottom w:w="40" w:type="dxa"/>
              <w:right w:w="40" w:type="dxa"/>
            </w:tcMar>
            <w:vAlign w:val="center"/>
          </w:tcPr>
          <w:p w14:paraId="605ECBBE" w14:textId="77777777" w:rsidR="00451CC2" w:rsidRPr="008A7CB8" w:rsidRDefault="00451CC2" w:rsidP="008A7CB8">
            <w:pPr>
              <w:pStyle w:val="Tabletext"/>
              <w:rPr>
                <w:rFonts w:eastAsia="Calibri"/>
              </w:rPr>
            </w:pPr>
            <w:r w:rsidRPr="008A7CB8">
              <w:rPr>
                <w:rFonts w:eastAsia="Calibri"/>
              </w:rPr>
              <w:t>A fair green and digital transition</w:t>
            </w:r>
          </w:p>
        </w:tc>
        <w:tc>
          <w:tcPr>
            <w:tcW w:w="2100" w:type="dxa"/>
            <w:tcMar>
              <w:top w:w="0" w:type="dxa"/>
              <w:left w:w="100" w:type="dxa"/>
              <w:bottom w:w="0" w:type="dxa"/>
              <w:right w:w="100" w:type="dxa"/>
            </w:tcMar>
            <w:vAlign w:val="center"/>
          </w:tcPr>
          <w:p w14:paraId="2FBB105D" w14:textId="77777777" w:rsidR="00451CC2" w:rsidRPr="008A7CB8" w:rsidRDefault="00451CC2" w:rsidP="008A7CB8">
            <w:pPr>
              <w:pStyle w:val="Tabletext"/>
              <w:rPr>
                <w:rFonts w:eastAsia="Calibri"/>
              </w:rPr>
            </w:pPr>
            <w:r w:rsidRPr="008A7CB8">
              <w:rPr>
                <w:rFonts w:eastAsia="Calibri"/>
              </w:rPr>
              <w:t>On track</w:t>
            </w:r>
          </w:p>
        </w:tc>
      </w:tr>
    </w:tbl>
    <w:p w14:paraId="73487694" w14:textId="77777777" w:rsidR="00451CC2" w:rsidRPr="00A746D8" w:rsidRDefault="00451CC2" w:rsidP="00D31D31">
      <w:pPr>
        <w:spacing w:before="120"/>
        <w:rPr>
          <w:rFonts w:eastAsia="Calibri"/>
          <w:lang w:val="en-US"/>
        </w:rPr>
      </w:pPr>
      <w:r w:rsidRPr="00A746D8">
        <w:rPr>
          <w:rFonts w:eastAsia="Calibri"/>
          <w:lang w:val="en-US"/>
        </w:rPr>
        <w:t xml:space="preserve">The </w:t>
      </w:r>
      <w:r w:rsidRPr="00A746D8">
        <w:rPr>
          <w:rFonts w:eastAsia="Calibri"/>
          <w:b/>
          <w:lang w:val="en-US"/>
        </w:rPr>
        <w:t>RRF reform</w:t>
      </w:r>
      <w:r w:rsidRPr="00A746D8">
        <w:rPr>
          <w:rFonts w:eastAsia="Calibri"/>
          <w:lang w:val="en-US"/>
        </w:rPr>
        <w:t xml:space="preserve"> </w:t>
      </w:r>
      <w:r w:rsidRPr="00A746D8">
        <w:rPr>
          <w:rFonts w:eastAsia="Calibri"/>
          <w:b/>
          <w:bCs/>
          <w:lang w:val="en-US"/>
        </w:rPr>
        <w:t>“</w:t>
      </w:r>
      <w:r w:rsidRPr="007D72D6">
        <w:rPr>
          <w:rFonts w:eastAsia="Calibri"/>
          <w:b/>
          <w:bCs/>
        </w:rPr>
        <w:t>Α</w:t>
      </w:r>
      <w:proofErr w:type="spellStart"/>
      <w:r w:rsidRPr="00A746D8">
        <w:rPr>
          <w:rFonts w:eastAsia="Calibri"/>
          <w:b/>
          <w:bCs/>
          <w:lang w:val="en-US"/>
        </w:rPr>
        <w:t>ccelerating</w:t>
      </w:r>
      <w:proofErr w:type="spellEnd"/>
      <w:r w:rsidRPr="00A746D8">
        <w:rPr>
          <w:rFonts w:eastAsia="Calibri"/>
          <w:b/>
          <w:bCs/>
          <w:lang w:val="en-US"/>
        </w:rPr>
        <w:t xml:space="preserve"> the administration of justice _ Judicial Map”, </w:t>
      </w:r>
      <w:r w:rsidRPr="00A746D8">
        <w:rPr>
          <w:rFonts w:eastAsia="Calibri"/>
          <w:lang w:val="en-US"/>
        </w:rPr>
        <w:t xml:space="preserve">enhancing the </w:t>
      </w:r>
      <w:r w:rsidRPr="00A746D8">
        <w:rPr>
          <w:rFonts w:eastAsia="Calibri"/>
          <w:b/>
          <w:bCs/>
          <w:lang w:val="en-US"/>
        </w:rPr>
        <w:t>efficiency of the organisation of judicial districts</w:t>
      </w:r>
      <w:r w:rsidRPr="00A746D8">
        <w:rPr>
          <w:rFonts w:eastAsia="Calibri"/>
          <w:lang w:val="en-US"/>
        </w:rPr>
        <w:t xml:space="preserve">, was completed by the end of 2025 (submission of RRF MT236). The initiative entailed the establishment, abolition and redistribution of judicial structures based on objective criteria, with a view to reducing the backlog of court cases and improving the overall efficiency of the justice system. Significant progress was made through the unification of first-instance jurisdiction. The reform nearly doubled the number of first-degree judges (from 1,200 to 2,116), enabling a more balanced distribution of caseloads and faster case resolution. The new spatial planning resulted in the creation of viable and productive courts, each staffed with more than 15 judges, in line with international and European standards. In addition, the number of primary court formations was streamlined from 217 to 113 nationwide. By consolidating court operations and eliminating </w:t>
      </w:r>
      <w:proofErr w:type="spellStart"/>
      <w:r w:rsidRPr="00A746D8">
        <w:rPr>
          <w:rFonts w:eastAsia="Calibri"/>
          <w:lang w:val="en-US"/>
        </w:rPr>
        <w:t>underutilised</w:t>
      </w:r>
      <w:proofErr w:type="spellEnd"/>
      <w:r w:rsidRPr="00A746D8">
        <w:rPr>
          <w:rFonts w:eastAsia="Calibri"/>
          <w:lang w:val="en-US"/>
        </w:rPr>
        <w:t xml:space="preserve"> magistrates’ courts, the reform improved accessibility, particularly in smaller and remote regions, while maintaining constitutional exceptions for border and island areas. Overall, the results demonstrate enhanced efficiency and improved allocation of judicial resources. More specifically, performance indicators show a marked improvement. The clearance rate increased from 86.20% to 98.70% over the period from 16 September 2024 to 16 September 2025, and the average time required to issue a decision was significantly reduced from 774 to 383 days, corresponding to a decrease of 48.80%. Data provided by the Court of First Instance of Athens further illustrate the impact of the reform, particularly following the separation of the civil and criminal departments. The clearance rate increased from 86% to 104% over the period from 16 September 2024 to 16 September 2025. At the same time, the average time required to issue a decision decreased from 1,448 to 535 days, representing a reduction of 913 days (63.10%).</w:t>
      </w:r>
    </w:p>
    <w:p w14:paraId="3DF9F8DD" w14:textId="77777777" w:rsidR="00451CC2" w:rsidRPr="00A746D8" w:rsidRDefault="00451CC2" w:rsidP="00D31D31">
      <w:pPr>
        <w:rPr>
          <w:rFonts w:eastAsia="Calibri"/>
          <w:lang w:val="en-US"/>
        </w:rPr>
      </w:pPr>
      <w:r w:rsidRPr="00A746D8">
        <w:rPr>
          <w:rFonts w:eastAsia="Calibri"/>
          <w:lang w:val="en-US"/>
        </w:rPr>
        <w:t xml:space="preserve">The </w:t>
      </w:r>
      <w:r w:rsidRPr="00A746D8">
        <w:rPr>
          <w:rFonts w:eastAsia="Calibri"/>
          <w:b/>
          <w:lang w:val="en-US"/>
        </w:rPr>
        <w:t>RRF reform “</w:t>
      </w:r>
      <w:r w:rsidRPr="00DB3A59">
        <w:rPr>
          <w:rFonts w:eastAsia="Calibri"/>
          <w:b/>
        </w:rPr>
        <w:t>Α</w:t>
      </w:r>
      <w:proofErr w:type="spellStart"/>
      <w:r w:rsidRPr="00A746D8">
        <w:rPr>
          <w:rFonts w:eastAsia="Calibri"/>
          <w:b/>
          <w:lang w:val="en-US"/>
        </w:rPr>
        <w:t>ccelerating</w:t>
      </w:r>
      <w:proofErr w:type="spellEnd"/>
      <w:r w:rsidRPr="00A746D8">
        <w:rPr>
          <w:rFonts w:eastAsia="Calibri"/>
          <w:b/>
          <w:lang w:val="en-US"/>
        </w:rPr>
        <w:t xml:space="preserve"> the administration of justice _ Judicial Police”</w:t>
      </w:r>
      <w:r w:rsidRPr="00A746D8">
        <w:rPr>
          <w:rFonts w:eastAsia="Calibri"/>
          <w:lang w:val="en-US"/>
        </w:rPr>
        <w:t xml:space="preserve"> has been fully </w:t>
      </w:r>
      <w:proofErr w:type="spellStart"/>
      <w:r w:rsidRPr="00A746D8">
        <w:rPr>
          <w:rFonts w:eastAsia="Calibri"/>
          <w:lang w:val="en-US"/>
        </w:rPr>
        <w:t>operationalised</w:t>
      </w:r>
      <w:proofErr w:type="spellEnd"/>
      <w:r w:rsidRPr="00A746D8">
        <w:rPr>
          <w:rFonts w:eastAsia="Calibri"/>
          <w:lang w:val="en-US"/>
        </w:rPr>
        <w:t xml:space="preserve"> across all its areas of competence, in line with RRF MT234 submitted in July 2025. The new institution has strengthened the justice system by providing </w:t>
      </w:r>
      <w:proofErr w:type="spellStart"/>
      <w:r w:rsidRPr="00A746D8">
        <w:rPr>
          <w:rFonts w:eastAsia="Calibri"/>
          <w:lang w:val="en-US"/>
        </w:rPr>
        <w:t>specialised</w:t>
      </w:r>
      <w:proofErr w:type="spellEnd"/>
      <w:r w:rsidRPr="00A746D8">
        <w:rPr>
          <w:rFonts w:eastAsia="Calibri"/>
          <w:lang w:val="en-US"/>
        </w:rPr>
        <w:t xml:space="preserve"> expertise for the investigation of complex crimes and delivering a broad range of judicial assistance services. Following the adoption of Law 4963/2022 establishing the Judicial Police and the appointment of the Head of the Judicial Police Directorate at the Ministry of Justice, the heads of the Directorate’s regional and departmental units were appointed in 2025. Newly </w:t>
      </w:r>
      <w:r w:rsidRPr="00A746D8">
        <w:rPr>
          <w:rFonts w:eastAsia="Calibri"/>
          <w:lang w:val="en-US"/>
        </w:rPr>
        <w:lastRenderedPageBreak/>
        <w:t>recruited staff, totaling 591 employees across both sectors (police and civil), have assumed their duties and taken up their posts in courts across the country. Overall, the reform is now fully implemented and operational, contributing tangibly to the efficiency, quality and speed of justice delivery.</w:t>
      </w:r>
    </w:p>
    <w:p w14:paraId="39CCFBBF" w14:textId="77777777" w:rsidR="00451CC2" w:rsidRPr="00A746D8" w:rsidRDefault="00451CC2" w:rsidP="00D31D31">
      <w:pPr>
        <w:rPr>
          <w:rFonts w:eastAsia="Calibri"/>
          <w:lang w:val="en-US"/>
        </w:rPr>
      </w:pPr>
      <w:r w:rsidRPr="00A746D8">
        <w:rPr>
          <w:rFonts w:eastAsia="Calibri"/>
          <w:b/>
          <w:bCs/>
          <w:lang w:val="en-US"/>
        </w:rPr>
        <w:t>The RRF E-Justice reform</w:t>
      </w:r>
      <w:r w:rsidRPr="00A746D8">
        <w:rPr>
          <w:rFonts w:eastAsia="Calibri"/>
          <w:lang w:val="en-US"/>
        </w:rPr>
        <w:t xml:space="preserve"> aims to improve the efficiency of the justice system, accelerate judicial administration and enhance the quality of services provided to citizens, legal practitioners, and judges. To this end, the project focuses on upgrading courts’ record-keeping systems and expanding information systems across the justice sector, including:</w:t>
      </w:r>
    </w:p>
    <w:p w14:paraId="07E2907A" w14:textId="77777777" w:rsidR="00451CC2" w:rsidRPr="00A746D8" w:rsidRDefault="00451CC2" w:rsidP="00D31D31">
      <w:pPr>
        <w:rPr>
          <w:rFonts w:eastAsia="Calibri"/>
          <w:lang w:val="en-US"/>
        </w:rPr>
      </w:pPr>
      <w:r w:rsidRPr="00A746D8">
        <w:rPr>
          <w:rFonts w:eastAsia="Calibri"/>
          <w:b/>
          <w:bCs/>
          <w:lang w:val="en-US"/>
        </w:rPr>
        <w:t>OSDDY-PP II</w:t>
      </w:r>
      <w:r w:rsidRPr="00A746D8">
        <w:rPr>
          <w:rFonts w:eastAsia="Calibri"/>
          <w:lang w:val="en-US"/>
        </w:rPr>
        <w:t>, which has been rolled out to five court of appeal districts;</w:t>
      </w:r>
    </w:p>
    <w:p w14:paraId="19CD53BE" w14:textId="77777777" w:rsidR="00451CC2" w:rsidRPr="00A746D8" w:rsidRDefault="00451CC2" w:rsidP="00D31D31">
      <w:pPr>
        <w:rPr>
          <w:rFonts w:eastAsia="Calibri"/>
          <w:lang w:val="en-US"/>
        </w:rPr>
      </w:pPr>
      <w:r w:rsidRPr="00A746D8">
        <w:rPr>
          <w:rFonts w:eastAsia="Calibri"/>
          <w:b/>
          <w:bCs/>
          <w:lang w:val="en-US"/>
        </w:rPr>
        <w:t>The Court of Audit</w:t>
      </w:r>
      <w:r w:rsidRPr="00A746D8">
        <w:rPr>
          <w:rFonts w:eastAsia="Calibri"/>
          <w:lang w:val="en-US"/>
        </w:rPr>
        <w:t>, where the core project was successfully completed in 2025. In addition, the first supplementary phase of the project (activated in December 2024) is currently under implementation, while the second supplementary phase has also been activated and is progressing in line with the planned timeline;</w:t>
      </w:r>
    </w:p>
    <w:p w14:paraId="75125512" w14:textId="77777777" w:rsidR="00451CC2" w:rsidRPr="00A746D8" w:rsidRDefault="00451CC2" w:rsidP="00D31D31">
      <w:pPr>
        <w:rPr>
          <w:rFonts w:eastAsia="Calibri"/>
          <w:lang w:val="en-US"/>
        </w:rPr>
      </w:pPr>
      <w:r w:rsidRPr="00A746D8">
        <w:rPr>
          <w:rFonts w:eastAsia="Calibri"/>
          <w:b/>
          <w:bCs/>
          <w:lang w:val="en-US"/>
        </w:rPr>
        <w:t xml:space="preserve">The National Criminal Records Register System, </w:t>
      </w:r>
      <w:r w:rsidRPr="00A746D8">
        <w:rPr>
          <w:rFonts w:eastAsia="Calibri"/>
          <w:lang w:val="en-US"/>
        </w:rPr>
        <w:t>for which</w:t>
      </w:r>
      <w:r w:rsidRPr="00A746D8">
        <w:rPr>
          <w:rFonts w:eastAsia="Calibri"/>
          <w:b/>
          <w:bCs/>
          <w:lang w:val="en-US"/>
        </w:rPr>
        <w:t xml:space="preserve"> </w:t>
      </w:r>
      <w:r w:rsidRPr="00A746D8">
        <w:rPr>
          <w:rFonts w:eastAsia="Calibri"/>
          <w:lang w:val="en-US"/>
        </w:rPr>
        <w:t xml:space="preserve">implementation is advancing, with the user training phase is currently underway. </w:t>
      </w:r>
    </w:p>
    <w:p w14:paraId="5B568474" w14:textId="77777777" w:rsidR="00451CC2" w:rsidRPr="00A746D8" w:rsidRDefault="00451CC2" w:rsidP="00D31D31">
      <w:pPr>
        <w:rPr>
          <w:rFonts w:eastAsia="Calibri"/>
          <w:lang w:val="en-US"/>
        </w:rPr>
      </w:pPr>
      <w:r w:rsidRPr="00A746D8">
        <w:rPr>
          <w:rFonts w:eastAsia="Calibri"/>
          <w:lang w:val="en-US"/>
        </w:rPr>
        <w:t xml:space="preserve">Moreover, substantial progress has been achieved in the implementation of the </w:t>
      </w:r>
      <w:r w:rsidRPr="00A746D8">
        <w:rPr>
          <w:rFonts w:eastAsia="Calibri"/>
          <w:b/>
          <w:bCs/>
          <w:lang w:val="en-US"/>
        </w:rPr>
        <w:t>upgraded record-keeping system</w:t>
      </w:r>
      <w:r w:rsidRPr="00A746D8">
        <w:rPr>
          <w:rFonts w:eastAsia="Calibri"/>
          <w:lang w:val="en-US"/>
        </w:rPr>
        <w:t xml:space="preserve">, with a total of 278,443.31 hours of audio recording and transcription completed and delivered. It is also worth highlighting the development of the Forensic Services Information System, which is expected to contribute significantly to the acceleration of judicial processes, as well as to enhancing the overall quality of justice. The project is currently progressing smoothly under Phase 2, and to date, deliverables P6–P7, relating to research in the field of human–machine communication and the analysis of medical images through the application of artificial intelligence (AI), have been successfully accepted. Upon its completion, anticipated in June 2026, the system will be deployed across all forensic services in the country. Finally, a </w:t>
      </w:r>
      <w:r w:rsidRPr="00A746D8">
        <w:rPr>
          <w:rFonts w:eastAsia="Calibri"/>
          <w:b/>
          <w:bCs/>
          <w:lang w:val="en-US"/>
        </w:rPr>
        <w:t>parallel project</w:t>
      </w:r>
      <w:r w:rsidRPr="00A746D8">
        <w:rPr>
          <w:rFonts w:eastAsia="Calibri"/>
          <w:lang w:val="en-US"/>
        </w:rPr>
        <w:t xml:space="preserve"> funded under the National Strategic Reference Framework (NSRF), aimed at </w:t>
      </w:r>
      <w:r w:rsidRPr="00A746D8">
        <w:rPr>
          <w:rFonts w:eastAsia="Calibri"/>
          <w:b/>
          <w:bCs/>
          <w:lang w:val="en-US"/>
        </w:rPr>
        <w:t>facilitating remote hearings (tele-hearings)</w:t>
      </w:r>
      <w:r w:rsidRPr="00A746D8">
        <w:rPr>
          <w:rFonts w:eastAsia="Calibri"/>
          <w:lang w:val="en-US"/>
        </w:rPr>
        <w:t>, has been delivered. Its complementary components are currently being implemented in line with the planned timeline, following the delivery of the necessary equipment and ready-to-use software, while full completion is expected by the end of April 2026.</w:t>
      </w:r>
    </w:p>
    <w:p w14:paraId="21244C28" w14:textId="77777777" w:rsidR="00451CC2" w:rsidRPr="00A746D8" w:rsidRDefault="00451CC2" w:rsidP="00172EA1">
      <w:pPr>
        <w:rPr>
          <w:rFonts w:eastAsia="Calibri"/>
          <w:lang w:val="en-US"/>
        </w:rPr>
      </w:pPr>
      <w:r w:rsidRPr="00A746D8">
        <w:rPr>
          <w:rFonts w:eastAsia="Calibri"/>
          <w:lang w:val="en-US"/>
        </w:rPr>
        <w:t xml:space="preserve">To address the challenge of insufficient digitalisation of court proceedings, records and decisions, an </w:t>
      </w:r>
      <w:r w:rsidRPr="00A746D8">
        <w:rPr>
          <w:rFonts w:eastAsia="Calibri"/>
          <w:b/>
          <w:bCs/>
          <w:lang w:val="en-US"/>
        </w:rPr>
        <w:t>Integrated Case Management System for Administrative Justice (“OSDDY-DD”)</w:t>
      </w:r>
      <w:r w:rsidRPr="00A746D8">
        <w:rPr>
          <w:rFonts w:eastAsia="Calibri"/>
          <w:lang w:val="en-US"/>
        </w:rPr>
        <w:t xml:space="preserve"> has been implemented. The project covers all administrative courts, including the Council of State and the General Commission of the Regular Administrative Courts, and aims to streamline judicial processes and enhance overall efficiency. All subprojects (1, 2 and 3) have been contracted and are progressing in line with the agreed timetable. Key contractual deliverables, such as the Risk Management Study, the Business Impact Assessment, the Data Protection Impact Assessment and the Business Continuity Plan under Subproject 3, have already been completed.</w:t>
      </w:r>
    </w:p>
    <w:p w14:paraId="088A513C" w14:textId="77777777" w:rsidR="00451CC2" w:rsidRPr="00A746D8" w:rsidRDefault="00451CC2" w:rsidP="00172EA1">
      <w:pPr>
        <w:rPr>
          <w:rFonts w:eastAsia="Calibri"/>
          <w:color w:val="EE0000"/>
          <w:lang w:val="en-US"/>
        </w:rPr>
      </w:pPr>
      <w:r w:rsidRPr="00A746D8">
        <w:rPr>
          <w:rFonts w:eastAsia="Calibri"/>
          <w:b/>
          <w:bCs/>
          <w:lang w:val="en-US"/>
        </w:rPr>
        <w:t>Greek judicial system</w:t>
      </w:r>
      <w:r w:rsidRPr="00A746D8">
        <w:rPr>
          <w:rFonts w:eastAsia="Calibri"/>
          <w:lang w:val="en-US"/>
        </w:rPr>
        <w:t xml:space="preserve"> has been strengthened through a set of structural and procedural reforms, </w:t>
      </w:r>
      <w:proofErr w:type="spellStart"/>
      <w:r w:rsidRPr="00A746D8">
        <w:rPr>
          <w:rFonts w:eastAsia="Calibri"/>
          <w:lang w:val="en-US"/>
        </w:rPr>
        <w:t>centred</w:t>
      </w:r>
      <w:proofErr w:type="spellEnd"/>
      <w:r w:rsidRPr="00A746D8">
        <w:rPr>
          <w:rFonts w:eastAsia="Calibri"/>
          <w:lang w:val="en-US"/>
        </w:rPr>
        <w:t xml:space="preserve"> on the new provisions of the Code of Civil Procedure, which entered into force </w:t>
      </w:r>
      <w:r w:rsidRPr="00A746D8">
        <w:rPr>
          <w:rFonts w:eastAsia="Calibri"/>
          <w:lang w:val="en-US"/>
        </w:rPr>
        <w:lastRenderedPageBreak/>
        <w:t xml:space="preserve">on 1 January 2026 and constitute a key institutional tool for accelerating adjudication at first instance and appellate level. Among other measures, the framework introduces the </w:t>
      </w:r>
      <w:r w:rsidRPr="00A746D8">
        <w:rPr>
          <w:rFonts w:eastAsia="Calibri"/>
          <w:b/>
          <w:bCs/>
          <w:lang w:val="en-US"/>
        </w:rPr>
        <w:t>Digital (Electronic) Case File</w:t>
      </w:r>
      <w:r w:rsidRPr="00A746D8">
        <w:rPr>
          <w:rFonts w:eastAsia="Calibri"/>
          <w:lang w:val="en-US"/>
        </w:rPr>
        <w:t xml:space="preserve"> as a core pillar of digital justice. Under this system, a complete digital file is created upon the filing of the initiating pleading, incorporating all procedural documents and judicial decisions and is electronically transmitted to appellate courts, thereby significantly reducing overall case processing time. As of early 2026, the Digital Case File has been implemented in cadastral cases, while as of April 2026 it is expected to be extended to all cases under the ordinary procedure, representing approximately 60% of civil justice cases (</w:t>
      </w:r>
      <w:r w:rsidRPr="00A746D8">
        <w:rPr>
          <w:rFonts w:eastAsia="Calibri"/>
          <w:bCs/>
          <w:lang w:val="en-US"/>
        </w:rPr>
        <w:t>Please see CSR3.7 for more details</w:t>
      </w:r>
      <w:r w:rsidRPr="00A746D8">
        <w:rPr>
          <w:rFonts w:eastAsia="Calibri"/>
          <w:lang w:val="en-US"/>
        </w:rPr>
        <w:t>).</w:t>
      </w:r>
    </w:p>
    <w:p w14:paraId="3D5B0ED6" w14:textId="77777777" w:rsidR="00451CC2" w:rsidRPr="00A746D8" w:rsidRDefault="00451CC2" w:rsidP="00172EA1">
      <w:pPr>
        <w:rPr>
          <w:rFonts w:eastAsia="Calibri"/>
          <w:strike/>
          <w:lang w:val="en-US"/>
        </w:rPr>
      </w:pPr>
      <w:r w:rsidRPr="00A746D8">
        <w:rPr>
          <w:rFonts w:eastAsia="Calibri"/>
          <w:lang w:val="en-US"/>
        </w:rPr>
        <w:t xml:space="preserve">Advancing the development of a modern and reliable </w:t>
      </w:r>
      <w:r w:rsidRPr="00A746D8">
        <w:rPr>
          <w:rFonts w:eastAsia="Calibri"/>
          <w:b/>
          <w:bCs/>
          <w:lang w:val="en-US"/>
        </w:rPr>
        <w:t>Alternative Dispute Resolution (ADR)</w:t>
      </w:r>
      <w:r w:rsidRPr="00A746D8">
        <w:rPr>
          <w:rFonts w:eastAsia="Calibri"/>
          <w:lang w:val="en-US"/>
        </w:rPr>
        <w:t xml:space="preserve"> </w:t>
      </w:r>
      <w:r w:rsidRPr="00A746D8">
        <w:rPr>
          <w:rFonts w:eastAsia="Calibri"/>
          <w:b/>
          <w:bCs/>
          <w:lang w:val="en-US"/>
        </w:rPr>
        <w:t>system</w:t>
      </w:r>
      <w:r w:rsidRPr="00A746D8">
        <w:rPr>
          <w:rFonts w:eastAsia="Calibri"/>
          <w:lang w:val="en-US"/>
        </w:rPr>
        <w:t xml:space="preserve"> as a key priority, the newly established Special Secretariat for Alternative Dispute Resolution within the Ministry of Justice (established in March 2025) is preparing </w:t>
      </w:r>
      <w:r w:rsidRPr="00A746D8">
        <w:rPr>
          <w:rFonts w:eastAsia="Calibri"/>
          <w:b/>
          <w:bCs/>
          <w:lang w:val="en-US"/>
        </w:rPr>
        <w:t>a draft Code on ADR,</w:t>
      </w:r>
      <w:r w:rsidRPr="00A746D8">
        <w:rPr>
          <w:rFonts w:eastAsia="Calibri"/>
          <w:lang w:val="en-US"/>
        </w:rPr>
        <w:t xml:space="preserve"> which is expected to be adopted by June 2026. Its primary objective is to regulate all ADR methods (mediation, arbitration, judicial mediation) within a single coherent legal framework, replacing fragmented legislation. Through the unification of the ADR system, the reform aims to reduce the judicial backlog, strengthen public trust in the justice system and align national ADR policy with European standards. Building upon these reforms, Law 5197/2025 further strengthens the ADR framework by mandating the training of judicial officers in judicial mediation and other ADR methods and introducing Land Registry Mediation for disputes involving municipalities, public legal entities and the State.</w:t>
      </w:r>
    </w:p>
    <w:p w14:paraId="69550FBE" w14:textId="7A37FA47" w:rsidR="00451CC2" w:rsidRDefault="00451CC2" w:rsidP="00172EA1">
      <w:pPr>
        <w:rPr>
          <w:rFonts w:eastAsia="Calibri"/>
          <w:lang w:val="en-US"/>
        </w:rPr>
      </w:pPr>
      <w:r w:rsidRPr="00A746D8">
        <w:rPr>
          <w:rFonts w:eastAsia="Calibri"/>
          <w:lang w:val="en-US"/>
        </w:rPr>
        <w:t xml:space="preserve">RRF provides partial funding for the construction of </w:t>
      </w:r>
      <w:r w:rsidRPr="00A746D8">
        <w:rPr>
          <w:rFonts w:eastAsia="Calibri"/>
          <w:b/>
          <w:bCs/>
          <w:lang w:val="en-US"/>
        </w:rPr>
        <w:t>new judicial buildings</w:t>
      </w:r>
      <w:r w:rsidRPr="00A746D8">
        <w:rPr>
          <w:rFonts w:eastAsia="Calibri"/>
          <w:lang w:val="en-US"/>
        </w:rPr>
        <w:t xml:space="preserve">, the relocation of courts and the implementation of energy efficiency upgrades, with a view to enhancing the efficiency of the justice system and reducing operational costs and administrative burdens. As of 2025, all renovation and construction projects for courthouses co-financed by the RRF are progressing according to plan. In particular, the projects concerning the Administrative Courts and the National School of Judges have been completed. The physical scope of the main contract for the Court of Appeal and the Council of State has also been </w:t>
      </w:r>
      <w:proofErr w:type="spellStart"/>
      <w:r w:rsidRPr="00A746D8">
        <w:rPr>
          <w:rFonts w:eastAsia="Calibri"/>
          <w:lang w:val="en-US"/>
        </w:rPr>
        <w:t>finalised</w:t>
      </w:r>
      <w:proofErr w:type="spellEnd"/>
      <w:r w:rsidRPr="00A746D8">
        <w:rPr>
          <w:rFonts w:eastAsia="Calibri"/>
          <w:lang w:val="en-US"/>
        </w:rPr>
        <w:t xml:space="preserve">, while works at the Court of Audit have reached an advanced stage of implementation (94% completion). Regarding the Piraeus Courthouse </w:t>
      </w:r>
      <w:r w:rsidR="00043D85">
        <w:rPr>
          <w:lang w:val="en-US"/>
        </w:rPr>
        <w:t>—</w:t>
      </w:r>
      <w:r w:rsidRPr="00A746D8">
        <w:rPr>
          <w:rFonts w:eastAsia="Calibri"/>
          <w:lang w:val="en-US"/>
        </w:rPr>
        <w:t>designed to become Greece’s first green public building</w:t>
      </w:r>
      <w:r w:rsidR="00043D85">
        <w:rPr>
          <w:lang w:val="en-US"/>
        </w:rPr>
        <w:t>—</w:t>
      </w:r>
      <w:r w:rsidRPr="00A746D8">
        <w:rPr>
          <w:rFonts w:eastAsia="Calibri"/>
          <w:lang w:val="en-US"/>
        </w:rPr>
        <w:t xml:space="preserve"> construction works are progressing steadily.</w:t>
      </w:r>
    </w:p>
    <w:p w14:paraId="50898042" w14:textId="460A5797" w:rsidR="00425017" w:rsidRDefault="00425017" w:rsidP="00451CC2">
      <w:pPr>
        <w:spacing w:before="240"/>
        <w:rPr>
          <w:rFonts w:ascii="Calibri" w:eastAsia="Calibri" w:hAnsi="Calibri" w:cs="Calibri"/>
          <w:sz w:val="24"/>
          <w:szCs w:val="24"/>
          <w:lang w:val="en-US"/>
        </w:rPr>
      </w:pPr>
    </w:p>
    <w:p w14:paraId="15CF201D" w14:textId="77777777" w:rsidR="00425017" w:rsidRPr="00A746D8" w:rsidRDefault="00425017" w:rsidP="00451CC2">
      <w:pPr>
        <w:spacing w:before="240"/>
        <w:rPr>
          <w:rFonts w:ascii="Calibri" w:eastAsia="Calibri" w:hAnsi="Calibri" w:cs="Calibri"/>
          <w:sz w:val="24"/>
          <w:szCs w:val="24"/>
          <w:lang w:val="en-US"/>
        </w:rPr>
      </w:pPr>
    </w:p>
    <w:p w14:paraId="4CE4F932" w14:textId="77777777" w:rsidR="00451CC2" w:rsidRPr="00FD4DF9" w:rsidRDefault="00FD4DF9" w:rsidP="00FD4DF9">
      <w:pPr>
        <w:pStyle w:val="Heading2"/>
        <w:pBdr>
          <w:bottom w:val="single" w:sz="4" w:space="1" w:color="4F81BD" w:themeColor="accent1"/>
        </w:pBdr>
        <w:rPr>
          <w:rFonts w:eastAsia="Calibri"/>
          <w:sz w:val="36"/>
          <w:lang w:val="en-US"/>
        </w:rPr>
      </w:pPr>
      <w:bookmarkStart w:id="68" w:name="_Toc227932504"/>
      <w:bookmarkStart w:id="69" w:name="_Toc228279097"/>
      <w:r>
        <w:rPr>
          <w:rFonts w:eastAsia="Calibri"/>
          <w:sz w:val="36"/>
          <w:lang w:val="en-US"/>
        </w:rPr>
        <w:t>M</w:t>
      </w:r>
      <w:r w:rsidRPr="00FD4DF9">
        <w:rPr>
          <w:rFonts w:eastAsia="Calibri"/>
          <w:sz w:val="36"/>
          <w:lang w:val="en-US"/>
        </w:rPr>
        <w:t xml:space="preserve">inistry of </w:t>
      </w:r>
      <w:r>
        <w:rPr>
          <w:rFonts w:eastAsia="Calibri"/>
          <w:sz w:val="36"/>
          <w:lang w:val="en-US"/>
        </w:rPr>
        <w:t>R</w:t>
      </w:r>
      <w:r w:rsidRPr="00FD4DF9">
        <w:rPr>
          <w:rFonts w:eastAsia="Calibri"/>
          <w:sz w:val="36"/>
          <w:lang w:val="en-US"/>
        </w:rPr>
        <w:t xml:space="preserve">ural </w:t>
      </w:r>
      <w:r>
        <w:rPr>
          <w:rFonts w:eastAsia="Calibri"/>
          <w:sz w:val="36"/>
          <w:lang w:val="en-US"/>
        </w:rPr>
        <w:t>D</w:t>
      </w:r>
      <w:r w:rsidRPr="00FD4DF9">
        <w:rPr>
          <w:rFonts w:eastAsia="Calibri"/>
          <w:sz w:val="36"/>
          <w:lang w:val="en-US"/>
        </w:rPr>
        <w:t xml:space="preserve">evelopment and </w:t>
      </w:r>
      <w:r>
        <w:rPr>
          <w:rFonts w:eastAsia="Calibri"/>
          <w:sz w:val="36"/>
          <w:lang w:val="en-US"/>
        </w:rPr>
        <w:t>F</w:t>
      </w:r>
      <w:r w:rsidRPr="00FD4DF9">
        <w:rPr>
          <w:rFonts w:eastAsia="Calibri"/>
          <w:sz w:val="36"/>
          <w:lang w:val="en-US"/>
        </w:rPr>
        <w:t>ood</w:t>
      </w:r>
      <w:bookmarkEnd w:id="68"/>
      <w:bookmarkEnd w:id="69"/>
      <w:r w:rsidRPr="00FD4DF9">
        <w:rPr>
          <w:rFonts w:eastAsia="Calibri"/>
          <w:sz w:val="36"/>
          <w:lang w:val="en-US"/>
        </w:rPr>
        <w:t xml:space="preserve"> </w:t>
      </w:r>
    </w:p>
    <w:tbl>
      <w:tblPr>
        <w:tblW w:w="8902" w:type="dxa"/>
        <w:jc w:val="center"/>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Layout w:type="fixed"/>
        <w:tblLook w:val="0600" w:firstRow="0" w:lastRow="0" w:firstColumn="0" w:lastColumn="0" w:noHBand="1" w:noVBand="1"/>
      </w:tblPr>
      <w:tblGrid>
        <w:gridCol w:w="2594"/>
        <w:gridCol w:w="1130"/>
        <w:gridCol w:w="1364"/>
        <w:gridCol w:w="1774"/>
        <w:gridCol w:w="2040"/>
      </w:tblGrid>
      <w:tr w:rsidR="00451CC2" w:rsidRPr="008A7CB8" w14:paraId="0B05A8D0" w14:textId="77777777" w:rsidTr="00425017">
        <w:trPr>
          <w:trHeight w:val="170"/>
          <w:jc w:val="center"/>
        </w:trPr>
        <w:tc>
          <w:tcPr>
            <w:tcW w:w="2655" w:type="dxa"/>
            <w:shd w:val="clear" w:color="auto" w:fill="CFE2F3"/>
            <w:tcMar>
              <w:top w:w="0" w:type="dxa"/>
              <w:left w:w="40" w:type="dxa"/>
              <w:bottom w:w="0" w:type="dxa"/>
              <w:right w:w="40" w:type="dxa"/>
            </w:tcMar>
            <w:vAlign w:val="center"/>
          </w:tcPr>
          <w:p w14:paraId="0738E1FD" w14:textId="77777777" w:rsidR="00451CC2" w:rsidRPr="008A7CB8" w:rsidRDefault="00451CC2" w:rsidP="008A7CB8">
            <w:pPr>
              <w:pStyle w:val="Tabletext"/>
              <w:rPr>
                <w:rFonts w:eastAsia="Calibri"/>
                <w:b/>
              </w:rPr>
            </w:pPr>
            <w:r w:rsidRPr="008A7CB8">
              <w:rPr>
                <w:rFonts w:eastAsia="Calibri"/>
                <w:b/>
              </w:rPr>
              <w:t>REFORM / INVESTMENT</w:t>
            </w:r>
          </w:p>
        </w:tc>
        <w:tc>
          <w:tcPr>
            <w:tcW w:w="1155" w:type="dxa"/>
            <w:shd w:val="clear" w:color="auto" w:fill="CFE2F3"/>
            <w:tcMar>
              <w:top w:w="0" w:type="dxa"/>
              <w:left w:w="40" w:type="dxa"/>
              <w:bottom w:w="0" w:type="dxa"/>
              <w:right w:w="40" w:type="dxa"/>
            </w:tcMar>
            <w:vAlign w:val="center"/>
          </w:tcPr>
          <w:p w14:paraId="2C424CD3" w14:textId="77777777" w:rsidR="00451CC2" w:rsidRPr="008A7CB8" w:rsidRDefault="00451CC2" w:rsidP="008A7CB8">
            <w:pPr>
              <w:pStyle w:val="Tabletext"/>
              <w:rPr>
                <w:rFonts w:eastAsia="Calibri"/>
                <w:b/>
              </w:rPr>
            </w:pPr>
            <w:r w:rsidRPr="008A7CB8">
              <w:rPr>
                <w:rFonts w:eastAsia="Calibri"/>
                <w:b/>
              </w:rPr>
              <w:t>RRF / MFF</w:t>
            </w:r>
          </w:p>
        </w:tc>
        <w:tc>
          <w:tcPr>
            <w:tcW w:w="1395" w:type="dxa"/>
            <w:shd w:val="clear" w:color="auto" w:fill="CFE2F3"/>
            <w:tcMar>
              <w:top w:w="0" w:type="dxa"/>
              <w:left w:w="40" w:type="dxa"/>
              <w:bottom w:w="0" w:type="dxa"/>
              <w:right w:w="40" w:type="dxa"/>
            </w:tcMar>
            <w:vAlign w:val="center"/>
          </w:tcPr>
          <w:p w14:paraId="068A110C" w14:textId="77777777" w:rsidR="00451CC2" w:rsidRPr="008A7CB8" w:rsidRDefault="00451CC2" w:rsidP="008A7CB8">
            <w:pPr>
              <w:pStyle w:val="Tabletext"/>
              <w:rPr>
                <w:rFonts w:eastAsia="Calibri"/>
                <w:b/>
              </w:rPr>
            </w:pPr>
            <w:r w:rsidRPr="008A7CB8">
              <w:rPr>
                <w:rFonts w:eastAsia="Calibri"/>
                <w:b/>
              </w:rPr>
              <w:t>CSR</w:t>
            </w:r>
          </w:p>
        </w:tc>
        <w:tc>
          <w:tcPr>
            <w:tcW w:w="1815" w:type="dxa"/>
            <w:shd w:val="clear" w:color="auto" w:fill="CFE2F3"/>
            <w:tcMar>
              <w:top w:w="0" w:type="dxa"/>
              <w:left w:w="40" w:type="dxa"/>
              <w:bottom w:w="0" w:type="dxa"/>
              <w:right w:w="40" w:type="dxa"/>
            </w:tcMar>
            <w:vAlign w:val="center"/>
          </w:tcPr>
          <w:p w14:paraId="79BCBD64" w14:textId="77777777" w:rsidR="00451CC2" w:rsidRPr="008A7CB8" w:rsidRDefault="00451CC2" w:rsidP="008A7CB8">
            <w:pPr>
              <w:pStyle w:val="Tabletext"/>
              <w:rPr>
                <w:rFonts w:eastAsia="Calibri"/>
                <w:b/>
              </w:rPr>
            </w:pPr>
            <w:r w:rsidRPr="008A7CB8">
              <w:rPr>
                <w:rFonts w:eastAsia="Calibri"/>
                <w:b/>
              </w:rPr>
              <w:t>COMMON PRIORITIES</w:t>
            </w:r>
          </w:p>
        </w:tc>
        <w:tc>
          <w:tcPr>
            <w:tcW w:w="2085" w:type="dxa"/>
            <w:shd w:val="clear" w:color="auto" w:fill="CFE2F3"/>
            <w:tcMar>
              <w:top w:w="0" w:type="dxa"/>
              <w:left w:w="100" w:type="dxa"/>
              <w:bottom w:w="0" w:type="dxa"/>
              <w:right w:w="100" w:type="dxa"/>
            </w:tcMar>
            <w:vAlign w:val="center"/>
          </w:tcPr>
          <w:p w14:paraId="58BAA2D5" w14:textId="354C4C41" w:rsidR="00451CC2" w:rsidRPr="008A7CB8" w:rsidRDefault="00451CC2" w:rsidP="008A7CB8">
            <w:pPr>
              <w:pStyle w:val="Tabletext"/>
              <w:rPr>
                <w:rFonts w:eastAsia="Calibri"/>
                <w:b/>
              </w:rPr>
            </w:pPr>
            <w:r w:rsidRPr="008A7CB8">
              <w:rPr>
                <w:rFonts w:eastAsia="Calibri"/>
                <w:b/>
              </w:rPr>
              <w:t>On</w:t>
            </w:r>
            <w:r w:rsidR="005A04FE">
              <w:rPr>
                <w:rFonts w:eastAsia="Calibri"/>
                <w:b/>
              </w:rPr>
              <w:t>-</w:t>
            </w:r>
            <w:r w:rsidRPr="008A7CB8">
              <w:rPr>
                <w:rFonts w:eastAsia="Calibri"/>
                <w:b/>
              </w:rPr>
              <w:t>track status</w:t>
            </w:r>
          </w:p>
        </w:tc>
      </w:tr>
      <w:tr w:rsidR="00451CC2" w:rsidRPr="008A7CB8" w14:paraId="368178C3" w14:textId="77777777" w:rsidTr="00425017">
        <w:trPr>
          <w:trHeight w:val="170"/>
          <w:jc w:val="center"/>
        </w:trPr>
        <w:tc>
          <w:tcPr>
            <w:tcW w:w="2655" w:type="dxa"/>
            <w:shd w:val="clear" w:color="auto" w:fill="FFFFFF"/>
            <w:tcMar>
              <w:top w:w="0" w:type="dxa"/>
              <w:left w:w="40" w:type="dxa"/>
              <w:bottom w:w="0" w:type="dxa"/>
              <w:right w:w="40" w:type="dxa"/>
            </w:tcMar>
            <w:vAlign w:val="center"/>
          </w:tcPr>
          <w:p w14:paraId="7329E876" w14:textId="77777777" w:rsidR="00451CC2" w:rsidRPr="008A7CB8" w:rsidRDefault="00540671" w:rsidP="008A7CB8">
            <w:pPr>
              <w:pStyle w:val="Tabletext"/>
              <w:rPr>
                <w:rFonts w:eastAsia="Calibri"/>
                <w:highlight w:val="white"/>
              </w:rPr>
            </w:pPr>
            <w:r w:rsidRPr="00540671">
              <w:rPr>
                <w:rFonts w:eastAsia="Calibri"/>
                <w:b/>
                <w:highlight w:val="white"/>
              </w:rPr>
              <w:t>REFORM 1:</w:t>
            </w:r>
            <w:r w:rsidR="00451CC2" w:rsidRPr="008A7CB8">
              <w:rPr>
                <w:rFonts w:eastAsia="Calibri"/>
                <w:highlight w:val="white"/>
              </w:rPr>
              <w:t xml:space="preserve"> Modernization of the institutional operating framework of the Hellenic Agricultural Insurance Organization (ELGA)</w:t>
            </w:r>
          </w:p>
        </w:tc>
        <w:tc>
          <w:tcPr>
            <w:tcW w:w="1155" w:type="dxa"/>
            <w:shd w:val="clear" w:color="auto" w:fill="FFFFFF"/>
            <w:tcMar>
              <w:top w:w="0" w:type="dxa"/>
              <w:left w:w="40" w:type="dxa"/>
              <w:bottom w:w="0" w:type="dxa"/>
              <w:right w:w="40" w:type="dxa"/>
            </w:tcMar>
            <w:vAlign w:val="center"/>
          </w:tcPr>
          <w:p w14:paraId="29C7D9D9" w14:textId="77777777" w:rsidR="00451CC2" w:rsidRPr="008A7CB8" w:rsidRDefault="00451CC2" w:rsidP="008A7CB8">
            <w:pPr>
              <w:pStyle w:val="Tabletext"/>
              <w:rPr>
                <w:rFonts w:eastAsia="Calibri"/>
                <w:highlight w:val="white"/>
              </w:rPr>
            </w:pPr>
            <w:r w:rsidRPr="008A7CB8">
              <w:rPr>
                <w:rFonts w:eastAsia="Calibri"/>
                <w:highlight w:val="white"/>
              </w:rPr>
              <w:t xml:space="preserve"> </w:t>
            </w:r>
          </w:p>
        </w:tc>
        <w:tc>
          <w:tcPr>
            <w:tcW w:w="1395" w:type="dxa"/>
            <w:shd w:val="clear" w:color="auto" w:fill="FFFFFF"/>
            <w:tcMar>
              <w:top w:w="0" w:type="dxa"/>
              <w:left w:w="40" w:type="dxa"/>
              <w:bottom w:w="0" w:type="dxa"/>
              <w:right w:w="40" w:type="dxa"/>
            </w:tcMar>
            <w:vAlign w:val="center"/>
          </w:tcPr>
          <w:p w14:paraId="72FD31B8" w14:textId="77777777" w:rsidR="00451CC2" w:rsidRPr="008A7CB8" w:rsidRDefault="00451CC2" w:rsidP="008A7CB8">
            <w:pPr>
              <w:pStyle w:val="Tabletext"/>
              <w:rPr>
                <w:rFonts w:eastAsia="Calibri"/>
                <w:highlight w:val="white"/>
              </w:rPr>
            </w:pPr>
            <w:r w:rsidRPr="008A7CB8">
              <w:rPr>
                <w:rFonts w:eastAsia="Calibri"/>
                <w:highlight w:val="white"/>
              </w:rPr>
              <w:t>2024.CSR2.1</w:t>
            </w:r>
          </w:p>
        </w:tc>
        <w:tc>
          <w:tcPr>
            <w:tcW w:w="1815" w:type="dxa"/>
            <w:shd w:val="clear" w:color="auto" w:fill="FFFFFF"/>
            <w:tcMar>
              <w:top w:w="0" w:type="dxa"/>
              <w:left w:w="40" w:type="dxa"/>
              <w:bottom w:w="0" w:type="dxa"/>
              <w:right w:w="40" w:type="dxa"/>
            </w:tcMar>
            <w:vAlign w:val="center"/>
          </w:tcPr>
          <w:p w14:paraId="76696284" w14:textId="77777777" w:rsidR="00451CC2" w:rsidRPr="008A7CB8" w:rsidRDefault="00451CC2" w:rsidP="008A7CB8">
            <w:pPr>
              <w:pStyle w:val="Tabletext"/>
              <w:rPr>
                <w:rFonts w:eastAsia="Calibri"/>
                <w:highlight w:val="white"/>
              </w:rPr>
            </w:pPr>
            <w:r w:rsidRPr="008A7CB8">
              <w:rPr>
                <w:rFonts w:eastAsia="Calibri"/>
                <w:highlight w:val="white"/>
              </w:rPr>
              <w:t>Social and economic resilience</w:t>
            </w:r>
          </w:p>
        </w:tc>
        <w:tc>
          <w:tcPr>
            <w:tcW w:w="2085" w:type="dxa"/>
            <w:shd w:val="clear" w:color="auto" w:fill="FFFFFF"/>
            <w:tcMar>
              <w:top w:w="0" w:type="dxa"/>
              <w:left w:w="100" w:type="dxa"/>
              <w:bottom w:w="0" w:type="dxa"/>
              <w:right w:w="100" w:type="dxa"/>
            </w:tcMar>
            <w:vAlign w:val="center"/>
          </w:tcPr>
          <w:p w14:paraId="43F559C3" w14:textId="77777777" w:rsidR="00451CC2" w:rsidRPr="008A7CB8" w:rsidRDefault="00451CC2" w:rsidP="008A7CB8">
            <w:pPr>
              <w:pStyle w:val="Tabletext"/>
              <w:rPr>
                <w:rFonts w:eastAsia="Calibri"/>
                <w:highlight w:val="white"/>
              </w:rPr>
            </w:pPr>
            <w:r w:rsidRPr="008A7CB8">
              <w:rPr>
                <w:rFonts w:eastAsia="Calibri"/>
                <w:highlight w:val="white"/>
              </w:rPr>
              <w:t>Delayed</w:t>
            </w:r>
          </w:p>
        </w:tc>
      </w:tr>
      <w:tr w:rsidR="00451CC2" w:rsidRPr="008A7CB8" w14:paraId="0B581D5C" w14:textId="77777777" w:rsidTr="00425017">
        <w:trPr>
          <w:trHeight w:val="170"/>
          <w:jc w:val="center"/>
        </w:trPr>
        <w:tc>
          <w:tcPr>
            <w:tcW w:w="2655" w:type="dxa"/>
            <w:tcMar>
              <w:top w:w="0" w:type="dxa"/>
              <w:left w:w="40" w:type="dxa"/>
              <w:bottom w:w="0" w:type="dxa"/>
              <w:right w:w="40" w:type="dxa"/>
            </w:tcMar>
            <w:vAlign w:val="center"/>
          </w:tcPr>
          <w:p w14:paraId="2002B266" w14:textId="77777777" w:rsidR="00451CC2" w:rsidRPr="008A7CB8" w:rsidRDefault="00540671" w:rsidP="008A7CB8">
            <w:pPr>
              <w:pStyle w:val="Tabletext"/>
              <w:rPr>
                <w:rFonts w:eastAsia="Calibri"/>
              </w:rPr>
            </w:pPr>
            <w:r w:rsidRPr="00540671">
              <w:rPr>
                <w:rFonts w:eastAsia="Calibri"/>
                <w:b/>
              </w:rPr>
              <w:lastRenderedPageBreak/>
              <w:t>INVESTMENT 1:</w:t>
            </w:r>
            <w:r w:rsidR="00451CC2" w:rsidRPr="008A7CB8">
              <w:rPr>
                <w:rFonts w:eastAsia="Calibri"/>
              </w:rPr>
              <w:t xml:space="preserve"> Economic transformation on the Agricultural and Aquaculture Sectors</w:t>
            </w:r>
          </w:p>
          <w:p w14:paraId="2282B990" w14:textId="77777777" w:rsidR="00451CC2" w:rsidRPr="008A7CB8" w:rsidRDefault="00451CC2" w:rsidP="008A7CB8">
            <w:pPr>
              <w:pStyle w:val="Tabletext"/>
              <w:rPr>
                <w:rFonts w:eastAsia="Calibri"/>
              </w:rPr>
            </w:pPr>
            <w:r w:rsidRPr="008A7CB8">
              <w:rPr>
                <w:rFonts w:eastAsia="Calibri"/>
              </w:rPr>
              <w:t xml:space="preserve">(Renamed after inclusion of </w:t>
            </w:r>
            <w:r w:rsidR="00540671" w:rsidRPr="00FA1AB3">
              <w:rPr>
                <w:rFonts w:eastAsia="Calibri"/>
              </w:rPr>
              <w:t>INVESTMENT 3:</w:t>
            </w:r>
            <w:r w:rsidRPr="008A7CB8">
              <w:rPr>
                <w:rFonts w:eastAsia="Calibri"/>
              </w:rPr>
              <w:t xml:space="preserve"> “Proposals for actions in the Aquaculture Sector” according to  RRF Revision)</w:t>
            </w:r>
          </w:p>
        </w:tc>
        <w:tc>
          <w:tcPr>
            <w:tcW w:w="1155" w:type="dxa"/>
            <w:tcMar>
              <w:top w:w="0" w:type="dxa"/>
              <w:left w:w="40" w:type="dxa"/>
              <w:bottom w:w="0" w:type="dxa"/>
              <w:right w:w="40" w:type="dxa"/>
            </w:tcMar>
            <w:vAlign w:val="center"/>
          </w:tcPr>
          <w:p w14:paraId="0C15A03C" w14:textId="77777777" w:rsidR="00451CC2" w:rsidRPr="008A7CB8" w:rsidRDefault="00451CC2" w:rsidP="008A7CB8">
            <w:pPr>
              <w:pStyle w:val="Tabletext"/>
              <w:rPr>
                <w:rFonts w:eastAsia="Calibri"/>
              </w:rPr>
            </w:pPr>
            <w:r w:rsidRPr="008A7CB8">
              <w:rPr>
                <w:rFonts w:eastAsia="Calibri"/>
              </w:rPr>
              <w:t>RRF 16626</w:t>
            </w:r>
          </w:p>
        </w:tc>
        <w:tc>
          <w:tcPr>
            <w:tcW w:w="1395" w:type="dxa"/>
            <w:tcMar>
              <w:top w:w="0" w:type="dxa"/>
              <w:left w:w="40" w:type="dxa"/>
              <w:bottom w:w="0" w:type="dxa"/>
              <w:right w:w="40" w:type="dxa"/>
            </w:tcMar>
            <w:vAlign w:val="center"/>
          </w:tcPr>
          <w:p w14:paraId="34B0C5E2" w14:textId="77777777" w:rsidR="00451CC2" w:rsidRPr="008A7CB8" w:rsidRDefault="00451CC2" w:rsidP="008A7CB8">
            <w:pPr>
              <w:pStyle w:val="Tabletext"/>
              <w:rPr>
                <w:rFonts w:eastAsia="Calibri"/>
              </w:rPr>
            </w:pPr>
            <w:r w:rsidRPr="008A7CB8">
              <w:rPr>
                <w:rFonts w:eastAsia="Calibri"/>
              </w:rPr>
              <w:t>2025.CSR4.1 2024.CSR1.7</w:t>
            </w:r>
          </w:p>
          <w:p w14:paraId="7CA44FC1" w14:textId="77777777" w:rsidR="00451CC2" w:rsidRPr="008A7CB8" w:rsidRDefault="00451CC2" w:rsidP="008A7CB8">
            <w:pPr>
              <w:pStyle w:val="Tabletext"/>
              <w:rPr>
                <w:rFonts w:eastAsia="Calibri"/>
              </w:rPr>
            </w:pPr>
            <w:r w:rsidRPr="008A7CB8">
              <w:rPr>
                <w:rFonts w:eastAsia="Calibri"/>
              </w:rPr>
              <w:t>2024.CSR4.1</w:t>
            </w:r>
            <w:r w:rsidRPr="008A7CB8">
              <w:rPr>
                <w:rFonts w:eastAsia="Calibri"/>
              </w:rPr>
              <w:br/>
              <w:t>2023.CSR4.3</w:t>
            </w:r>
            <w:r w:rsidRPr="008A7CB8">
              <w:rPr>
                <w:rFonts w:eastAsia="Calibri"/>
              </w:rPr>
              <w:br/>
              <w:t>2023.CSR4.4</w:t>
            </w:r>
            <w:r w:rsidRPr="008A7CB8">
              <w:rPr>
                <w:rFonts w:eastAsia="Calibri"/>
              </w:rPr>
              <w:br/>
              <w:t>2023.CSR4.6</w:t>
            </w:r>
            <w:r w:rsidRPr="008A7CB8">
              <w:rPr>
                <w:rFonts w:eastAsia="Calibri"/>
              </w:rPr>
              <w:br/>
              <w:t>2022.CSR4.6</w:t>
            </w:r>
            <w:r w:rsidRPr="008A7CB8">
              <w:rPr>
                <w:rFonts w:eastAsia="Calibri"/>
              </w:rPr>
              <w:br/>
              <w:t>2022.CSR4.5</w:t>
            </w:r>
            <w:r w:rsidRPr="008A7CB8">
              <w:rPr>
                <w:rFonts w:eastAsia="Calibri"/>
              </w:rPr>
              <w:br/>
              <w:t>2022.CSR4.2</w:t>
            </w:r>
          </w:p>
          <w:p w14:paraId="4694AB74" w14:textId="77777777" w:rsidR="00451CC2" w:rsidRPr="008A7CB8" w:rsidRDefault="00451CC2" w:rsidP="008A7CB8">
            <w:pPr>
              <w:pStyle w:val="Tabletext"/>
              <w:rPr>
                <w:rFonts w:eastAsia="Calibri"/>
              </w:rPr>
            </w:pPr>
            <w:r w:rsidRPr="008A7CB8">
              <w:rPr>
                <w:rFonts w:eastAsia="Calibri"/>
              </w:rPr>
              <w:t>2020.CSR3.1</w:t>
            </w:r>
          </w:p>
          <w:p w14:paraId="50826339" w14:textId="77777777" w:rsidR="00451CC2" w:rsidRPr="008A7CB8" w:rsidRDefault="00451CC2" w:rsidP="008A7CB8">
            <w:pPr>
              <w:pStyle w:val="Tabletext"/>
              <w:rPr>
                <w:rFonts w:eastAsia="Calibri"/>
              </w:rPr>
            </w:pPr>
            <w:r w:rsidRPr="008A7CB8">
              <w:rPr>
                <w:rFonts w:eastAsia="Calibri"/>
              </w:rPr>
              <w:t>2020.CSR3.3</w:t>
            </w:r>
          </w:p>
          <w:p w14:paraId="352552A1" w14:textId="77777777" w:rsidR="00451CC2" w:rsidRPr="008A7CB8" w:rsidRDefault="00451CC2" w:rsidP="008A7CB8">
            <w:pPr>
              <w:pStyle w:val="Tabletext"/>
              <w:rPr>
                <w:rFonts w:eastAsia="Calibri"/>
              </w:rPr>
            </w:pPr>
            <w:r w:rsidRPr="008A7CB8">
              <w:rPr>
                <w:rFonts w:eastAsia="Calibri"/>
              </w:rPr>
              <w:t xml:space="preserve">2020.CSR3.5 </w:t>
            </w:r>
          </w:p>
        </w:tc>
        <w:tc>
          <w:tcPr>
            <w:tcW w:w="1815" w:type="dxa"/>
            <w:tcMar>
              <w:top w:w="0" w:type="dxa"/>
              <w:left w:w="40" w:type="dxa"/>
              <w:bottom w:w="0" w:type="dxa"/>
              <w:right w:w="40" w:type="dxa"/>
            </w:tcMar>
            <w:vAlign w:val="center"/>
          </w:tcPr>
          <w:p w14:paraId="73DFCAEB" w14:textId="77777777" w:rsidR="00451CC2" w:rsidRPr="008A7CB8" w:rsidRDefault="00451CC2" w:rsidP="008A7CB8">
            <w:pPr>
              <w:pStyle w:val="Tabletext"/>
              <w:rPr>
                <w:rFonts w:eastAsia="Calibri"/>
              </w:rPr>
            </w:pPr>
            <w:r w:rsidRPr="008A7CB8">
              <w:rPr>
                <w:rFonts w:eastAsia="Calibri"/>
              </w:rPr>
              <w:t>A fair green and digital transition</w:t>
            </w:r>
          </w:p>
        </w:tc>
        <w:tc>
          <w:tcPr>
            <w:tcW w:w="2085" w:type="dxa"/>
            <w:tcMar>
              <w:top w:w="0" w:type="dxa"/>
              <w:left w:w="100" w:type="dxa"/>
              <w:bottom w:w="0" w:type="dxa"/>
              <w:right w:w="100" w:type="dxa"/>
            </w:tcMar>
            <w:vAlign w:val="center"/>
          </w:tcPr>
          <w:p w14:paraId="6B7890CE" w14:textId="77777777" w:rsidR="00451CC2" w:rsidRPr="008A7CB8" w:rsidRDefault="00451CC2" w:rsidP="008A7CB8">
            <w:pPr>
              <w:pStyle w:val="Tabletext"/>
              <w:rPr>
                <w:rFonts w:eastAsia="Calibri"/>
                <w:highlight w:val="white"/>
              </w:rPr>
            </w:pPr>
            <w:r w:rsidRPr="008A7CB8">
              <w:rPr>
                <w:rFonts w:eastAsia="Calibri"/>
                <w:highlight w:val="white"/>
              </w:rPr>
              <w:t>On track</w:t>
            </w:r>
          </w:p>
        </w:tc>
      </w:tr>
      <w:tr w:rsidR="00451CC2" w:rsidRPr="008A7CB8" w14:paraId="15654892" w14:textId="77777777" w:rsidTr="00425017">
        <w:trPr>
          <w:trHeight w:val="170"/>
          <w:jc w:val="center"/>
        </w:trPr>
        <w:tc>
          <w:tcPr>
            <w:tcW w:w="2655" w:type="dxa"/>
            <w:tcMar>
              <w:top w:w="0" w:type="dxa"/>
              <w:left w:w="40" w:type="dxa"/>
              <w:bottom w:w="0" w:type="dxa"/>
              <w:right w:w="40" w:type="dxa"/>
            </w:tcMar>
            <w:vAlign w:val="center"/>
          </w:tcPr>
          <w:p w14:paraId="4E6B02E6" w14:textId="77777777" w:rsidR="00451CC2" w:rsidRPr="008A7CB8" w:rsidRDefault="00540671" w:rsidP="008A7CB8">
            <w:pPr>
              <w:pStyle w:val="Tabletext"/>
              <w:rPr>
                <w:rFonts w:eastAsia="Calibri"/>
              </w:rPr>
            </w:pPr>
            <w:r w:rsidRPr="00540671">
              <w:rPr>
                <w:rFonts w:eastAsia="Calibri"/>
                <w:b/>
              </w:rPr>
              <w:t>INVESTMENT 2:</w:t>
            </w:r>
            <w:r w:rsidR="00451CC2" w:rsidRPr="008A7CB8">
              <w:rPr>
                <w:rFonts w:eastAsia="Calibri"/>
              </w:rPr>
              <w:t xml:space="preserve"> Digital Transformation of the Agri-Food Sector</w:t>
            </w:r>
          </w:p>
        </w:tc>
        <w:tc>
          <w:tcPr>
            <w:tcW w:w="1155" w:type="dxa"/>
            <w:tcMar>
              <w:top w:w="0" w:type="dxa"/>
              <w:left w:w="40" w:type="dxa"/>
              <w:bottom w:w="0" w:type="dxa"/>
              <w:right w:w="40" w:type="dxa"/>
            </w:tcMar>
            <w:vAlign w:val="center"/>
          </w:tcPr>
          <w:p w14:paraId="7A5B1F65" w14:textId="77777777" w:rsidR="00451CC2" w:rsidRPr="008A7CB8" w:rsidRDefault="00451CC2" w:rsidP="008A7CB8">
            <w:pPr>
              <w:pStyle w:val="Tabletext"/>
              <w:rPr>
                <w:rFonts w:eastAsia="Calibri"/>
              </w:rPr>
            </w:pPr>
            <w:r w:rsidRPr="008A7CB8">
              <w:rPr>
                <w:rFonts w:eastAsia="Calibri"/>
              </w:rPr>
              <w:t>RRF 16653</w:t>
            </w:r>
          </w:p>
        </w:tc>
        <w:tc>
          <w:tcPr>
            <w:tcW w:w="1395" w:type="dxa"/>
            <w:tcMar>
              <w:top w:w="0" w:type="dxa"/>
              <w:left w:w="40" w:type="dxa"/>
              <w:bottom w:w="0" w:type="dxa"/>
              <w:right w:w="40" w:type="dxa"/>
            </w:tcMar>
            <w:vAlign w:val="center"/>
          </w:tcPr>
          <w:p w14:paraId="14D070D6" w14:textId="77777777" w:rsidR="00451CC2" w:rsidRPr="008A7CB8" w:rsidRDefault="00451CC2" w:rsidP="008A7CB8">
            <w:pPr>
              <w:pStyle w:val="Tabletext"/>
              <w:rPr>
                <w:rFonts w:eastAsia="Calibri"/>
              </w:rPr>
            </w:pPr>
            <w:r w:rsidRPr="008A7CB8">
              <w:rPr>
                <w:rFonts w:eastAsia="Calibri"/>
              </w:rPr>
              <w:t>2024.CSR2.1</w:t>
            </w:r>
            <w:r w:rsidRPr="008A7CB8">
              <w:rPr>
                <w:rFonts w:eastAsia="Calibri"/>
              </w:rPr>
              <w:br/>
              <w:t>2020.CSR3.3</w:t>
            </w:r>
            <w:r w:rsidRPr="008A7CB8">
              <w:rPr>
                <w:rFonts w:eastAsia="Calibri"/>
              </w:rPr>
              <w:br/>
              <w:t>2020.CSR3.9</w:t>
            </w:r>
          </w:p>
        </w:tc>
        <w:tc>
          <w:tcPr>
            <w:tcW w:w="1815" w:type="dxa"/>
            <w:tcMar>
              <w:top w:w="0" w:type="dxa"/>
              <w:left w:w="40" w:type="dxa"/>
              <w:bottom w:w="0" w:type="dxa"/>
              <w:right w:w="40" w:type="dxa"/>
            </w:tcMar>
            <w:vAlign w:val="center"/>
          </w:tcPr>
          <w:p w14:paraId="1B85810F" w14:textId="77777777" w:rsidR="00451CC2" w:rsidRPr="008A7CB8" w:rsidRDefault="00451CC2" w:rsidP="008A7CB8">
            <w:pPr>
              <w:pStyle w:val="Tabletext"/>
              <w:rPr>
                <w:rFonts w:eastAsia="Calibri"/>
              </w:rPr>
            </w:pPr>
            <w:r w:rsidRPr="008A7CB8">
              <w:rPr>
                <w:rFonts w:eastAsia="Calibri"/>
              </w:rPr>
              <w:t>A fair green and digital transition</w:t>
            </w:r>
          </w:p>
        </w:tc>
        <w:tc>
          <w:tcPr>
            <w:tcW w:w="2085" w:type="dxa"/>
            <w:tcMar>
              <w:top w:w="0" w:type="dxa"/>
              <w:left w:w="100" w:type="dxa"/>
              <w:bottom w:w="0" w:type="dxa"/>
              <w:right w:w="100" w:type="dxa"/>
            </w:tcMar>
            <w:vAlign w:val="center"/>
          </w:tcPr>
          <w:p w14:paraId="6BB4E294" w14:textId="77777777" w:rsidR="00451CC2" w:rsidRPr="008A7CB8" w:rsidRDefault="00451CC2" w:rsidP="008A7CB8">
            <w:pPr>
              <w:pStyle w:val="Tabletext"/>
              <w:rPr>
                <w:rFonts w:eastAsia="Calibri"/>
                <w:highlight w:val="white"/>
              </w:rPr>
            </w:pPr>
            <w:r w:rsidRPr="008A7CB8">
              <w:rPr>
                <w:rFonts w:eastAsia="Calibri"/>
                <w:highlight w:val="white"/>
              </w:rPr>
              <w:t>On track</w:t>
            </w:r>
          </w:p>
        </w:tc>
      </w:tr>
      <w:tr w:rsidR="00451CC2" w:rsidRPr="008A7CB8" w14:paraId="6406C449" w14:textId="77777777" w:rsidTr="00425017">
        <w:trPr>
          <w:trHeight w:val="170"/>
          <w:jc w:val="center"/>
        </w:trPr>
        <w:tc>
          <w:tcPr>
            <w:tcW w:w="2655" w:type="dxa"/>
            <w:tcMar>
              <w:top w:w="0" w:type="dxa"/>
              <w:left w:w="40" w:type="dxa"/>
              <w:bottom w:w="0" w:type="dxa"/>
              <w:right w:w="40" w:type="dxa"/>
            </w:tcMar>
            <w:vAlign w:val="center"/>
          </w:tcPr>
          <w:p w14:paraId="699DC5CE" w14:textId="77777777" w:rsidR="00451CC2" w:rsidRPr="00605642" w:rsidRDefault="00540671" w:rsidP="008A7CB8">
            <w:pPr>
              <w:pStyle w:val="Tabletext"/>
              <w:rPr>
                <w:rFonts w:eastAsia="Calibri"/>
              </w:rPr>
            </w:pPr>
            <w:r w:rsidRPr="00605642">
              <w:rPr>
                <w:rFonts w:eastAsia="Calibri"/>
                <w:b/>
              </w:rPr>
              <w:t>INVESTMENT 3:</w:t>
            </w:r>
            <w:r w:rsidR="00451CC2" w:rsidRPr="00605642">
              <w:rPr>
                <w:rFonts w:eastAsia="Calibri"/>
              </w:rPr>
              <w:t xml:space="preserve"> Proposals for actions in the Aquaculture Sector</w:t>
            </w:r>
          </w:p>
          <w:p w14:paraId="64BA5596" w14:textId="77777777" w:rsidR="00451CC2" w:rsidRPr="00605642" w:rsidRDefault="00451CC2" w:rsidP="008A7CB8">
            <w:pPr>
              <w:pStyle w:val="Tabletext"/>
              <w:rPr>
                <w:rFonts w:eastAsia="Calibri"/>
              </w:rPr>
            </w:pPr>
            <w:r w:rsidRPr="00605642">
              <w:rPr>
                <w:rFonts w:eastAsia="Calibri"/>
              </w:rPr>
              <w:t>Merged with INVESTMENT 1, which is renamed: Economic transformation of the Agricultural and Aquaculture Sectors according to recent RRF Revision</w:t>
            </w:r>
          </w:p>
        </w:tc>
        <w:tc>
          <w:tcPr>
            <w:tcW w:w="1155" w:type="dxa"/>
            <w:tcMar>
              <w:top w:w="0" w:type="dxa"/>
              <w:left w:w="40" w:type="dxa"/>
              <w:bottom w:w="0" w:type="dxa"/>
              <w:right w:w="40" w:type="dxa"/>
            </w:tcMar>
            <w:vAlign w:val="center"/>
          </w:tcPr>
          <w:p w14:paraId="5B724EF5" w14:textId="77777777" w:rsidR="00451CC2" w:rsidRPr="00605642" w:rsidRDefault="00451CC2" w:rsidP="008A7CB8">
            <w:pPr>
              <w:pStyle w:val="Tabletext"/>
              <w:rPr>
                <w:rFonts w:eastAsia="Calibri"/>
              </w:rPr>
            </w:pPr>
            <w:r w:rsidRPr="00605642">
              <w:rPr>
                <w:rFonts w:eastAsia="Calibri"/>
              </w:rPr>
              <w:t>RRF 16584</w:t>
            </w:r>
          </w:p>
        </w:tc>
        <w:tc>
          <w:tcPr>
            <w:tcW w:w="1395" w:type="dxa"/>
            <w:tcMar>
              <w:top w:w="0" w:type="dxa"/>
              <w:left w:w="40" w:type="dxa"/>
              <w:bottom w:w="0" w:type="dxa"/>
              <w:right w:w="40" w:type="dxa"/>
            </w:tcMar>
            <w:vAlign w:val="center"/>
          </w:tcPr>
          <w:p w14:paraId="4B4BE352" w14:textId="77777777" w:rsidR="00451CC2" w:rsidRPr="00605642" w:rsidRDefault="00451CC2" w:rsidP="008A7CB8">
            <w:pPr>
              <w:pStyle w:val="Tabletext"/>
              <w:rPr>
                <w:rFonts w:eastAsia="Calibri"/>
              </w:rPr>
            </w:pPr>
            <w:r w:rsidRPr="00605642">
              <w:rPr>
                <w:rFonts w:eastAsia="Calibri"/>
              </w:rPr>
              <w:t>2024.CSR2.1</w:t>
            </w:r>
            <w:r w:rsidRPr="00605642">
              <w:rPr>
                <w:rFonts w:eastAsia="Calibri"/>
              </w:rPr>
              <w:br/>
              <w:t>2020.CSR3.3</w:t>
            </w:r>
          </w:p>
        </w:tc>
        <w:tc>
          <w:tcPr>
            <w:tcW w:w="1815" w:type="dxa"/>
            <w:tcMar>
              <w:top w:w="0" w:type="dxa"/>
              <w:left w:w="40" w:type="dxa"/>
              <w:bottom w:w="0" w:type="dxa"/>
              <w:right w:w="40" w:type="dxa"/>
            </w:tcMar>
            <w:vAlign w:val="center"/>
          </w:tcPr>
          <w:p w14:paraId="395CA438" w14:textId="77777777" w:rsidR="00451CC2" w:rsidRPr="00605642" w:rsidRDefault="00451CC2" w:rsidP="008A7CB8">
            <w:pPr>
              <w:pStyle w:val="Tabletext"/>
              <w:rPr>
                <w:rFonts w:eastAsia="Calibri"/>
              </w:rPr>
            </w:pPr>
            <w:r w:rsidRPr="00605642">
              <w:rPr>
                <w:rFonts w:eastAsia="Calibri"/>
              </w:rPr>
              <w:t>A fair green and digital transition</w:t>
            </w:r>
          </w:p>
        </w:tc>
        <w:tc>
          <w:tcPr>
            <w:tcW w:w="2085" w:type="dxa"/>
            <w:tcMar>
              <w:top w:w="0" w:type="dxa"/>
              <w:left w:w="100" w:type="dxa"/>
              <w:bottom w:w="0" w:type="dxa"/>
              <w:right w:w="100" w:type="dxa"/>
            </w:tcMar>
            <w:vAlign w:val="center"/>
          </w:tcPr>
          <w:p w14:paraId="3214D39C" w14:textId="77777777" w:rsidR="00451CC2" w:rsidRPr="00605642" w:rsidRDefault="00451CC2" w:rsidP="008A7CB8">
            <w:pPr>
              <w:pStyle w:val="Tabletext"/>
              <w:rPr>
                <w:rFonts w:eastAsia="Calibri"/>
              </w:rPr>
            </w:pPr>
            <w:r w:rsidRPr="00605642">
              <w:rPr>
                <w:rFonts w:eastAsia="Calibri"/>
              </w:rPr>
              <w:t>On track</w:t>
            </w:r>
          </w:p>
        </w:tc>
      </w:tr>
      <w:tr w:rsidR="00451CC2" w:rsidRPr="008A7CB8" w14:paraId="17578183" w14:textId="77777777" w:rsidTr="00425017">
        <w:trPr>
          <w:trHeight w:val="170"/>
          <w:jc w:val="center"/>
        </w:trPr>
        <w:tc>
          <w:tcPr>
            <w:tcW w:w="2655" w:type="dxa"/>
            <w:tcMar>
              <w:top w:w="0" w:type="dxa"/>
              <w:left w:w="40" w:type="dxa"/>
              <w:bottom w:w="0" w:type="dxa"/>
              <w:right w:w="40" w:type="dxa"/>
            </w:tcMar>
            <w:vAlign w:val="center"/>
          </w:tcPr>
          <w:p w14:paraId="72A522B2" w14:textId="77777777" w:rsidR="00451CC2" w:rsidRPr="008A7CB8" w:rsidRDefault="00540671" w:rsidP="008A7CB8">
            <w:pPr>
              <w:pStyle w:val="Tabletext"/>
              <w:rPr>
                <w:rFonts w:eastAsia="Calibri"/>
              </w:rPr>
            </w:pPr>
            <w:r w:rsidRPr="00540671">
              <w:rPr>
                <w:rFonts w:eastAsia="Calibri"/>
                <w:b/>
              </w:rPr>
              <w:t>INVESTMENT 4:</w:t>
            </w:r>
            <w:r w:rsidR="00451CC2" w:rsidRPr="008A7CB8">
              <w:rPr>
                <w:rFonts w:eastAsia="Calibri"/>
              </w:rPr>
              <w:t xml:space="preserve"> Investments in the national irrigation network through PPP schemes</w:t>
            </w:r>
          </w:p>
        </w:tc>
        <w:tc>
          <w:tcPr>
            <w:tcW w:w="1155" w:type="dxa"/>
            <w:tcMar>
              <w:top w:w="0" w:type="dxa"/>
              <w:left w:w="40" w:type="dxa"/>
              <w:bottom w:w="0" w:type="dxa"/>
              <w:right w:w="40" w:type="dxa"/>
            </w:tcMar>
            <w:vAlign w:val="center"/>
          </w:tcPr>
          <w:p w14:paraId="4431025F" w14:textId="77777777" w:rsidR="00451CC2" w:rsidRPr="00817900" w:rsidRDefault="00451CC2" w:rsidP="008A7CB8">
            <w:pPr>
              <w:pStyle w:val="Tabletext"/>
              <w:rPr>
                <w:rFonts w:eastAsia="Calibri"/>
                <w:highlight w:val="yellow"/>
              </w:rPr>
            </w:pPr>
            <w:r w:rsidRPr="00817900">
              <w:rPr>
                <w:rFonts w:eastAsia="Calibri"/>
              </w:rPr>
              <w:t>RRF 16285</w:t>
            </w:r>
          </w:p>
        </w:tc>
        <w:tc>
          <w:tcPr>
            <w:tcW w:w="1395" w:type="dxa"/>
            <w:tcMar>
              <w:top w:w="0" w:type="dxa"/>
              <w:left w:w="40" w:type="dxa"/>
              <w:bottom w:w="0" w:type="dxa"/>
              <w:right w:w="40" w:type="dxa"/>
            </w:tcMar>
            <w:vAlign w:val="center"/>
          </w:tcPr>
          <w:p w14:paraId="2734CC28" w14:textId="77777777" w:rsidR="00451CC2" w:rsidRPr="008A7CB8" w:rsidRDefault="00451CC2" w:rsidP="008A7CB8">
            <w:pPr>
              <w:pStyle w:val="Tabletext"/>
              <w:rPr>
                <w:rFonts w:eastAsia="Calibri"/>
              </w:rPr>
            </w:pPr>
            <w:r w:rsidRPr="008A7CB8">
              <w:rPr>
                <w:rFonts w:eastAsia="Calibri"/>
              </w:rPr>
              <w:t>2025.CSR4.6</w:t>
            </w:r>
          </w:p>
          <w:p w14:paraId="2F88E59C" w14:textId="77777777" w:rsidR="00451CC2" w:rsidRPr="008A7CB8" w:rsidRDefault="00451CC2" w:rsidP="008A7CB8">
            <w:pPr>
              <w:pStyle w:val="Tabletext"/>
              <w:rPr>
                <w:rFonts w:eastAsia="Calibri"/>
              </w:rPr>
            </w:pPr>
            <w:r w:rsidRPr="008A7CB8">
              <w:rPr>
                <w:rFonts w:eastAsia="Calibri"/>
              </w:rPr>
              <w:t>2025.CSR4.7 2024.CSR1.7</w:t>
            </w:r>
            <w:r w:rsidRPr="008A7CB8">
              <w:rPr>
                <w:rFonts w:eastAsia="Calibri"/>
              </w:rPr>
              <w:br/>
              <w:t>2020.CSR3.6</w:t>
            </w:r>
            <w:r w:rsidRPr="008A7CB8">
              <w:rPr>
                <w:rFonts w:eastAsia="Calibri"/>
              </w:rPr>
              <w:br/>
              <w:t>2020.CSR3.3</w:t>
            </w:r>
            <w:r w:rsidRPr="008A7CB8">
              <w:rPr>
                <w:rFonts w:eastAsia="Calibri"/>
              </w:rPr>
              <w:br/>
              <w:t>2020.CSR3.9</w:t>
            </w:r>
          </w:p>
        </w:tc>
        <w:tc>
          <w:tcPr>
            <w:tcW w:w="1815" w:type="dxa"/>
            <w:tcMar>
              <w:top w:w="0" w:type="dxa"/>
              <w:left w:w="40" w:type="dxa"/>
              <w:bottom w:w="0" w:type="dxa"/>
              <w:right w:w="40" w:type="dxa"/>
            </w:tcMar>
            <w:vAlign w:val="center"/>
          </w:tcPr>
          <w:p w14:paraId="31DD6BA9" w14:textId="77777777" w:rsidR="00451CC2" w:rsidRPr="008A7CB8" w:rsidRDefault="00451CC2" w:rsidP="008A7CB8">
            <w:pPr>
              <w:pStyle w:val="Tabletext"/>
              <w:rPr>
                <w:rFonts w:eastAsia="Calibri"/>
              </w:rPr>
            </w:pPr>
            <w:r w:rsidRPr="008A7CB8">
              <w:rPr>
                <w:rFonts w:eastAsia="Calibri"/>
              </w:rPr>
              <w:t>A fair green and digital transition</w:t>
            </w:r>
          </w:p>
        </w:tc>
        <w:tc>
          <w:tcPr>
            <w:tcW w:w="2085" w:type="dxa"/>
            <w:tcMar>
              <w:top w:w="0" w:type="dxa"/>
              <w:left w:w="100" w:type="dxa"/>
              <w:bottom w:w="0" w:type="dxa"/>
              <w:right w:w="100" w:type="dxa"/>
            </w:tcMar>
            <w:vAlign w:val="center"/>
          </w:tcPr>
          <w:p w14:paraId="16781202" w14:textId="77777777" w:rsidR="00451CC2" w:rsidRPr="008A7CB8" w:rsidRDefault="00451CC2" w:rsidP="008A7CB8">
            <w:pPr>
              <w:pStyle w:val="Tabletext"/>
              <w:rPr>
                <w:rFonts w:eastAsia="Calibri"/>
                <w:highlight w:val="white"/>
              </w:rPr>
            </w:pPr>
            <w:r w:rsidRPr="008A7CB8">
              <w:rPr>
                <w:rFonts w:eastAsia="Calibri"/>
                <w:highlight w:val="white"/>
              </w:rPr>
              <w:t>On track</w:t>
            </w:r>
          </w:p>
        </w:tc>
      </w:tr>
      <w:tr w:rsidR="00451CC2" w:rsidRPr="008A7CB8" w14:paraId="0B46B569" w14:textId="77777777" w:rsidTr="00425017">
        <w:trPr>
          <w:trHeight w:val="170"/>
          <w:jc w:val="center"/>
        </w:trPr>
        <w:tc>
          <w:tcPr>
            <w:tcW w:w="2655" w:type="dxa"/>
            <w:tcMar>
              <w:top w:w="0" w:type="dxa"/>
              <w:left w:w="40" w:type="dxa"/>
              <w:bottom w:w="0" w:type="dxa"/>
              <w:right w:w="40" w:type="dxa"/>
            </w:tcMar>
            <w:vAlign w:val="center"/>
          </w:tcPr>
          <w:p w14:paraId="13104D91" w14:textId="77777777" w:rsidR="00451CC2" w:rsidRPr="008A7CB8" w:rsidRDefault="00540671" w:rsidP="008A7CB8">
            <w:pPr>
              <w:pStyle w:val="Tabletext"/>
              <w:rPr>
                <w:rFonts w:eastAsia="Calibri"/>
              </w:rPr>
            </w:pPr>
            <w:r w:rsidRPr="00540671">
              <w:rPr>
                <w:rFonts w:eastAsia="Calibri"/>
                <w:b/>
              </w:rPr>
              <w:t>INVESTMENT 5:</w:t>
            </w:r>
            <w:r w:rsidR="00451CC2" w:rsidRPr="008A7CB8">
              <w:rPr>
                <w:rFonts w:eastAsia="Calibri"/>
              </w:rPr>
              <w:t xml:space="preserve"> Ground improvement infrastructure</w:t>
            </w:r>
          </w:p>
        </w:tc>
        <w:tc>
          <w:tcPr>
            <w:tcW w:w="1155" w:type="dxa"/>
            <w:tcMar>
              <w:top w:w="0" w:type="dxa"/>
              <w:left w:w="40" w:type="dxa"/>
              <w:bottom w:w="0" w:type="dxa"/>
              <w:right w:w="40" w:type="dxa"/>
            </w:tcMar>
            <w:vAlign w:val="center"/>
          </w:tcPr>
          <w:p w14:paraId="737C7862" w14:textId="77777777" w:rsidR="00451CC2" w:rsidRPr="008A7CB8" w:rsidRDefault="00451CC2" w:rsidP="008A7CB8">
            <w:pPr>
              <w:pStyle w:val="Tabletext"/>
              <w:rPr>
                <w:rFonts w:eastAsia="Calibri"/>
              </w:rPr>
            </w:pPr>
            <w:r w:rsidRPr="008A7CB8">
              <w:rPr>
                <w:rFonts w:eastAsia="Calibri"/>
              </w:rPr>
              <w:t xml:space="preserve"> </w:t>
            </w:r>
          </w:p>
        </w:tc>
        <w:tc>
          <w:tcPr>
            <w:tcW w:w="1395" w:type="dxa"/>
            <w:tcMar>
              <w:top w:w="0" w:type="dxa"/>
              <w:left w:w="40" w:type="dxa"/>
              <w:bottom w:w="0" w:type="dxa"/>
              <w:right w:w="40" w:type="dxa"/>
            </w:tcMar>
            <w:vAlign w:val="center"/>
          </w:tcPr>
          <w:p w14:paraId="09233719" w14:textId="77777777" w:rsidR="00451CC2" w:rsidRPr="008A7CB8" w:rsidRDefault="00451CC2" w:rsidP="008A7CB8">
            <w:pPr>
              <w:pStyle w:val="Tabletext"/>
              <w:rPr>
                <w:rFonts w:eastAsia="Calibri"/>
              </w:rPr>
            </w:pPr>
            <w:r w:rsidRPr="008A7CB8">
              <w:rPr>
                <w:rFonts w:eastAsia="Calibri"/>
              </w:rPr>
              <w:t xml:space="preserve"> </w:t>
            </w:r>
          </w:p>
        </w:tc>
        <w:tc>
          <w:tcPr>
            <w:tcW w:w="1815" w:type="dxa"/>
            <w:tcMar>
              <w:top w:w="0" w:type="dxa"/>
              <w:left w:w="40" w:type="dxa"/>
              <w:bottom w:w="0" w:type="dxa"/>
              <w:right w:w="40" w:type="dxa"/>
            </w:tcMar>
            <w:vAlign w:val="center"/>
          </w:tcPr>
          <w:p w14:paraId="27057859" w14:textId="77777777" w:rsidR="00451CC2" w:rsidRPr="008A7CB8" w:rsidRDefault="00451CC2" w:rsidP="008A7CB8">
            <w:pPr>
              <w:pStyle w:val="Tabletext"/>
              <w:rPr>
                <w:rFonts w:eastAsia="Calibri"/>
              </w:rPr>
            </w:pPr>
            <w:r w:rsidRPr="008A7CB8">
              <w:rPr>
                <w:rFonts w:eastAsia="Calibri"/>
              </w:rPr>
              <w:t>A fair green and digital transition</w:t>
            </w:r>
          </w:p>
        </w:tc>
        <w:tc>
          <w:tcPr>
            <w:tcW w:w="2085" w:type="dxa"/>
            <w:tcMar>
              <w:top w:w="0" w:type="dxa"/>
              <w:left w:w="100" w:type="dxa"/>
              <w:bottom w:w="0" w:type="dxa"/>
              <w:right w:w="100" w:type="dxa"/>
            </w:tcMar>
            <w:vAlign w:val="center"/>
          </w:tcPr>
          <w:p w14:paraId="17E6C600" w14:textId="77777777" w:rsidR="00451CC2" w:rsidRPr="008A7CB8" w:rsidRDefault="00451CC2" w:rsidP="008A7CB8">
            <w:pPr>
              <w:pStyle w:val="Tabletext"/>
              <w:rPr>
                <w:rFonts w:eastAsia="Calibri"/>
                <w:highlight w:val="white"/>
              </w:rPr>
            </w:pPr>
            <w:r w:rsidRPr="008A7CB8">
              <w:rPr>
                <w:rFonts w:eastAsia="Calibri"/>
                <w:highlight w:val="white"/>
              </w:rPr>
              <w:t>On track</w:t>
            </w:r>
          </w:p>
        </w:tc>
      </w:tr>
    </w:tbl>
    <w:p w14:paraId="32AA3498" w14:textId="77777777" w:rsidR="00451CC2" w:rsidRDefault="00451CC2" w:rsidP="00425017">
      <w:pPr>
        <w:spacing w:before="240"/>
        <w:rPr>
          <w:rFonts w:eastAsia="Times New Roman"/>
          <w:shd w:val="clear" w:color="auto" w:fill="FFFFFF"/>
          <w:lang w:val="en-US"/>
        </w:rPr>
      </w:pPr>
      <w:r w:rsidRPr="0047196E">
        <w:rPr>
          <w:rFonts w:eastAsia="Times New Roman"/>
          <w:lang w:val="en-US"/>
        </w:rPr>
        <w:t xml:space="preserve">The reform </w:t>
      </w:r>
      <w:r w:rsidRPr="0047196E">
        <w:rPr>
          <w:rFonts w:eastAsia="Times New Roman"/>
          <w:b/>
          <w:bCs/>
          <w:lang w:val="en-US"/>
        </w:rPr>
        <w:t xml:space="preserve">“Amendment </w:t>
      </w:r>
      <w:r w:rsidRPr="0047196E">
        <w:rPr>
          <w:rFonts w:eastAsia="Times New Roman"/>
          <w:b/>
          <w:bCs/>
          <w:color w:val="000000"/>
          <w:lang w:val="en-US"/>
        </w:rPr>
        <w:t>of the institutional framework for the Hellenic Agricultural Insurance Organization</w:t>
      </w:r>
      <w:r w:rsidRPr="0047196E">
        <w:rPr>
          <w:rFonts w:eastAsia="Times New Roman"/>
          <w:color w:val="000000"/>
          <w:lang w:val="en-US"/>
        </w:rPr>
        <w:t xml:space="preserve"> (</w:t>
      </w:r>
      <w:r w:rsidRPr="0047196E">
        <w:rPr>
          <w:rFonts w:eastAsia="Times New Roman"/>
          <w:b/>
          <w:bCs/>
          <w:color w:val="000000"/>
          <w:lang w:val="en-US"/>
        </w:rPr>
        <w:t>ELGA</w:t>
      </w:r>
      <w:r w:rsidRPr="0047196E">
        <w:rPr>
          <w:rFonts w:eastAsia="Times New Roman"/>
          <w:color w:val="000000"/>
          <w:lang w:val="en-US"/>
        </w:rPr>
        <w:t>)</w:t>
      </w:r>
      <w:r w:rsidRPr="0047196E">
        <w:rPr>
          <w:rFonts w:eastAsia="Times New Roman"/>
          <w:b/>
          <w:bCs/>
          <w:color w:val="000000"/>
          <w:lang w:val="en-US"/>
        </w:rPr>
        <w:t>”</w:t>
      </w:r>
      <w:r w:rsidRPr="0047196E">
        <w:rPr>
          <w:rFonts w:eastAsia="Times New Roman"/>
          <w:b/>
          <w:bCs/>
          <w:color w:val="0000FF"/>
          <w:lang w:val="en-US"/>
        </w:rPr>
        <w:t xml:space="preserve"> </w:t>
      </w:r>
      <w:r w:rsidRPr="00CA547D">
        <w:rPr>
          <w:rFonts w:eastAsia="Times New Roman"/>
          <w:lang w:val="en-US"/>
        </w:rPr>
        <w:t xml:space="preserve">aims at ensuring ELGA’s financial sustainability, which will allow covering compensations, including those due to </w:t>
      </w:r>
      <w:r w:rsidRPr="00CA547D">
        <w:rPr>
          <w:rFonts w:eastAsia="Times New Roman"/>
          <w:shd w:val="clear" w:color="auto" w:fill="FFFFFF"/>
          <w:lang w:val="en-US"/>
        </w:rPr>
        <w:t xml:space="preserve">new loss-making causes that result from the climate crisis. The recurrence of extreme weather events and natural disasters (storms “Daniel” and “Elias”) have highlighted the need for targeted interventions that enhance its effectiveness adjusting to the new challenges. The new institutional framework of ELGA remains under development, while the draft law is </w:t>
      </w:r>
      <w:r>
        <w:rPr>
          <w:rFonts w:eastAsia="Times New Roman"/>
          <w:shd w:val="clear" w:color="auto" w:fill="FFFFFF"/>
          <w:lang w:val="en-US"/>
        </w:rPr>
        <w:t xml:space="preserve">under consultation in order to address the remaining </w:t>
      </w:r>
      <w:r w:rsidRPr="00CA547D">
        <w:rPr>
          <w:rFonts w:eastAsia="Times New Roman"/>
          <w:shd w:val="clear" w:color="auto" w:fill="FFFFFF"/>
          <w:lang w:val="en-US"/>
        </w:rPr>
        <w:t xml:space="preserve">(e.g. maximum amount of indemnity, claim compensation procedure, new loss-making causes </w:t>
      </w:r>
      <w:proofErr w:type="spellStart"/>
      <w:r w:rsidRPr="00CA547D">
        <w:rPr>
          <w:rFonts w:eastAsia="Times New Roman"/>
          <w:shd w:val="clear" w:color="auto" w:fill="FFFFFF"/>
          <w:lang w:val="en-US"/>
        </w:rPr>
        <w:t>etc</w:t>
      </w:r>
      <w:proofErr w:type="spellEnd"/>
      <w:r w:rsidRPr="00CA547D">
        <w:rPr>
          <w:rFonts w:eastAsia="Times New Roman"/>
          <w:shd w:val="clear" w:color="auto" w:fill="FFFFFF"/>
          <w:lang w:val="en-US"/>
        </w:rPr>
        <w:t>) by all stakeholders involved.</w:t>
      </w:r>
      <w:r w:rsidRPr="002B0149">
        <w:rPr>
          <w:rFonts w:ascii="Times New Roman" w:eastAsia="Times New Roman" w:hAnsi="Times New Roman" w:cs="Times New Roman"/>
          <w:lang w:val="en-US"/>
        </w:rPr>
        <w:t xml:space="preserve"> </w:t>
      </w:r>
      <w:r w:rsidRPr="002B0149">
        <w:rPr>
          <w:rFonts w:eastAsia="Times New Roman"/>
          <w:shd w:val="clear" w:color="auto" w:fill="FFFFFF"/>
          <w:lang w:val="en-US"/>
        </w:rPr>
        <w:t>At the same time, as part of the reform aimed at establishing a coherent, transparent, and effective framework for payment systems, farmer protection, and the strengthening of agricultural development, the following measures were introduced:</w:t>
      </w:r>
      <w:r>
        <w:rPr>
          <w:rFonts w:eastAsia="Times New Roman"/>
          <w:shd w:val="clear" w:color="auto" w:fill="FFFFFF"/>
          <w:lang w:val="en-US"/>
        </w:rPr>
        <w:t xml:space="preserve"> </w:t>
      </w:r>
      <w:r w:rsidRPr="002B0149">
        <w:rPr>
          <w:rFonts w:eastAsia="Times New Roman"/>
          <w:shd w:val="clear" w:color="auto" w:fill="FFFFFF"/>
          <w:lang w:val="en-US"/>
        </w:rPr>
        <w:t>a) Law 5264/2025 (OJ A 239) establishes the transfer of responsibilities from the Payment and Control Agency for Guidance and Guarantee Community Aid to the Independent Authority for Public Revenue, aiming to create a transparent and reliable system for agricultural payments and restoring trust in the management of EU funds.</w:t>
      </w:r>
      <w:r>
        <w:rPr>
          <w:rFonts w:eastAsia="Times New Roman"/>
          <w:shd w:val="clear" w:color="auto" w:fill="FFFFFF"/>
          <w:lang w:val="en-US"/>
        </w:rPr>
        <w:t xml:space="preserve"> </w:t>
      </w:r>
      <w:r w:rsidRPr="002B0149">
        <w:rPr>
          <w:rFonts w:eastAsia="Times New Roman"/>
          <w:shd w:val="clear" w:color="auto" w:fill="FFFFFF"/>
          <w:lang w:val="en-US"/>
        </w:rPr>
        <w:t>b) Joint Ministerial Decision 3378/2025 (OJ B 6327) sets out the allocation of grazing land to livestock farmers for 2025, introducing a new interim system based on production-related methods for calculating livestock capacity.</w:t>
      </w:r>
    </w:p>
    <w:p w14:paraId="46B06E94" w14:textId="77777777" w:rsidR="00451CC2" w:rsidRPr="0047196E" w:rsidRDefault="00451CC2" w:rsidP="00D31D31">
      <w:pPr>
        <w:rPr>
          <w:rFonts w:ascii="Times New Roman" w:eastAsia="Times New Roman" w:hAnsi="Times New Roman" w:cs="Times New Roman"/>
          <w:lang w:val="en-US"/>
        </w:rPr>
      </w:pPr>
      <w:r w:rsidRPr="0047196E">
        <w:rPr>
          <w:rFonts w:eastAsia="Times New Roman"/>
          <w:color w:val="000000"/>
          <w:lang w:val="en-US"/>
        </w:rPr>
        <w:t xml:space="preserve">The </w:t>
      </w:r>
      <w:r w:rsidRPr="0047196E">
        <w:rPr>
          <w:rFonts w:eastAsia="Times New Roman"/>
          <w:b/>
          <w:color w:val="000000"/>
          <w:lang w:val="en-US"/>
        </w:rPr>
        <w:t xml:space="preserve">RRF </w:t>
      </w:r>
      <w:r w:rsidRPr="0047196E">
        <w:rPr>
          <w:rFonts w:eastAsia="Times New Roman"/>
          <w:b/>
          <w:lang w:val="en-US"/>
        </w:rPr>
        <w:t>i</w:t>
      </w:r>
      <w:r w:rsidRPr="0047196E">
        <w:rPr>
          <w:rFonts w:eastAsia="Times New Roman"/>
          <w:b/>
          <w:color w:val="000000"/>
          <w:lang w:val="en-US"/>
        </w:rPr>
        <w:t>nvestment</w:t>
      </w:r>
      <w:r w:rsidRPr="0047196E">
        <w:rPr>
          <w:rFonts w:eastAsia="Times New Roman"/>
          <w:color w:val="000000"/>
          <w:lang w:val="en-US"/>
        </w:rPr>
        <w:t xml:space="preserve"> </w:t>
      </w:r>
      <w:r w:rsidRPr="0047196E">
        <w:rPr>
          <w:rFonts w:eastAsia="Times New Roman"/>
          <w:b/>
          <w:bCs/>
          <w:color w:val="000000"/>
          <w:lang w:val="en-US"/>
        </w:rPr>
        <w:t xml:space="preserve">“Economic transformation of the Agricultural and </w:t>
      </w:r>
      <w:proofErr w:type="spellStart"/>
      <w:r w:rsidRPr="0047196E">
        <w:rPr>
          <w:rFonts w:eastAsia="Times New Roman"/>
          <w:b/>
          <w:bCs/>
          <w:color w:val="000000"/>
          <w:lang w:val="en-US"/>
        </w:rPr>
        <w:t>Aquacultrure</w:t>
      </w:r>
      <w:proofErr w:type="spellEnd"/>
      <w:r w:rsidRPr="0047196E">
        <w:rPr>
          <w:rFonts w:eastAsia="Times New Roman"/>
          <w:b/>
          <w:bCs/>
          <w:color w:val="000000"/>
          <w:lang w:val="en-US"/>
        </w:rPr>
        <w:t xml:space="preserve"> Sectors”</w:t>
      </w:r>
      <w:r w:rsidRPr="0047196E">
        <w:rPr>
          <w:rFonts w:eastAsia="Times New Roman"/>
          <w:color w:val="000000"/>
          <w:lang w:val="en-US"/>
        </w:rPr>
        <w:t xml:space="preserve"> consists of: a)</w:t>
      </w:r>
      <w:r w:rsidRPr="0047196E">
        <w:rPr>
          <w:rFonts w:ascii="Times New Roman" w:eastAsia="Times New Roman" w:hAnsi="Times New Roman" w:cs="Times New Roman"/>
          <w:color w:val="000000"/>
          <w:sz w:val="14"/>
          <w:szCs w:val="14"/>
          <w:lang w:val="en-US"/>
        </w:rPr>
        <w:t xml:space="preserve"> </w:t>
      </w:r>
      <w:r w:rsidRPr="0047196E">
        <w:rPr>
          <w:rFonts w:eastAsia="Times New Roman"/>
          <w:color w:val="000000"/>
          <w:lang w:val="en-US"/>
        </w:rPr>
        <w:t xml:space="preserve">The </w:t>
      </w:r>
      <w:r w:rsidRPr="0047196E">
        <w:rPr>
          <w:rFonts w:eastAsia="Times New Roman"/>
          <w:b/>
          <w:bCs/>
          <w:color w:val="000000"/>
          <w:lang w:val="en-US"/>
        </w:rPr>
        <w:t>Economic Transformation of the Agricultural Sector</w:t>
      </w:r>
      <w:r w:rsidRPr="0047196E">
        <w:rPr>
          <w:rFonts w:eastAsia="Times New Roman"/>
          <w:color w:val="000000"/>
          <w:lang w:val="en-US"/>
        </w:rPr>
        <w:t xml:space="preserve">, which aims at </w:t>
      </w:r>
      <w:r w:rsidRPr="0047196E">
        <w:rPr>
          <w:rFonts w:eastAsia="Times New Roman"/>
          <w:color w:val="000000"/>
          <w:lang w:val="en-US"/>
        </w:rPr>
        <w:lastRenderedPageBreak/>
        <w:t xml:space="preserve">strengthening and promoting the development of the agricultural sector in Greece, </w:t>
      </w:r>
      <w:proofErr w:type="gramStart"/>
      <w:r w:rsidRPr="0047196E">
        <w:rPr>
          <w:rFonts w:eastAsia="Times New Roman"/>
          <w:color w:val="000000"/>
          <w:lang w:val="en-US"/>
        </w:rPr>
        <w:t>It</w:t>
      </w:r>
      <w:proofErr w:type="gramEnd"/>
      <w:r w:rsidRPr="0047196E">
        <w:rPr>
          <w:rFonts w:eastAsia="Times New Roman"/>
          <w:color w:val="000000"/>
          <w:lang w:val="en-US"/>
        </w:rPr>
        <w:t xml:space="preserve"> will address the structural issues of the primary sector (small and fragmented plots) and will provide opportunities to diversify the rural economy. The action consists of five separated subprojects.</w:t>
      </w:r>
      <w:r w:rsidRPr="0047196E">
        <w:rPr>
          <w:rFonts w:eastAsia="Times New Roman"/>
          <w:color w:val="242424"/>
          <w:lang w:val="en-US"/>
        </w:rPr>
        <w:t xml:space="preserve"> Two calls have been issued for the first subproject “Innovation and Green Transition in the Processing of Agricultural Products,” with a total of €9 million and €22 million paid for the first and second calls, respectively, during 2025. In 2025, payments for the second subproject “Modernization of the Primary Sector,” €45.6 million</w:t>
      </w:r>
      <w:r>
        <w:rPr>
          <w:rFonts w:eastAsia="Times New Roman"/>
          <w:color w:val="242424"/>
          <w:lang w:val="en-US"/>
        </w:rPr>
        <w:t xml:space="preserve"> in total</w:t>
      </w:r>
      <w:r w:rsidRPr="0047196E">
        <w:rPr>
          <w:rFonts w:eastAsia="Times New Roman"/>
          <w:color w:val="242424"/>
          <w:lang w:val="en-US"/>
        </w:rPr>
        <w:t xml:space="preserve">, were completed. Regarding the subprojects, “Green Rural Tourism” and “Cultivation Restructuring”, a total of €5.6 million and €0.8 million, respectively, has already been paid, to approved projects, in 2025, while the evaluation and verification process for the remaining submitted applications has been finalized. Finally, for the last subproject, “Animal Genetic Improvement,” the approval decision has been issued, and 7 payment requests have been submitted and are currently under evaluation. </w:t>
      </w:r>
      <w:r w:rsidRPr="0047196E">
        <w:rPr>
          <w:rFonts w:eastAsia="Times New Roman"/>
          <w:color w:val="000000"/>
          <w:lang w:val="en-US"/>
        </w:rPr>
        <w:t xml:space="preserve">b) The </w:t>
      </w:r>
      <w:r w:rsidRPr="0047196E">
        <w:rPr>
          <w:rFonts w:eastAsia="Times New Roman"/>
          <w:b/>
          <w:bCs/>
          <w:color w:val="000000"/>
          <w:lang w:val="en-US"/>
        </w:rPr>
        <w:t>Proposals for actions in the Aquaculture Sector</w:t>
      </w:r>
      <w:r w:rsidRPr="0047196E">
        <w:rPr>
          <w:rFonts w:eastAsia="Times New Roman"/>
          <w:color w:val="000000"/>
          <w:lang w:val="en-US"/>
        </w:rPr>
        <w:t xml:space="preserve"> comprise innovative equipment solutions, research, know-how transfer and training of human resources with a view to modernize and diversify aquaculture production. It also creates a genetic material database for endangered species and commercial species of freshwater fish. The evaluation process was concluded at mid of 2024. A total of 13 projects were included and the approving decisions were issued. The implementation of the approved projects was initiated at Q3 of 2024</w:t>
      </w:r>
      <w:r w:rsidRPr="0047196E">
        <w:rPr>
          <w:rFonts w:eastAsia="Times New Roman"/>
          <w:color w:val="242424"/>
          <w:lang w:val="en-US"/>
        </w:rPr>
        <w:t xml:space="preserve"> and </w:t>
      </w:r>
      <w:r w:rsidRPr="0047196E">
        <w:rPr>
          <w:rFonts w:eastAsia="Times New Roman"/>
          <w:lang w:val="en-US"/>
        </w:rPr>
        <w:t>is progressing</w:t>
      </w:r>
      <w:r w:rsidRPr="0047196E">
        <w:rPr>
          <w:rFonts w:eastAsia="Times New Roman"/>
          <w:color w:val="242424"/>
          <w:lang w:val="en-US"/>
        </w:rPr>
        <w:t xml:space="preserve"> into 2026. A total amount of €3.8 million was paid as verified payments requests up to Q1 2026, while the verification and registration process of additional payment claims is still in progress.</w:t>
      </w:r>
    </w:p>
    <w:p w14:paraId="798F08EA" w14:textId="77777777" w:rsidR="00451CC2" w:rsidRPr="0047196E" w:rsidRDefault="00451CC2" w:rsidP="00D31D31">
      <w:pPr>
        <w:rPr>
          <w:rFonts w:ascii="Times New Roman" w:eastAsia="Times New Roman" w:hAnsi="Times New Roman" w:cs="Times New Roman"/>
          <w:lang w:val="en-US"/>
        </w:rPr>
      </w:pPr>
      <w:r w:rsidRPr="0047196E">
        <w:rPr>
          <w:rFonts w:eastAsia="Times New Roman"/>
          <w:color w:val="000000"/>
          <w:lang w:val="en-US"/>
        </w:rPr>
        <w:t xml:space="preserve">The </w:t>
      </w:r>
      <w:r w:rsidRPr="0047196E">
        <w:rPr>
          <w:rFonts w:eastAsia="Times New Roman"/>
          <w:b/>
          <w:color w:val="000000"/>
          <w:lang w:val="en-US"/>
        </w:rPr>
        <w:t>RRF investment</w:t>
      </w:r>
      <w:r w:rsidRPr="0047196E">
        <w:rPr>
          <w:rFonts w:eastAsia="Times New Roman"/>
          <w:color w:val="000000"/>
          <w:lang w:val="en-US"/>
        </w:rPr>
        <w:t xml:space="preserve"> </w:t>
      </w:r>
      <w:r w:rsidRPr="0047196E">
        <w:rPr>
          <w:rFonts w:eastAsia="Times New Roman"/>
          <w:b/>
          <w:bCs/>
          <w:color w:val="000000"/>
          <w:lang w:val="en-US"/>
        </w:rPr>
        <w:t>“Digital Transformation of the Agri-Food Sector”</w:t>
      </w:r>
      <w:r w:rsidRPr="0047196E">
        <w:rPr>
          <w:rFonts w:eastAsia="Times New Roman"/>
          <w:color w:val="000000"/>
          <w:lang w:val="en-US"/>
        </w:rPr>
        <w:t xml:space="preserve"> includes the development of a large-scale open digital agricultural infrastructure, with cloud infrastructure and processing capabilities of earth observation data, and multidisciplinary technologies. In the second subproject, the extroverted nature of Greek Agriculture is to be </w:t>
      </w:r>
      <w:r w:rsidRPr="0047196E">
        <w:rPr>
          <w:rFonts w:eastAsia="Times New Roman"/>
          <w:lang w:val="en-US"/>
        </w:rPr>
        <w:t>enhanced</w:t>
      </w:r>
      <w:r w:rsidRPr="0047196E">
        <w:rPr>
          <w:rFonts w:eastAsia="Times New Roman"/>
          <w:color w:val="FF0000"/>
          <w:lang w:val="en-US"/>
        </w:rPr>
        <w:t xml:space="preserve"> </w:t>
      </w:r>
      <w:r w:rsidRPr="0047196E">
        <w:rPr>
          <w:rFonts w:eastAsia="Times New Roman"/>
          <w:color w:val="000000"/>
          <w:lang w:val="en-US"/>
        </w:rPr>
        <w:t>both with information systems to control and facilitate the regulatory audit work, and with the adoption of innovative technologies and initiatives for the promotion of the Greek brand and the connection of Greek agri-food products with foreign markets. By the end of Q1 2026, all scheduled deliverables for both subprojects, “Smart Agriculture” and “Extroverted Agriculture,” were completed according to the contracted plan. </w:t>
      </w:r>
    </w:p>
    <w:p w14:paraId="7F560173" w14:textId="77777777" w:rsidR="00451CC2" w:rsidRPr="0047196E" w:rsidRDefault="00451CC2" w:rsidP="00D31D31">
      <w:pPr>
        <w:rPr>
          <w:rFonts w:ascii="Times New Roman" w:eastAsia="Times New Roman" w:hAnsi="Times New Roman" w:cs="Times New Roman"/>
          <w:lang w:val="en-US"/>
        </w:rPr>
      </w:pPr>
      <w:r w:rsidRPr="0047196E">
        <w:rPr>
          <w:rFonts w:eastAsia="Times New Roman"/>
          <w:color w:val="000000"/>
          <w:lang w:val="en-US"/>
        </w:rPr>
        <w:t xml:space="preserve">Towards improving water treatment and water infrastructure, </w:t>
      </w:r>
      <w:r w:rsidRPr="0047196E">
        <w:rPr>
          <w:rFonts w:eastAsia="Times New Roman"/>
          <w:b/>
          <w:bCs/>
          <w:color w:val="000000"/>
          <w:lang w:val="en-US"/>
        </w:rPr>
        <w:t>“Investments in the national irrigation network through PPP schemes”</w:t>
      </w:r>
      <w:r w:rsidR="008E51BB">
        <w:rPr>
          <w:rFonts w:eastAsia="Times New Roman"/>
          <w:b/>
          <w:bCs/>
          <w:color w:val="000000"/>
          <w:lang w:val="en-US"/>
        </w:rPr>
        <w:t>,</w:t>
      </w:r>
      <w:r w:rsidRPr="0047196E">
        <w:rPr>
          <w:rFonts w:eastAsia="Times New Roman"/>
          <w:color w:val="000000"/>
          <w:lang w:val="en-US"/>
        </w:rPr>
        <w:t xml:space="preserve"> aim to upgrade</w:t>
      </w:r>
      <w:r w:rsidRPr="0047196E">
        <w:rPr>
          <w:rFonts w:eastAsia="Times New Roman"/>
          <w:color w:val="0000FF"/>
          <w:lang w:val="en-US"/>
        </w:rPr>
        <w:t xml:space="preserve"> </w:t>
      </w:r>
      <w:r w:rsidRPr="00CC6B18">
        <w:rPr>
          <w:rFonts w:eastAsia="Times New Roman"/>
          <w:lang w:val="en-US"/>
        </w:rPr>
        <w:t xml:space="preserve">the national </w:t>
      </w:r>
      <w:proofErr w:type="spellStart"/>
      <w:r w:rsidRPr="00CC6B18">
        <w:rPr>
          <w:rFonts w:eastAsia="Times New Roman"/>
          <w:lang w:val="en-US"/>
        </w:rPr>
        <w:t>agri</w:t>
      </w:r>
      <w:proofErr w:type="spellEnd"/>
      <w:r w:rsidRPr="00CC6B18">
        <w:rPr>
          <w:rFonts w:eastAsia="Times New Roman"/>
          <w:lang w:val="en-US"/>
        </w:rPr>
        <w:t xml:space="preserve">-environmental, land improvement and remediation framework. </w:t>
      </w:r>
      <w:r w:rsidRPr="0047196E">
        <w:rPr>
          <w:rFonts w:eastAsia="Times New Roman"/>
          <w:lang w:val="en-US"/>
        </w:rPr>
        <w:t>All</w:t>
      </w:r>
      <w:r w:rsidRPr="0047196E">
        <w:rPr>
          <w:rFonts w:eastAsia="Times New Roman"/>
          <w:color w:val="FF0000"/>
          <w:lang w:val="en-US"/>
        </w:rPr>
        <w:t xml:space="preserve"> </w:t>
      </w:r>
      <w:r w:rsidRPr="0047196E">
        <w:rPr>
          <w:rFonts w:eastAsia="Times New Roman"/>
          <w:color w:val="000000"/>
          <w:lang w:val="en-US"/>
        </w:rPr>
        <w:t xml:space="preserve">five subprojects (1) </w:t>
      </w:r>
      <w:proofErr w:type="spellStart"/>
      <w:r w:rsidRPr="0047196E">
        <w:rPr>
          <w:rFonts w:eastAsia="Times New Roman"/>
          <w:color w:val="000000"/>
          <w:lang w:val="en-US"/>
        </w:rPr>
        <w:t>Nestos</w:t>
      </w:r>
      <w:proofErr w:type="spellEnd"/>
      <w:r w:rsidRPr="0047196E">
        <w:rPr>
          <w:rFonts w:eastAsia="Times New Roman"/>
          <w:color w:val="000000"/>
          <w:lang w:val="en-US"/>
        </w:rPr>
        <w:t xml:space="preserve">: water irrigation conveyance infrastructure, (2) </w:t>
      </w:r>
      <w:proofErr w:type="spellStart"/>
      <w:r w:rsidRPr="0047196E">
        <w:rPr>
          <w:rFonts w:eastAsia="Times New Roman"/>
          <w:color w:val="000000"/>
          <w:lang w:val="en-US"/>
        </w:rPr>
        <w:t>Tavropos</w:t>
      </w:r>
      <w:proofErr w:type="spellEnd"/>
      <w:r w:rsidRPr="0047196E">
        <w:rPr>
          <w:rFonts w:eastAsia="Times New Roman"/>
          <w:color w:val="000000"/>
          <w:lang w:val="en-US"/>
        </w:rPr>
        <w:t xml:space="preserve">: modernization of the irrigation system, (3) </w:t>
      </w:r>
      <w:proofErr w:type="spellStart"/>
      <w:r w:rsidRPr="0047196E">
        <w:rPr>
          <w:rFonts w:eastAsia="Times New Roman"/>
          <w:color w:val="000000"/>
          <w:lang w:val="en-US"/>
        </w:rPr>
        <w:t>Hypereia-Orfana</w:t>
      </w:r>
      <w:proofErr w:type="spellEnd"/>
      <w:r w:rsidRPr="0047196E">
        <w:rPr>
          <w:rFonts w:eastAsia="Times New Roman"/>
          <w:color w:val="000000"/>
          <w:lang w:val="en-US"/>
        </w:rPr>
        <w:t xml:space="preserve">: irrigation network infrastructure, (4) Lake reservoir </w:t>
      </w:r>
      <w:proofErr w:type="spellStart"/>
      <w:r w:rsidRPr="0047196E">
        <w:rPr>
          <w:rFonts w:eastAsia="Times New Roman"/>
          <w:color w:val="000000"/>
          <w:lang w:val="en-US"/>
        </w:rPr>
        <w:t>Xoclakia</w:t>
      </w:r>
      <w:proofErr w:type="spellEnd"/>
      <w:r w:rsidRPr="0047196E">
        <w:rPr>
          <w:rFonts w:eastAsia="Times New Roman"/>
          <w:color w:val="000000"/>
          <w:lang w:val="en-US"/>
        </w:rPr>
        <w:t xml:space="preserve"> and </w:t>
      </w:r>
      <w:proofErr w:type="spellStart"/>
      <w:r w:rsidRPr="0047196E">
        <w:rPr>
          <w:rFonts w:eastAsia="Times New Roman"/>
          <w:color w:val="000000"/>
          <w:lang w:val="en-US"/>
        </w:rPr>
        <w:t>Ag.Ioannis</w:t>
      </w:r>
      <w:proofErr w:type="spellEnd"/>
      <w:r w:rsidRPr="0047196E">
        <w:rPr>
          <w:rFonts w:eastAsia="Times New Roman"/>
          <w:color w:val="000000"/>
          <w:lang w:val="en-US"/>
        </w:rPr>
        <w:t xml:space="preserve"> Dam, (5) </w:t>
      </w:r>
      <w:proofErr w:type="spellStart"/>
      <w:r w:rsidRPr="0047196E">
        <w:rPr>
          <w:rFonts w:eastAsia="Times New Roman"/>
          <w:color w:val="000000"/>
          <w:lang w:val="en-US"/>
        </w:rPr>
        <w:t>Minayiotiko</w:t>
      </w:r>
      <w:proofErr w:type="spellEnd"/>
      <w:r w:rsidRPr="0047196E">
        <w:rPr>
          <w:rFonts w:eastAsia="Times New Roman"/>
          <w:color w:val="000000"/>
          <w:lang w:val="en-US"/>
        </w:rPr>
        <w:t xml:space="preserve"> Dam &amp; Irrigation system) both the competitive dialogue (B.I phase) and the submission of binding tenders by the pre-selected participants (B.II phase) were completed at the beginning of Q3 of 2024. The contracts for the irrigation networks of the three subprojects: (1) </w:t>
      </w:r>
      <w:proofErr w:type="spellStart"/>
      <w:r w:rsidRPr="0047196E">
        <w:rPr>
          <w:rFonts w:eastAsia="Times New Roman"/>
          <w:color w:val="000000"/>
          <w:lang w:val="en-US"/>
        </w:rPr>
        <w:t>Nestos</w:t>
      </w:r>
      <w:proofErr w:type="spellEnd"/>
      <w:r w:rsidRPr="0047196E">
        <w:rPr>
          <w:rFonts w:eastAsia="Times New Roman"/>
          <w:color w:val="000000"/>
          <w:lang w:val="en-US"/>
        </w:rPr>
        <w:t xml:space="preserve"> (2) </w:t>
      </w:r>
      <w:proofErr w:type="spellStart"/>
      <w:r w:rsidRPr="0047196E">
        <w:rPr>
          <w:rFonts w:eastAsia="Times New Roman"/>
          <w:color w:val="000000"/>
          <w:lang w:val="en-US"/>
        </w:rPr>
        <w:t>Tavropos</w:t>
      </w:r>
      <w:proofErr w:type="spellEnd"/>
      <w:r w:rsidRPr="0047196E">
        <w:rPr>
          <w:rFonts w:eastAsia="Times New Roman"/>
          <w:color w:val="000000"/>
          <w:lang w:val="en-US"/>
        </w:rPr>
        <w:t xml:space="preserve"> and (3) </w:t>
      </w:r>
      <w:proofErr w:type="spellStart"/>
      <w:r w:rsidRPr="0047196E">
        <w:rPr>
          <w:rFonts w:eastAsia="Times New Roman"/>
          <w:color w:val="000000"/>
          <w:lang w:val="en-US"/>
        </w:rPr>
        <w:t>Hypereia-Orfana</w:t>
      </w:r>
      <w:proofErr w:type="spellEnd"/>
      <w:r w:rsidRPr="0047196E">
        <w:rPr>
          <w:rFonts w:eastAsia="Times New Roman"/>
          <w:color w:val="000000"/>
          <w:lang w:val="en-US"/>
        </w:rPr>
        <w:t xml:space="preserve"> were signed at the Q3 of 2025 and the relevant studies were submitted by the contractors by the end of the same year. For the 4</w:t>
      </w:r>
      <w:r w:rsidRPr="0047196E">
        <w:rPr>
          <w:rFonts w:eastAsia="Times New Roman"/>
          <w:color w:val="000000"/>
          <w:sz w:val="14"/>
          <w:szCs w:val="14"/>
          <w:vertAlign w:val="superscript"/>
          <w:lang w:val="en-US"/>
        </w:rPr>
        <w:t>th</w:t>
      </w:r>
      <w:r w:rsidRPr="0047196E">
        <w:rPr>
          <w:rFonts w:eastAsia="Times New Roman"/>
          <w:color w:val="000000"/>
          <w:lang w:val="en-US"/>
        </w:rPr>
        <w:t xml:space="preserve"> subproject “Lake reservoir </w:t>
      </w:r>
      <w:proofErr w:type="spellStart"/>
      <w:r w:rsidRPr="0047196E">
        <w:rPr>
          <w:rFonts w:eastAsia="Times New Roman"/>
          <w:color w:val="000000"/>
          <w:lang w:val="en-US"/>
        </w:rPr>
        <w:t>Hoclakia</w:t>
      </w:r>
      <w:proofErr w:type="spellEnd"/>
      <w:r w:rsidRPr="0047196E">
        <w:rPr>
          <w:rFonts w:eastAsia="Times New Roman"/>
          <w:color w:val="000000"/>
          <w:lang w:val="en-US"/>
        </w:rPr>
        <w:t xml:space="preserve"> and </w:t>
      </w:r>
      <w:proofErr w:type="spellStart"/>
      <w:r w:rsidRPr="0047196E">
        <w:rPr>
          <w:rFonts w:eastAsia="Times New Roman"/>
          <w:color w:val="000000"/>
          <w:lang w:val="en-US"/>
        </w:rPr>
        <w:t>Ag.Ioannis</w:t>
      </w:r>
      <w:proofErr w:type="spellEnd"/>
      <w:r w:rsidRPr="0047196E">
        <w:rPr>
          <w:rFonts w:eastAsia="Times New Roman"/>
          <w:color w:val="000000"/>
          <w:lang w:val="en-US"/>
        </w:rPr>
        <w:t xml:space="preserve"> Dam”, the contractor has already been awarded;</w:t>
      </w:r>
      <w:r>
        <w:rPr>
          <w:rFonts w:eastAsia="Times New Roman"/>
          <w:color w:val="000000"/>
          <w:lang w:val="en-US"/>
        </w:rPr>
        <w:t xml:space="preserve"> </w:t>
      </w:r>
      <w:r w:rsidRPr="0047196E">
        <w:rPr>
          <w:rFonts w:eastAsia="Times New Roman"/>
          <w:color w:val="000000"/>
          <w:lang w:val="en-US"/>
        </w:rPr>
        <w:t>contract signing is pending</w:t>
      </w:r>
      <w:r>
        <w:rPr>
          <w:rFonts w:eastAsia="Times New Roman"/>
          <w:color w:val="000000"/>
          <w:lang w:val="en-US"/>
        </w:rPr>
        <w:t xml:space="preserve">. </w:t>
      </w:r>
      <w:r w:rsidRPr="0047196E">
        <w:rPr>
          <w:rFonts w:eastAsia="Times New Roman"/>
          <w:color w:val="000000"/>
          <w:lang w:val="en-US"/>
        </w:rPr>
        <w:t>For the 5</w:t>
      </w:r>
      <w:r w:rsidRPr="0047196E">
        <w:rPr>
          <w:rFonts w:eastAsia="Times New Roman"/>
          <w:color w:val="000000"/>
          <w:sz w:val="14"/>
          <w:szCs w:val="14"/>
          <w:vertAlign w:val="superscript"/>
          <w:lang w:val="en-US"/>
        </w:rPr>
        <w:t>th</w:t>
      </w:r>
      <w:r w:rsidRPr="0047196E">
        <w:rPr>
          <w:rFonts w:eastAsia="Times New Roman"/>
          <w:color w:val="000000"/>
          <w:lang w:val="en-US"/>
        </w:rPr>
        <w:t xml:space="preserve"> subproject “</w:t>
      </w:r>
      <w:proofErr w:type="spellStart"/>
      <w:r w:rsidRPr="0047196E">
        <w:rPr>
          <w:rFonts w:eastAsia="Times New Roman"/>
          <w:color w:val="000000"/>
          <w:lang w:val="en-US"/>
        </w:rPr>
        <w:t>Minayiotiko</w:t>
      </w:r>
      <w:proofErr w:type="spellEnd"/>
      <w:r w:rsidRPr="0047196E">
        <w:rPr>
          <w:rFonts w:eastAsia="Times New Roman"/>
          <w:color w:val="000000"/>
          <w:lang w:val="en-US"/>
        </w:rPr>
        <w:t xml:space="preserve"> Dam &amp; Irrigation system”, the provisional contractor has been announced; the final award decision and the completion of the pre-contractual audit by the Court of Auditors are still pending. All subprojects are expected to be shifted to a national funding scheme hence to be financed through national resources. </w:t>
      </w:r>
    </w:p>
    <w:p w14:paraId="21829024" w14:textId="77777777" w:rsidR="00451CC2" w:rsidRPr="008A7CB8" w:rsidRDefault="00451CC2" w:rsidP="00D31D31">
      <w:pPr>
        <w:rPr>
          <w:rFonts w:eastAsia="Times New Roman"/>
          <w:color w:val="000000"/>
          <w:lang w:val="en-US"/>
        </w:rPr>
      </w:pPr>
      <w:r w:rsidRPr="0047196E">
        <w:rPr>
          <w:rFonts w:eastAsia="Times New Roman"/>
          <w:color w:val="000000"/>
          <w:lang w:val="en-US"/>
        </w:rPr>
        <w:lastRenderedPageBreak/>
        <w:t xml:space="preserve">The </w:t>
      </w:r>
      <w:r w:rsidRPr="0047196E">
        <w:rPr>
          <w:rFonts w:eastAsia="Times New Roman"/>
          <w:b/>
          <w:bCs/>
          <w:color w:val="000000"/>
          <w:lang w:val="en-US"/>
        </w:rPr>
        <w:t>“Land improvement infrastructure projects”</w:t>
      </w:r>
      <w:r w:rsidRPr="0047196E">
        <w:rPr>
          <w:rFonts w:eastAsia="Times New Roman"/>
          <w:color w:val="000000"/>
          <w:lang w:val="en-US"/>
        </w:rPr>
        <w:t xml:space="preserve">, </w:t>
      </w:r>
      <w:r w:rsidRPr="0047196E">
        <w:rPr>
          <w:rFonts w:eastAsia="Times New Roman"/>
          <w:lang w:val="en-US"/>
        </w:rPr>
        <w:t xml:space="preserve">part of </w:t>
      </w:r>
      <w:r w:rsidRPr="0047196E">
        <w:rPr>
          <w:rFonts w:eastAsia="Times New Roman"/>
          <w:color w:val="000000"/>
          <w:lang w:val="en-US"/>
        </w:rPr>
        <w:t xml:space="preserve">the Strategic Plan for Common Agricultural Policy 2023-2027, </w:t>
      </w:r>
      <w:r w:rsidRPr="0047196E">
        <w:rPr>
          <w:rFonts w:eastAsia="Times New Roman"/>
          <w:lang w:val="en-US"/>
        </w:rPr>
        <w:t xml:space="preserve">refer to </w:t>
      </w:r>
      <w:r w:rsidRPr="0047196E">
        <w:rPr>
          <w:rFonts w:eastAsia="Times New Roman"/>
          <w:color w:val="000000"/>
          <w:lang w:val="en-US"/>
        </w:rPr>
        <w:t>securing and saving water to cover the irrigation needs of crops, the rational management of soil and water resources, and the care for the quality of irrigation water and soil protection. Following the implementation of the digital application submission system at the end of Q3 of 2024, the call for the applications for support according to the institutional framework of the intervention was published at the end of Q2 of 2025. The submission deadline expired in the beginning of Q4 of 2025 and the evaluation of the applications is in progress.</w:t>
      </w:r>
    </w:p>
    <w:p w14:paraId="28E07631" w14:textId="77777777" w:rsidR="00451CC2" w:rsidRPr="00FD4DF9" w:rsidRDefault="00FD4DF9" w:rsidP="00F90B85">
      <w:pPr>
        <w:pStyle w:val="Heading2"/>
        <w:pBdr>
          <w:bottom w:val="single" w:sz="4" w:space="1" w:color="4F81BD" w:themeColor="accent1"/>
        </w:pBdr>
        <w:spacing w:before="960"/>
        <w:rPr>
          <w:rFonts w:eastAsia="Calibri"/>
          <w:sz w:val="36"/>
          <w:lang w:val="en-US"/>
        </w:rPr>
      </w:pPr>
      <w:bookmarkStart w:id="70" w:name="_Toc227932505"/>
      <w:bookmarkStart w:id="71" w:name="_Toc228279098"/>
      <w:r>
        <w:rPr>
          <w:rFonts w:eastAsia="Calibri"/>
          <w:sz w:val="36"/>
          <w:lang w:val="en-US"/>
        </w:rPr>
        <w:t>M</w:t>
      </w:r>
      <w:r w:rsidRPr="00FD4DF9">
        <w:rPr>
          <w:rFonts w:eastAsia="Calibri"/>
          <w:sz w:val="36"/>
          <w:lang w:val="en-US"/>
        </w:rPr>
        <w:t xml:space="preserve">inistry of </w:t>
      </w:r>
      <w:r>
        <w:rPr>
          <w:rFonts w:eastAsia="Calibri"/>
          <w:sz w:val="36"/>
          <w:lang w:val="en-US"/>
        </w:rPr>
        <w:t>C</w:t>
      </w:r>
      <w:r w:rsidRPr="00FD4DF9">
        <w:rPr>
          <w:rFonts w:eastAsia="Calibri"/>
          <w:sz w:val="36"/>
          <w:lang w:val="en-US"/>
        </w:rPr>
        <w:t>ulture</w:t>
      </w:r>
      <w:bookmarkEnd w:id="70"/>
      <w:bookmarkEnd w:id="71"/>
      <w:r w:rsidRPr="00FD4DF9">
        <w:rPr>
          <w:rFonts w:eastAsia="Calibri"/>
          <w:sz w:val="36"/>
          <w:lang w:val="en-US"/>
        </w:rPr>
        <w:t xml:space="preserve"> </w:t>
      </w:r>
    </w:p>
    <w:tbl>
      <w:tblPr>
        <w:tblW w:w="8953" w:type="dxa"/>
        <w:jc w:val="center"/>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Layout w:type="fixed"/>
        <w:tblLook w:val="0600" w:firstRow="0" w:lastRow="0" w:firstColumn="0" w:lastColumn="0" w:noHBand="1" w:noVBand="1"/>
      </w:tblPr>
      <w:tblGrid>
        <w:gridCol w:w="3253"/>
        <w:gridCol w:w="1361"/>
        <w:gridCol w:w="1505"/>
        <w:gridCol w:w="1763"/>
        <w:gridCol w:w="1071"/>
      </w:tblGrid>
      <w:tr w:rsidR="00451CC2" w:rsidRPr="00FD4DF9" w14:paraId="79373A39" w14:textId="77777777" w:rsidTr="00425017">
        <w:trPr>
          <w:trHeight w:val="170"/>
          <w:jc w:val="center"/>
        </w:trPr>
        <w:tc>
          <w:tcPr>
            <w:tcW w:w="3253" w:type="dxa"/>
            <w:shd w:val="clear" w:color="auto" w:fill="CFE2F3"/>
            <w:tcMar>
              <w:top w:w="0" w:type="dxa"/>
              <w:left w:w="100" w:type="dxa"/>
              <w:bottom w:w="0" w:type="dxa"/>
              <w:right w:w="100" w:type="dxa"/>
            </w:tcMar>
            <w:vAlign w:val="center"/>
          </w:tcPr>
          <w:p w14:paraId="462309B8" w14:textId="77777777" w:rsidR="00451CC2" w:rsidRPr="00FD4DF9" w:rsidRDefault="00451CC2" w:rsidP="00FD4DF9">
            <w:pPr>
              <w:pStyle w:val="Tabletext"/>
              <w:rPr>
                <w:rFonts w:eastAsia="Calibri"/>
                <w:b/>
              </w:rPr>
            </w:pPr>
            <w:r w:rsidRPr="00FD4DF9">
              <w:rPr>
                <w:rFonts w:eastAsia="Calibri"/>
                <w:b/>
              </w:rPr>
              <w:t>REFORM / INVESTMENT</w:t>
            </w:r>
          </w:p>
        </w:tc>
        <w:tc>
          <w:tcPr>
            <w:tcW w:w="1361" w:type="dxa"/>
            <w:shd w:val="clear" w:color="auto" w:fill="CFE2F3"/>
            <w:tcMar>
              <w:top w:w="0" w:type="dxa"/>
              <w:left w:w="100" w:type="dxa"/>
              <w:bottom w:w="0" w:type="dxa"/>
              <w:right w:w="100" w:type="dxa"/>
            </w:tcMar>
            <w:vAlign w:val="center"/>
          </w:tcPr>
          <w:p w14:paraId="4938C277" w14:textId="77777777" w:rsidR="00451CC2" w:rsidRPr="00FD4DF9" w:rsidRDefault="00451CC2" w:rsidP="00FD4DF9">
            <w:pPr>
              <w:pStyle w:val="Tabletext"/>
              <w:rPr>
                <w:rFonts w:eastAsia="Calibri"/>
                <w:b/>
              </w:rPr>
            </w:pPr>
            <w:r w:rsidRPr="00FD4DF9">
              <w:rPr>
                <w:rFonts w:eastAsia="Calibri"/>
                <w:b/>
              </w:rPr>
              <w:t>RRF / MFF</w:t>
            </w:r>
          </w:p>
        </w:tc>
        <w:tc>
          <w:tcPr>
            <w:tcW w:w="1505" w:type="dxa"/>
            <w:shd w:val="clear" w:color="auto" w:fill="CFE2F3"/>
            <w:tcMar>
              <w:top w:w="0" w:type="dxa"/>
              <w:left w:w="100" w:type="dxa"/>
              <w:bottom w:w="0" w:type="dxa"/>
              <w:right w:w="100" w:type="dxa"/>
            </w:tcMar>
            <w:vAlign w:val="center"/>
          </w:tcPr>
          <w:p w14:paraId="21893B47" w14:textId="77777777" w:rsidR="00451CC2" w:rsidRPr="00FD4DF9" w:rsidRDefault="00451CC2" w:rsidP="00FD4DF9">
            <w:pPr>
              <w:pStyle w:val="Tabletext"/>
              <w:rPr>
                <w:rFonts w:eastAsia="Calibri"/>
                <w:b/>
              </w:rPr>
            </w:pPr>
            <w:r w:rsidRPr="00FD4DF9">
              <w:rPr>
                <w:rFonts w:eastAsia="Calibri"/>
                <w:b/>
              </w:rPr>
              <w:t>CSR</w:t>
            </w:r>
          </w:p>
        </w:tc>
        <w:tc>
          <w:tcPr>
            <w:tcW w:w="1763" w:type="dxa"/>
            <w:shd w:val="clear" w:color="auto" w:fill="CFE2F3"/>
            <w:tcMar>
              <w:top w:w="0" w:type="dxa"/>
              <w:left w:w="100" w:type="dxa"/>
              <w:bottom w:w="0" w:type="dxa"/>
              <w:right w:w="100" w:type="dxa"/>
            </w:tcMar>
            <w:vAlign w:val="center"/>
          </w:tcPr>
          <w:p w14:paraId="28B3E9C9" w14:textId="77777777" w:rsidR="00451CC2" w:rsidRPr="00FD4DF9" w:rsidRDefault="00451CC2" w:rsidP="00FD4DF9">
            <w:pPr>
              <w:pStyle w:val="Tabletext"/>
              <w:rPr>
                <w:rFonts w:eastAsia="Calibri"/>
                <w:b/>
              </w:rPr>
            </w:pPr>
            <w:r w:rsidRPr="00FD4DF9">
              <w:rPr>
                <w:rFonts w:eastAsia="Calibri"/>
                <w:b/>
              </w:rPr>
              <w:t>COMMON PRIORITIES</w:t>
            </w:r>
          </w:p>
        </w:tc>
        <w:tc>
          <w:tcPr>
            <w:tcW w:w="1071" w:type="dxa"/>
            <w:shd w:val="clear" w:color="auto" w:fill="CFE2F3"/>
            <w:tcMar>
              <w:top w:w="0" w:type="dxa"/>
              <w:left w:w="100" w:type="dxa"/>
              <w:bottom w:w="0" w:type="dxa"/>
              <w:right w:w="100" w:type="dxa"/>
            </w:tcMar>
            <w:vAlign w:val="center"/>
          </w:tcPr>
          <w:p w14:paraId="191C9971" w14:textId="77777777" w:rsidR="00451CC2" w:rsidRPr="00FD4DF9" w:rsidRDefault="00451CC2" w:rsidP="00FD4DF9">
            <w:pPr>
              <w:pStyle w:val="Tabletext"/>
              <w:rPr>
                <w:rFonts w:eastAsia="Calibri"/>
                <w:b/>
              </w:rPr>
            </w:pPr>
            <w:r w:rsidRPr="00FD4DF9">
              <w:rPr>
                <w:rFonts w:eastAsia="Calibri"/>
                <w:b/>
              </w:rPr>
              <w:t>On-track status</w:t>
            </w:r>
          </w:p>
        </w:tc>
      </w:tr>
      <w:tr w:rsidR="00451CC2" w14:paraId="2B188607" w14:textId="77777777" w:rsidTr="00425017">
        <w:trPr>
          <w:trHeight w:val="170"/>
          <w:jc w:val="center"/>
        </w:trPr>
        <w:tc>
          <w:tcPr>
            <w:tcW w:w="3253" w:type="dxa"/>
            <w:tcMar>
              <w:top w:w="40" w:type="dxa"/>
              <w:left w:w="40" w:type="dxa"/>
              <w:bottom w:w="40" w:type="dxa"/>
              <w:right w:w="40" w:type="dxa"/>
            </w:tcMar>
            <w:vAlign w:val="center"/>
          </w:tcPr>
          <w:p w14:paraId="56C1830F" w14:textId="77777777" w:rsidR="00451CC2" w:rsidRPr="00A746D8" w:rsidRDefault="00540671" w:rsidP="00FD4DF9">
            <w:pPr>
              <w:pStyle w:val="Tabletext"/>
              <w:rPr>
                <w:rFonts w:eastAsia="Calibri"/>
              </w:rPr>
            </w:pPr>
            <w:r w:rsidRPr="00540671">
              <w:rPr>
                <w:rFonts w:eastAsia="Calibri"/>
                <w:b/>
              </w:rPr>
              <w:t>REFORM 1:</w:t>
            </w:r>
            <w:r w:rsidR="00451CC2" w:rsidRPr="00A746D8">
              <w:rPr>
                <w:rFonts w:eastAsia="Calibri"/>
              </w:rPr>
              <w:t xml:space="preserve"> Registry of Cultural Organizations</w:t>
            </w:r>
          </w:p>
        </w:tc>
        <w:tc>
          <w:tcPr>
            <w:tcW w:w="1361" w:type="dxa"/>
            <w:tcMar>
              <w:top w:w="40" w:type="dxa"/>
              <w:left w:w="40" w:type="dxa"/>
              <w:bottom w:w="40" w:type="dxa"/>
              <w:right w:w="40" w:type="dxa"/>
            </w:tcMar>
            <w:vAlign w:val="center"/>
          </w:tcPr>
          <w:p w14:paraId="58CDB515" w14:textId="77777777" w:rsidR="00451CC2" w:rsidRDefault="00451CC2" w:rsidP="00FD4DF9">
            <w:pPr>
              <w:pStyle w:val="Tabletext"/>
              <w:rPr>
                <w:rFonts w:eastAsia="Calibri"/>
              </w:rPr>
            </w:pPr>
            <w:r>
              <w:rPr>
                <w:rFonts w:eastAsia="Calibri"/>
              </w:rPr>
              <w:t>-</w:t>
            </w:r>
          </w:p>
        </w:tc>
        <w:tc>
          <w:tcPr>
            <w:tcW w:w="1505" w:type="dxa"/>
            <w:tcMar>
              <w:top w:w="40" w:type="dxa"/>
              <w:left w:w="40" w:type="dxa"/>
              <w:bottom w:w="40" w:type="dxa"/>
              <w:right w:w="40" w:type="dxa"/>
            </w:tcMar>
            <w:vAlign w:val="center"/>
          </w:tcPr>
          <w:p w14:paraId="66A8D047" w14:textId="77777777" w:rsidR="00451CC2" w:rsidRPr="00A746D8" w:rsidRDefault="00451CC2" w:rsidP="00FD4DF9">
            <w:pPr>
              <w:pStyle w:val="Tabletext"/>
              <w:rPr>
                <w:rFonts w:eastAsia="Calibri"/>
              </w:rPr>
            </w:pPr>
            <w:r w:rsidRPr="00A746D8">
              <w:rPr>
                <w:rFonts w:eastAsia="Calibri"/>
              </w:rPr>
              <w:t>2025 CSR3.1</w:t>
            </w:r>
          </w:p>
          <w:p w14:paraId="754B11FA" w14:textId="77777777" w:rsidR="00451CC2" w:rsidRPr="00A746D8" w:rsidRDefault="00451CC2" w:rsidP="00FD4DF9">
            <w:pPr>
              <w:pStyle w:val="Tabletext"/>
              <w:rPr>
                <w:rFonts w:eastAsia="Calibri"/>
              </w:rPr>
            </w:pPr>
            <w:r w:rsidRPr="00A746D8">
              <w:rPr>
                <w:rFonts w:eastAsia="Calibri"/>
              </w:rPr>
              <w:t>2024 CSR1.7</w:t>
            </w:r>
          </w:p>
          <w:p w14:paraId="5BFD8A05" w14:textId="77777777" w:rsidR="00451CC2" w:rsidRPr="00A746D8" w:rsidRDefault="00451CC2" w:rsidP="00FD4DF9">
            <w:pPr>
              <w:pStyle w:val="Tabletext"/>
              <w:rPr>
                <w:rFonts w:eastAsia="Calibri"/>
              </w:rPr>
            </w:pPr>
            <w:r w:rsidRPr="00A746D8">
              <w:rPr>
                <w:rFonts w:eastAsia="Calibri"/>
              </w:rPr>
              <w:t>2020 CSR3.3</w:t>
            </w:r>
          </w:p>
          <w:p w14:paraId="28A4D8BB" w14:textId="77777777" w:rsidR="00451CC2" w:rsidRPr="00A746D8" w:rsidRDefault="00451CC2" w:rsidP="00FD4DF9">
            <w:pPr>
              <w:pStyle w:val="Tabletext"/>
              <w:rPr>
                <w:rFonts w:eastAsia="Calibri"/>
              </w:rPr>
            </w:pPr>
            <w:r w:rsidRPr="00A746D8">
              <w:rPr>
                <w:rFonts w:eastAsia="Calibri"/>
              </w:rPr>
              <w:t>2020 CSR3.9</w:t>
            </w:r>
          </w:p>
          <w:p w14:paraId="571B3B86" w14:textId="77777777" w:rsidR="00451CC2" w:rsidRPr="00A746D8" w:rsidRDefault="00451CC2" w:rsidP="00FD4DF9">
            <w:pPr>
              <w:pStyle w:val="Tabletext"/>
              <w:rPr>
                <w:rFonts w:eastAsia="Calibri"/>
              </w:rPr>
            </w:pPr>
            <w:r w:rsidRPr="00A746D8">
              <w:rPr>
                <w:rFonts w:eastAsia="Calibri"/>
              </w:rPr>
              <w:t>2019 CSR2.3</w:t>
            </w:r>
          </w:p>
        </w:tc>
        <w:tc>
          <w:tcPr>
            <w:tcW w:w="1763" w:type="dxa"/>
            <w:tcMar>
              <w:top w:w="40" w:type="dxa"/>
              <w:left w:w="40" w:type="dxa"/>
              <w:bottom w:w="40" w:type="dxa"/>
              <w:right w:w="40" w:type="dxa"/>
            </w:tcMar>
            <w:vAlign w:val="center"/>
          </w:tcPr>
          <w:p w14:paraId="4AC7695B" w14:textId="77777777" w:rsidR="00451CC2" w:rsidRDefault="00451CC2" w:rsidP="00FD4DF9">
            <w:pPr>
              <w:pStyle w:val="Tabletext"/>
              <w:rPr>
                <w:rFonts w:eastAsia="Calibri"/>
              </w:rPr>
            </w:pPr>
            <w:r>
              <w:rPr>
                <w:rFonts w:eastAsia="Calibri"/>
              </w:rPr>
              <w:t>Social and Economic resilience</w:t>
            </w:r>
          </w:p>
        </w:tc>
        <w:tc>
          <w:tcPr>
            <w:tcW w:w="1071" w:type="dxa"/>
            <w:tcMar>
              <w:top w:w="0" w:type="dxa"/>
              <w:bottom w:w="0" w:type="dxa"/>
            </w:tcMar>
            <w:vAlign w:val="center"/>
          </w:tcPr>
          <w:p w14:paraId="5F21B48E" w14:textId="77777777" w:rsidR="00451CC2" w:rsidRDefault="00451CC2" w:rsidP="00FD4DF9">
            <w:pPr>
              <w:pStyle w:val="Tabletext"/>
              <w:rPr>
                <w:rFonts w:eastAsia="Calibri"/>
              </w:rPr>
            </w:pPr>
            <w:r>
              <w:rPr>
                <w:rFonts w:eastAsia="Calibri"/>
              </w:rPr>
              <w:t>On track</w:t>
            </w:r>
          </w:p>
        </w:tc>
      </w:tr>
      <w:tr w:rsidR="00451CC2" w14:paraId="53E7A146" w14:textId="77777777" w:rsidTr="00425017">
        <w:trPr>
          <w:trHeight w:val="170"/>
          <w:jc w:val="center"/>
        </w:trPr>
        <w:tc>
          <w:tcPr>
            <w:tcW w:w="3253" w:type="dxa"/>
            <w:tcMar>
              <w:top w:w="40" w:type="dxa"/>
              <w:left w:w="40" w:type="dxa"/>
              <w:bottom w:w="40" w:type="dxa"/>
              <w:right w:w="40" w:type="dxa"/>
            </w:tcMar>
            <w:vAlign w:val="center"/>
          </w:tcPr>
          <w:p w14:paraId="66DA773C" w14:textId="77777777" w:rsidR="00451CC2" w:rsidRPr="00A746D8" w:rsidRDefault="00540671" w:rsidP="00FD4DF9">
            <w:pPr>
              <w:pStyle w:val="Tabletext"/>
              <w:rPr>
                <w:rFonts w:eastAsia="Calibri"/>
              </w:rPr>
            </w:pPr>
            <w:r w:rsidRPr="00540671">
              <w:rPr>
                <w:rFonts w:eastAsia="Calibri"/>
                <w:b/>
              </w:rPr>
              <w:t>REFORM 2:</w:t>
            </w:r>
            <w:r w:rsidR="00451CC2" w:rsidRPr="00A746D8">
              <w:rPr>
                <w:rFonts w:eastAsia="Calibri"/>
              </w:rPr>
              <w:t xml:space="preserve"> Hellenic Museum Accreditation Programme</w:t>
            </w:r>
          </w:p>
        </w:tc>
        <w:tc>
          <w:tcPr>
            <w:tcW w:w="1361" w:type="dxa"/>
            <w:tcMar>
              <w:top w:w="40" w:type="dxa"/>
              <w:left w:w="40" w:type="dxa"/>
              <w:bottom w:w="40" w:type="dxa"/>
              <w:right w:w="40" w:type="dxa"/>
            </w:tcMar>
            <w:vAlign w:val="center"/>
          </w:tcPr>
          <w:p w14:paraId="661D1794" w14:textId="77777777" w:rsidR="00451CC2" w:rsidRDefault="00451CC2" w:rsidP="00FD4DF9">
            <w:pPr>
              <w:pStyle w:val="Tabletext"/>
              <w:rPr>
                <w:rFonts w:eastAsia="Calibri"/>
              </w:rPr>
            </w:pPr>
            <w:r>
              <w:rPr>
                <w:rFonts w:eastAsia="Calibri"/>
              </w:rPr>
              <w:t>-</w:t>
            </w:r>
          </w:p>
        </w:tc>
        <w:tc>
          <w:tcPr>
            <w:tcW w:w="1505" w:type="dxa"/>
            <w:tcMar>
              <w:top w:w="40" w:type="dxa"/>
              <w:left w:w="40" w:type="dxa"/>
              <w:bottom w:w="40" w:type="dxa"/>
              <w:right w:w="40" w:type="dxa"/>
            </w:tcMar>
            <w:vAlign w:val="center"/>
          </w:tcPr>
          <w:p w14:paraId="051E805B" w14:textId="77777777" w:rsidR="00451CC2" w:rsidRDefault="00451CC2" w:rsidP="00FD4DF9">
            <w:pPr>
              <w:pStyle w:val="Tabletext"/>
              <w:rPr>
                <w:rFonts w:eastAsia="Calibri"/>
              </w:rPr>
            </w:pPr>
            <w:r>
              <w:rPr>
                <w:rFonts w:eastAsia="Calibri"/>
              </w:rPr>
              <w:t>2025 CSR3.1</w:t>
            </w:r>
          </w:p>
        </w:tc>
        <w:tc>
          <w:tcPr>
            <w:tcW w:w="1763" w:type="dxa"/>
            <w:tcMar>
              <w:top w:w="40" w:type="dxa"/>
              <w:left w:w="40" w:type="dxa"/>
              <w:bottom w:w="40" w:type="dxa"/>
              <w:right w:w="40" w:type="dxa"/>
            </w:tcMar>
            <w:vAlign w:val="center"/>
          </w:tcPr>
          <w:p w14:paraId="7E2ED2A2" w14:textId="77777777" w:rsidR="00451CC2" w:rsidRDefault="00451CC2" w:rsidP="00FD4DF9">
            <w:pPr>
              <w:pStyle w:val="Tabletext"/>
              <w:rPr>
                <w:rFonts w:eastAsia="Calibri"/>
              </w:rPr>
            </w:pPr>
            <w:r>
              <w:rPr>
                <w:rFonts w:eastAsia="Calibri"/>
              </w:rPr>
              <w:t>Social and Economic resilience</w:t>
            </w:r>
          </w:p>
        </w:tc>
        <w:tc>
          <w:tcPr>
            <w:tcW w:w="1071" w:type="dxa"/>
            <w:tcMar>
              <w:top w:w="0" w:type="dxa"/>
              <w:bottom w:w="0" w:type="dxa"/>
            </w:tcMar>
            <w:vAlign w:val="center"/>
          </w:tcPr>
          <w:p w14:paraId="65539E2A" w14:textId="77777777" w:rsidR="00451CC2" w:rsidRDefault="00451CC2" w:rsidP="00FD4DF9">
            <w:pPr>
              <w:pStyle w:val="Tabletext"/>
              <w:rPr>
                <w:rFonts w:eastAsia="Calibri"/>
              </w:rPr>
            </w:pPr>
            <w:r>
              <w:rPr>
                <w:rFonts w:eastAsia="Calibri"/>
              </w:rPr>
              <w:t>On track</w:t>
            </w:r>
          </w:p>
        </w:tc>
      </w:tr>
      <w:tr w:rsidR="00451CC2" w14:paraId="742DC49D" w14:textId="77777777" w:rsidTr="00425017">
        <w:trPr>
          <w:trHeight w:val="170"/>
          <w:jc w:val="center"/>
        </w:trPr>
        <w:tc>
          <w:tcPr>
            <w:tcW w:w="3253" w:type="dxa"/>
            <w:tcMar>
              <w:top w:w="40" w:type="dxa"/>
              <w:left w:w="40" w:type="dxa"/>
              <w:bottom w:w="40" w:type="dxa"/>
              <w:right w:w="40" w:type="dxa"/>
            </w:tcMar>
            <w:vAlign w:val="center"/>
          </w:tcPr>
          <w:p w14:paraId="7822E978" w14:textId="77777777" w:rsidR="00451CC2" w:rsidRPr="00A746D8" w:rsidRDefault="00540671" w:rsidP="00FD4DF9">
            <w:pPr>
              <w:pStyle w:val="Tabletext"/>
              <w:rPr>
                <w:rFonts w:eastAsia="Calibri"/>
              </w:rPr>
            </w:pPr>
            <w:r w:rsidRPr="00540671">
              <w:rPr>
                <w:rFonts w:eastAsia="Calibri"/>
                <w:b/>
              </w:rPr>
              <w:t>REFORM 3:</w:t>
            </w:r>
            <w:r w:rsidR="00451CC2" w:rsidRPr="00A746D8">
              <w:rPr>
                <w:rFonts w:eastAsia="Calibri"/>
              </w:rPr>
              <w:t xml:space="preserve"> Information System and Online Platform for licensing procedures simplification for the use and reuse of the cultural heritage assets and fees management</w:t>
            </w:r>
          </w:p>
        </w:tc>
        <w:tc>
          <w:tcPr>
            <w:tcW w:w="1361" w:type="dxa"/>
            <w:tcMar>
              <w:top w:w="40" w:type="dxa"/>
              <w:left w:w="40" w:type="dxa"/>
              <w:bottom w:w="40" w:type="dxa"/>
              <w:right w:w="40" w:type="dxa"/>
            </w:tcMar>
            <w:vAlign w:val="center"/>
          </w:tcPr>
          <w:p w14:paraId="6E63A823" w14:textId="77777777" w:rsidR="00451CC2" w:rsidRDefault="00451CC2" w:rsidP="00FD4DF9">
            <w:pPr>
              <w:pStyle w:val="Tabletext"/>
              <w:rPr>
                <w:rFonts w:eastAsia="Calibri"/>
              </w:rPr>
            </w:pPr>
            <w:r>
              <w:rPr>
                <w:rFonts w:eastAsia="Calibri"/>
              </w:rPr>
              <w:t>-</w:t>
            </w:r>
          </w:p>
        </w:tc>
        <w:tc>
          <w:tcPr>
            <w:tcW w:w="1505" w:type="dxa"/>
            <w:tcMar>
              <w:top w:w="40" w:type="dxa"/>
              <w:left w:w="40" w:type="dxa"/>
              <w:bottom w:w="40" w:type="dxa"/>
              <w:right w:w="40" w:type="dxa"/>
            </w:tcMar>
            <w:vAlign w:val="center"/>
          </w:tcPr>
          <w:p w14:paraId="00363730" w14:textId="77777777" w:rsidR="00451CC2" w:rsidRPr="00A746D8" w:rsidRDefault="00451CC2" w:rsidP="00FD4DF9">
            <w:pPr>
              <w:pStyle w:val="Tabletext"/>
              <w:rPr>
                <w:rFonts w:eastAsia="Calibri"/>
              </w:rPr>
            </w:pPr>
            <w:r w:rsidRPr="00A746D8">
              <w:rPr>
                <w:rFonts w:eastAsia="Calibri"/>
              </w:rPr>
              <w:t>2025 CSR3.1</w:t>
            </w:r>
          </w:p>
          <w:p w14:paraId="3AEFD247" w14:textId="77777777" w:rsidR="00451CC2" w:rsidRPr="00A746D8" w:rsidRDefault="00451CC2" w:rsidP="00FD4DF9">
            <w:pPr>
              <w:pStyle w:val="Tabletext"/>
              <w:rPr>
                <w:rFonts w:eastAsia="Calibri"/>
              </w:rPr>
            </w:pPr>
            <w:r w:rsidRPr="00A746D8">
              <w:rPr>
                <w:rFonts w:eastAsia="Calibri"/>
              </w:rPr>
              <w:t>2024 CSR1.7</w:t>
            </w:r>
          </w:p>
          <w:p w14:paraId="1D62BD39" w14:textId="77777777" w:rsidR="00451CC2" w:rsidRPr="00A746D8" w:rsidRDefault="00451CC2" w:rsidP="00FD4DF9">
            <w:pPr>
              <w:pStyle w:val="Tabletext"/>
              <w:rPr>
                <w:rFonts w:eastAsia="Calibri"/>
              </w:rPr>
            </w:pPr>
            <w:r w:rsidRPr="00A746D8">
              <w:rPr>
                <w:rFonts w:eastAsia="Calibri"/>
              </w:rPr>
              <w:t>2020 CSR3.3</w:t>
            </w:r>
          </w:p>
          <w:p w14:paraId="7001E3E2" w14:textId="77777777" w:rsidR="00451CC2" w:rsidRPr="00A746D8" w:rsidRDefault="00451CC2" w:rsidP="00FD4DF9">
            <w:pPr>
              <w:pStyle w:val="Tabletext"/>
              <w:rPr>
                <w:rFonts w:eastAsia="Calibri"/>
              </w:rPr>
            </w:pPr>
            <w:r w:rsidRPr="00A746D8">
              <w:rPr>
                <w:rFonts w:eastAsia="Calibri"/>
              </w:rPr>
              <w:t>2020 CSR3.9</w:t>
            </w:r>
          </w:p>
          <w:p w14:paraId="13904D70" w14:textId="77777777" w:rsidR="00451CC2" w:rsidRPr="00A746D8" w:rsidRDefault="00451CC2" w:rsidP="00FD4DF9">
            <w:pPr>
              <w:pStyle w:val="Tabletext"/>
              <w:rPr>
                <w:rFonts w:eastAsia="Calibri"/>
              </w:rPr>
            </w:pPr>
            <w:r w:rsidRPr="00A746D8">
              <w:rPr>
                <w:rFonts w:eastAsia="Calibri"/>
              </w:rPr>
              <w:t>2019 CSR2.3</w:t>
            </w:r>
          </w:p>
        </w:tc>
        <w:tc>
          <w:tcPr>
            <w:tcW w:w="1763" w:type="dxa"/>
            <w:tcMar>
              <w:top w:w="40" w:type="dxa"/>
              <w:left w:w="40" w:type="dxa"/>
              <w:bottom w:w="40" w:type="dxa"/>
              <w:right w:w="40" w:type="dxa"/>
            </w:tcMar>
            <w:vAlign w:val="center"/>
          </w:tcPr>
          <w:p w14:paraId="21F790BD" w14:textId="77777777" w:rsidR="00451CC2" w:rsidRDefault="00451CC2" w:rsidP="00FD4DF9">
            <w:pPr>
              <w:pStyle w:val="Tabletext"/>
              <w:rPr>
                <w:rFonts w:eastAsia="Calibri"/>
              </w:rPr>
            </w:pPr>
            <w:r>
              <w:rPr>
                <w:rFonts w:eastAsia="Calibri"/>
              </w:rPr>
              <w:t>Social and Economic resilience</w:t>
            </w:r>
          </w:p>
        </w:tc>
        <w:tc>
          <w:tcPr>
            <w:tcW w:w="1071" w:type="dxa"/>
            <w:tcMar>
              <w:top w:w="0" w:type="dxa"/>
              <w:bottom w:w="0" w:type="dxa"/>
            </w:tcMar>
            <w:vAlign w:val="center"/>
          </w:tcPr>
          <w:p w14:paraId="31786E57" w14:textId="77777777" w:rsidR="00451CC2" w:rsidRDefault="00451CC2" w:rsidP="00FD4DF9">
            <w:pPr>
              <w:pStyle w:val="Tabletext"/>
              <w:rPr>
                <w:rFonts w:eastAsia="Calibri"/>
              </w:rPr>
            </w:pPr>
            <w:r>
              <w:rPr>
                <w:rFonts w:eastAsia="Calibri"/>
              </w:rPr>
              <w:t>On track</w:t>
            </w:r>
          </w:p>
        </w:tc>
      </w:tr>
      <w:tr w:rsidR="00451CC2" w14:paraId="6CAB3970" w14:textId="77777777" w:rsidTr="00425017">
        <w:trPr>
          <w:trHeight w:val="170"/>
          <w:jc w:val="center"/>
        </w:trPr>
        <w:tc>
          <w:tcPr>
            <w:tcW w:w="3253" w:type="dxa"/>
            <w:tcMar>
              <w:top w:w="40" w:type="dxa"/>
              <w:left w:w="40" w:type="dxa"/>
              <w:bottom w:w="40" w:type="dxa"/>
              <w:right w:w="40" w:type="dxa"/>
            </w:tcMar>
            <w:vAlign w:val="center"/>
          </w:tcPr>
          <w:p w14:paraId="1ADCA00B" w14:textId="77777777" w:rsidR="00451CC2" w:rsidRPr="00A746D8" w:rsidRDefault="00540671" w:rsidP="00FD4DF9">
            <w:pPr>
              <w:pStyle w:val="Tabletext"/>
              <w:rPr>
                <w:rFonts w:eastAsia="Calibri"/>
              </w:rPr>
            </w:pPr>
            <w:r w:rsidRPr="00540671">
              <w:rPr>
                <w:rFonts w:eastAsia="Calibri"/>
                <w:b/>
              </w:rPr>
              <w:t>INVESTMENT 1:</w:t>
            </w:r>
            <w:r w:rsidR="00451CC2" w:rsidRPr="00A746D8">
              <w:rPr>
                <w:rFonts w:eastAsia="Calibri"/>
              </w:rPr>
              <w:t xml:space="preserve"> Culture as a driver of growth</w:t>
            </w:r>
          </w:p>
        </w:tc>
        <w:tc>
          <w:tcPr>
            <w:tcW w:w="1361" w:type="dxa"/>
            <w:tcMar>
              <w:top w:w="40" w:type="dxa"/>
              <w:left w:w="40" w:type="dxa"/>
              <w:bottom w:w="40" w:type="dxa"/>
              <w:right w:w="40" w:type="dxa"/>
            </w:tcMar>
            <w:vAlign w:val="center"/>
          </w:tcPr>
          <w:p w14:paraId="1CF473C8" w14:textId="77777777" w:rsidR="00451CC2" w:rsidRDefault="00451CC2" w:rsidP="00FD4DF9">
            <w:pPr>
              <w:pStyle w:val="Tabletext"/>
              <w:rPr>
                <w:rFonts w:eastAsia="Calibri"/>
              </w:rPr>
            </w:pPr>
            <w:r>
              <w:rPr>
                <w:rFonts w:eastAsia="Calibri"/>
              </w:rPr>
              <w:t>RRF 16293</w:t>
            </w:r>
          </w:p>
        </w:tc>
        <w:tc>
          <w:tcPr>
            <w:tcW w:w="1505" w:type="dxa"/>
            <w:tcMar>
              <w:top w:w="40" w:type="dxa"/>
              <w:left w:w="40" w:type="dxa"/>
              <w:bottom w:w="40" w:type="dxa"/>
              <w:right w:w="40" w:type="dxa"/>
            </w:tcMar>
            <w:vAlign w:val="center"/>
          </w:tcPr>
          <w:p w14:paraId="690A7275" w14:textId="77777777" w:rsidR="00451CC2" w:rsidRDefault="00451CC2" w:rsidP="00FD4DF9">
            <w:pPr>
              <w:pStyle w:val="Tabletext"/>
              <w:rPr>
                <w:rFonts w:eastAsia="Calibri"/>
              </w:rPr>
            </w:pPr>
            <w:r>
              <w:rPr>
                <w:rFonts w:eastAsia="Calibri"/>
              </w:rPr>
              <w:t>2024 CSR1.7</w:t>
            </w:r>
            <w:r>
              <w:rPr>
                <w:rFonts w:eastAsia="Calibri"/>
              </w:rPr>
              <w:br/>
              <w:t>2023 CSR4.1</w:t>
            </w:r>
            <w:r>
              <w:rPr>
                <w:rFonts w:eastAsia="Calibri"/>
              </w:rPr>
              <w:br/>
              <w:t>2023 CSR4.4</w:t>
            </w:r>
            <w:r>
              <w:rPr>
                <w:rFonts w:eastAsia="Calibri"/>
              </w:rPr>
              <w:br/>
              <w:t>2022 CSR4.1</w:t>
            </w:r>
            <w:r>
              <w:rPr>
                <w:rFonts w:eastAsia="Calibri"/>
              </w:rPr>
              <w:br/>
              <w:t>2022 CSR4.5</w:t>
            </w:r>
            <w:r>
              <w:rPr>
                <w:rFonts w:eastAsia="Calibri"/>
              </w:rPr>
              <w:br/>
              <w:t>2020 CSR3.3</w:t>
            </w:r>
            <w:r>
              <w:rPr>
                <w:rFonts w:eastAsia="Calibri"/>
              </w:rPr>
              <w:br/>
              <w:t>2020 CSR3.8</w:t>
            </w:r>
            <w:r>
              <w:rPr>
                <w:rFonts w:eastAsia="Calibri"/>
              </w:rPr>
              <w:br/>
              <w:t>2019 CSR2.3</w:t>
            </w:r>
            <w:r>
              <w:rPr>
                <w:rFonts w:eastAsia="Calibri"/>
              </w:rPr>
              <w:br/>
              <w:t>2019 CSR2.6</w:t>
            </w:r>
            <w:r>
              <w:rPr>
                <w:rFonts w:eastAsia="Calibri"/>
              </w:rPr>
              <w:br/>
              <w:t>2019 CSR2.7</w:t>
            </w:r>
          </w:p>
        </w:tc>
        <w:tc>
          <w:tcPr>
            <w:tcW w:w="1763" w:type="dxa"/>
            <w:tcMar>
              <w:top w:w="40" w:type="dxa"/>
              <w:left w:w="40" w:type="dxa"/>
              <w:bottom w:w="40" w:type="dxa"/>
              <w:right w:w="40" w:type="dxa"/>
            </w:tcMar>
            <w:vAlign w:val="center"/>
          </w:tcPr>
          <w:p w14:paraId="50D5D230" w14:textId="77777777" w:rsidR="00451CC2" w:rsidRDefault="00451CC2" w:rsidP="00FD4DF9">
            <w:pPr>
              <w:pStyle w:val="Tabletext"/>
              <w:rPr>
                <w:rFonts w:eastAsia="Calibri"/>
              </w:rPr>
            </w:pPr>
            <w:r>
              <w:rPr>
                <w:rFonts w:eastAsia="Calibri"/>
              </w:rPr>
              <w:t>Social and Economic resilience</w:t>
            </w:r>
          </w:p>
        </w:tc>
        <w:tc>
          <w:tcPr>
            <w:tcW w:w="1071" w:type="dxa"/>
            <w:tcMar>
              <w:top w:w="0" w:type="dxa"/>
              <w:bottom w:w="0" w:type="dxa"/>
            </w:tcMar>
            <w:vAlign w:val="center"/>
          </w:tcPr>
          <w:p w14:paraId="35ED538E" w14:textId="77777777" w:rsidR="00451CC2" w:rsidRDefault="00451CC2" w:rsidP="00FD4DF9">
            <w:pPr>
              <w:pStyle w:val="Tabletext"/>
              <w:rPr>
                <w:rFonts w:eastAsia="Calibri"/>
              </w:rPr>
            </w:pPr>
            <w:r>
              <w:rPr>
                <w:rFonts w:eastAsia="Calibri"/>
              </w:rPr>
              <w:t>On track</w:t>
            </w:r>
          </w:p>
        </w:tc>
      </w:tr>
      <w:tr w:rsidR="00451CC2" w14:paraId="04D65987" w14:textId="77777777" w:rsidTr="00425017">
        <w:trPr>
          <w:trHeight w:val="170"/>
          <w:jc w:val="center"/>
        </w:trPr>
        <w:tc>
          <w:tcPr>
            <w:tcW w:w="3253" w:type="dxa"/>
            <w:tcMar>
              <w:top w:w="40" w:type="dxa"/>
              <w:left w:w="40" w:type="dxa"/>
              <w:bottom w:w="40" w:type="dxa"/>
              <w:right w:w="40" w:type="dxa"/>
            </w:tcMar>
            <w:vAlign w:val="center"/>
          </w:tcPr>
          <w:p w14:paraId="7FC76922" w14:textId="77777777" w:rsidR="00451CC2" w:rsidRPr="00A746D8" w:rsidRDefault="00540671" w:rsidP="00FD4DF9">
            <w:pPr>
              <w:pStyle w:val="Tabletext"/>
              <w:rPr>
                <w:rFonts w:eastAsia="Calibri"/>
              </w:rPr>
            </w:pPr>
            <w:r w:rsidRPr="00540671">
              <w:rPr>
                <w:rFonts w:eastAsia="Calibri"/>
                <w:b/>
              </w:rPr>
              <w:t>INVESTMENT 2:</w:t>
            </w:r>
            <w:r w:rsidR="00451CC2" w:rsidRPr="00A746D8">
              <w:rPr>
                <w:rFonts w:eastAsia="Calibri"/>
              </w:rPr>
              <w:t xml:space="preserve"> Protection of Cultural Monuments and Archaeological Sites from Climate Change</w:t>
            </w:r>
          </w:p>
        </w:tc>
        <w:tc>
          <w:tcPr>
            <w:tcW w:w="1361" w:type="dxa"/>
            <w:tcMar>
              <w:top w:w="0" w:type="dxa"/>
              <w:bottom w:w="0" w:type="dxa"/>
            </w:tcMar>
            <w:vAlign w:val="center"/>
          </w:tcPr>
          <w:p w14:paraId="2019297A" w14:textId="77777777" w:rsidR="00451CC2" w:rsidRDefault="00451CC2" w:rsidP="00FD4DF9">
            <w:pPr>
              <w:pStyle w:val="Tabletext"/>
              <w:rPr>
                <w:rFonts w:eastAsia="Calibri"/>
              </w:rPr>
            </w:pPr>
            <w:r>
              <w:rPr>
                <w:rFonts w:eastAsia="Calibri"/>
              </w:rPr>
              <w:t>RRF 16433</w:t>
            </w:r>
          </w:p>
        </w:tc>
        <w:tc>
          <w:tcPr>
            <w:tcW w:w="1505" w:type="dxa"/>
            <w:tcMar>
              <w:top w:w="0" w:type="dxa"/>
              <w:bottom w:w="0" w:type="dxa"/>
            </w:tcMar>
            <w:vAlign w:val="center"/>
          </w:tcPr>
          <w:p w14:paraId="0058E4FF" w14:textId="77777777" w:rsidR="00451CC2" w:rsidRPr="00A746D8" w:rsidRDefault="00451CC2" w:rsidP="00FD4DF9">
            <w:pPr>
              <w:pStyle w:val="Tabletext"/>
              <w:rPr>
                <w:rFonts w:eastAsia="Calibri"/>
              </w:rPr>
            </w:pPr>
            <w:r w:rsidRPr="00A746D8">
              <w:rPr>
                <w:rFonts w:eastAsia="Calibri"/>
              </w:rPr>
              <w:t>2025 CSR4.6</w:t>
            </w:r>
          </w:p>
          <w:p w14:paraId="6D55BC89" w14:textId="77777777" w:rsidR="00451CC2" w:rsidRPr="00A746D8" w:rsidRDefault="00451CC2" w:rsidP="00FD4DF9">
            <w:pPr>
              <w:pStyle w:val="Tabletext"/>
              <w:rPr>
                <w:rFonts w:eastAsia="Calibri"/>
              </w:rPr>
            </w:pPr>
            <w:r w:rsidRPr="00A746D8">
              <w:rPr>
                <w:rFonts w:eastAsia="Calibri"/>
              </w:rPr>
              <w:t>2024 CSR1.7</w:t>
            </w:r>
            <w:r w:rsidRPr="00A746D8">
              <w:rPr>
                <w:rFonts w:eastAsia="Calibri"/>
              </w:rPr>
              <w:br/>
              <w:t>2024 CSR4.2</w:t>
            </w:r>
          </w:p>
          <w:p w14:paraId="0D2ED2EE" w14:textId="77777777" w:rsidR="00451CC2" w:rsidRPr="00A746D8" w:rsidRDefault="00451CC2" w:rsidP="00FD4DF9">
            <w:pPr>
              <w:pStyle w:val="Tabletext"/>
              <w:rPr>
                <w:rFonts w:eastAsia="Calibri"/>
              </w:rPr>
            </w:pPr>
            <w:r w:rsidRPr="00A746D8">
              <w:rPr>
                <w:rFonts w:eastAsia="Calibri"/>
              </w:rPr>
              <w:t>2020 CSR3.6</w:t>
            </w:r>
            <w:r w:rsidRPr="00A746D8">
              <w:rPr>
                <w:rFonts w:eastAsia="Calibri"/>
              </w:rPr>
              <w:br/>
              <w:t>2020 CSR3.9</w:t>
            </w:r>
            <w:r w:rsidRPr="00A746D8">
              <w:rPr>
                <w:rFonts w:eastAsia="Calibri"/>
              </w:rPr>
              <w:br/>
              <w:t>2019 CSR2.2</w:t>
            </w:r>
          </w:p>
        </w:tc>
        <w:tc>
          <w:tcPr>
            <w:tcW w:w="1763" w:type="dxa"/>
            <w:tcMar>
              <w:top w:w="0" w:type="dxa"/>
              <w:bottom w:w="0" w:type="dxa"/>
            </w:tcMar>
            <w:vAlign w:val="center"/>
          </w:tcPr>
          <w:p w14:paraId="585E9966" w14:textId="77777777" w:rsidR="00451CC2" w:rsidRDefault="00451CC2" w:rsidP="00FD4DF9">
            <w:pPr>
              <w:pStyle w:val="Tabletext"/>
              <w:rPr>
                <w:rFonts w:eastAsia="Calibri"/>
              </w:rPr>
            </w:pPr>
            <w:r>
              <w:rPr>
                <w:rFonts w:eastAsia="Calibri"/>
              </w:rPr>
              <w:t>Social and Economic resilience</w:t>
            </w:r>
          </w:p>
        </w:tc>
        <w:tc>
          <w:tcPr>
            <w:tcW w:w="1071" w:type="dxa"/>
            <w:tcMar>
              <w:top w:w="0" w:type="dxa"/>
              <w:bottom w:w="0" w:type="dxa"/>
            </w:tcMar>
            <w:vAlign w:val="center"/>
          </w:tcPr>
          <w:p w14:paraId="402FCCF3" w14:textId="77777777" w:rsidR="00451CC2" w:rsidRDefault="00451CC2" w:rsidP="00FD4DF9">
            <w:pPr>
              <w:pStyle w:val="Tabletext"/>
              <w:rPr>
                <w:rFonts w:eastAsia="Calibri"/>
              </w:rPr>
            </w:pPr>
            <w:r>
              <w:rPr>
                <w:rFonts w:eastAsia="Calibri"/>
              </w:rPr>
              <w:t>On track</w:t>
            </w:r>
          </w:p>
        </w:tc>
      </w:tr>
      <w:tr w:rsidR="00451CC2" w14:paraId="76D1A05F" w14:textId="77777777" w:rsidTr="00425017">
        <w:trPr>
          <w:trHeight w:val="170"/>
          <w:jc w:val="center"/>
        </w:trPr>
        <w:tc>
          <w:tcPr>
            <w:tcW w:w="3253" w:type="dxa"/>
            <w:tcMar>
              <w:top w:w="40" w:type="dxa"/>
              <w:left w:w="40" w:type="dxa"/>
              <w:bottom w:w="40" w:type="dxa"/>
              <w:right w:w="40" w:type="dxa"/>
            </w:tcMar>
            <w:vAlign w:val="center"/>
          </w:tcPr>
          <w:p w14:paraId="2E353BF4" w14:textId="77777777" w:rsidR="00451CC2" w:rsidRPr="00A746D8" w:rsidRDefault="00540671" w:rsidP="00FD4DF9">
            <w:pPr>
              <w:pStyle w:val="Tabletext"/>
              <w:rPr>
                <w:rFonts w:eastAsia="Calibri"/>
              </w:rPr>
            </w:pPr>
            <w:r w:rsidRPr="00540671">
              <w:rPr>
                <w:rFonts w:eastAsia="Calibri"/>
                <w:b/>
              </w:rPr>
              <w:t>INVESTMENT 3:</w:t>
            </w:r>
            <w:r w:rsidR="00451CC2" w:rsidRPr="00A746D8">
              <w:rPr>
                <w:rFonts w:eastAsia="Calibri"/>
              </w:rPr>
              <w:t xml:space="preserve"> Cultural Routes at Emblematic Archaeological Sites and Monuments</w:t>
            </w:r>
          </w:p>
        </w:tc>
        <w:tc>
          <w:tcPr>
            <w:tcW w:w="1361" w:type="dxa"/>
            <w:tcMar>
              <w:top w:w="0" w:type="dxa"/>
              <w:bottom w:w="0" w:type="dxa"/>
            </w:tcMar>
            <w:vAlign w:val="center"/>
          </w:tcPr>
          <w:p w14:paraId="4B49C40D" w14:textId="77777777" w:rsidR="00451CC2" w:rsidRDefault="00451CC2" w:rsidP="00FD4DF9">
            <w:pPr>
              <w:pStyle w:val="Tabletext"/>
              <w:rPr>
                <w:rFonts w:eastAsia="Calibri"/>
              </w:rPr>
            </w:pPr>
            <w:r>
              <w:rPr>
                <w:rFonts w:eastAsia="Calibri"/>
              </w:rPr>
              <w:t>RRF 16485</w:t>
            </w:r>
          </w:p>
        </w:tc>
        <w:tc>
          <w:tcPr>
            <w:tcW w:w="1505" w:type="dxa"/>
            <w:tcMar>
              <w:top w:w="0" w:type="dxa"/>
              <w:bottom w:w="0" w:type="dxa"/>
            </w:tcMar>
            <w:vAlign w:val="center"/>
          </w:tcPr>
          <w:p w14:paraId="67F2FA57" w14:textId="77777777" w:rsidR="00451CC2" w:rsidRDefault="00451CC2" w:rsidP="00FD4DF9">
            <w:pPr>
              <w:pStyle w:val="Tabletext"/>
              <w:rPr>
                <w:rFonts w:eastAsia="Calibri"/>
              </w:rPr>
            </w:pPr>
            <w:r>
              <w:rPr>
                <w:rFonts w:eastAsia="Calibri"/>
              </w:rPr>
              <w:t>2024 CSR1.7</w:t>
            </w:r>
          </w:p>
          <w:p w14:paraId="6F7AD0B7" w14:textId="77777777" w:rsidR="00451CC2" w:rsidRDefault="00451CC2" w:rsidP="00FD4DF9">
            <w:pPr>
              <w:pStyle w:val="Tabletext"/>
              <w:rPr>
                <w:rFonts w:eastAsia="Calibri"/>
              </w:rPr>
            </w:pPr>
            <w:r>
              <w:rPr>
                <w:rFonts w:eastAsia="Calibri"/>
              </w:rPr>
              <w:t>2020 CSR3.9</w:t>
            </w:r>
            <w:r>
              <w:rPr>
                <w:rFonts w:eastAsia="Calibri"/>
              </w:rPr>
              <w:br/>
              <w:t>2019 CSR2.3</w:t>
            </w:r>
          </w:p>
        </w:tc>
        <w:tc>
          <w:tcPr>
            <w:tcW w:w="1763" w:type="dxa"/>
            <w:tcMar>
              <w:top w:w="0" w:type="dxa"/>
              <w:bottom w:w="0" w:type="dxa"/>
            </w:tcMar>
            <w:vAlign w:val="center"/>
          </w:tcPr>
          <w:p w14:paraId="55A5F903" w14:textId="77777777" w:rsidR="00451CC2" w:rsidRDefault="00451CC2" w:rsidP="00FD4DF9">
            <w:pPr>
              <w:pStyle w:val="Tabletext"/>
              <w:rPr>
                <w:rFonts w:eastAsia="Calibri"/>
              </w:rPr>
            </w:pPr>
            <w:r>
              <w:rPr>
                <w:rFonts w:eastAsia="Calibri"/>
              </w:rPr>
              <w:t>Social and Economic resilience</w:t>
            </w:r>
          </w:p>
        </w:tc>
        <w:tc>
          <w:tcPr>
            <w:tcW w:w="1071" w:type="dxa"/>
            <w:tcMar>
              <w:top w:w="0" w:type="dxa"/>
              <w:bottom w:w="0" w:type="dxa"/>
            </w:tcMar>
            <w:vAlign w:val="center"/>
          </w:tcPr>
          <w:p w14:paraId="5B4EBDBB" w14:textId="77777777" w:rsidR="00451CC2" w:rsidRDefault="00451CC2" w:rsidP="00FD4DF9">
            <w:pPr>
              <w:pStyle w:val="Tabletext"/>
              <w:rPr>
                <w:rFonts w:eastAsia="Calibri"/>
              </w:rPr>
            </w:pPr>
            <w:r>
              <w:rPr>
                <w:rFonts w:eastAsia="Calibri"/>
              </w:rPr>
              <w:t>On track</w:t>
            </w:r>
          </w:p>
        </w:tc>
      </w:tr>
      <w:tr w:rsidR="00451CC2" w14:paraId="55746B79" w14:textId="77777777" w:rsidTr="00425017">
        <w:trPr>
          <w:trHeight w:val="170"/>
          <w:jc w:val="center"/>
        </w:trPr>
        <w:tc>
          <w:tcPr>
            <w:tcW w:w="3253" w:type="dxa"/>
            <w:tcMar>
              <w:top w:w="40" w:type="dxa"/>
              <w:left w:w="40" w:type="dxa"/>
              <w:bottom w:w="40" w:type="dxa"/>
              <w:right w:w="40" w:type="dxa"/>
            </w:tcMar>
            <w:vAlign w:val="center"/>
          </w:tcPr>
          <w:p w14:paraId="63025CDD" w14:textId="77777777" w:rsidR="00451CC2" w:rsidRPr="00A746D8" w:rsidRDefault="00540671" w:rsidP="00FD4DF9">
            <w:pPr>
              <w:pStyle w:val="Tabletext"/>
              <w:rPr>
                <w:rFonts w:eastAsia="Calibri"/>
              </w:rPr>
            </w:pPr>
            <w:r w:rsidRPr="00540671">
              <w:rPr>
                <w:rFonts w:eastAsia="Calibri"/>
                <w:b/>
              </w:rPr>
              <w:t>INVESTMENT 4:</w:t>
            </w:r>
            <w:r w:rsidR="00451CC2" w:rsidRPr="00A746D8">
              <w:rPr>
                <w:rFonts w:eastAsia="Calibri"/>
              </w:rPr>
              <w:t xml:space="preserve"> </w:t>
            </w:r>
            <w:proofErr w:type="spellStart"/>
            <w:r w:rsidR="00451CC2" w:rsidRPr="00A746D8">
              <w:rPr>
                <w:rFonts w:eastAsia="Calibri"/>
              </w:rPr>
              <w:t>Utilising</w:t>
            </w:r>
            <w:proofErr w:type="spellEnd"/>
            <w:r w:rsidR="00451CC2" w:rsidRPr="00A746D8">
              <w:rPr>
                <w:rFonts w:eastAsia="Calibri"/>
              </w:rPr>
              <w:t xml:space="preserve"> “arts on prescription”, promoting social cohesion, and tapping on the silver economy</w:t>
            </w:r>
          </w:p>
        </w:tc>
        <w:tc>
          <w:tcPr>
            <w:tcW w:w="1361" w:type="dxa"/>
            <w:tcMar>
              <w:top w:w="0" w:type="dxa"/>
              <w:bottom w:w="0" w:type="dxa"/>
            </w:tcMar>
            <w:vAlign w:val="center"/>
          </w:tcPr>
          <w:p w14:paraId="6CB169F7" w14:textId="77777777" w:rsidR="00451CC2" w:rsidRDefault="00451CC2" w:rsidP="00FD4DF9">
            <w:pPr>
              <w:pStyle w:val="Tabletext"/>
              <w:rPr>
                <w:rFonts w:eastAsia="Calibri"/>
              </w:rPr>
            </w:pPr>
            <w:r>
              <w:rPr>
                <w:rFonts w:eastAsia="Calibri"/>
              </w:rPr>
              <w:t>RRF 16735</w:t>
            </w:r>
          </w:p>
        </w:tc>
        <w:tc>
          <w:tcPr>
            <w:tcW w:w="1505" w:type="dxa"/>
            <w:tcMar>
              <w:top w:w="0" w:type="dxa"/>
              <w:bottom w:w="0" w:type="dxa"/>
            </w:tcMar>
            <w:vAlign w:val="center"/>
          </w:tcPr>
          <w:p w14:paraId="6D3B2735" w14:textId="77777777" w:rsidR="00451CC2" w:rsidRPr="00A746D8" w:rsidRDefault="00451CC2" w:rsidP="00FD4DF9">
            <w:pPr>
              <w:pStyle w:val="Tabletext"/>
              <w:rPr>
                <w:rFonts w:eastAsia="Calibri"/>
              </w:rPr>
            </w:pPr>
            <w:r w:rsidRPr="00A746D8">
              <w:rPr>
                <w:rFonts w:eastAsia="Calibri"/>
              </w:rPr>
              <w:t>2024 CSR1.7</w:t>
            </w:r>
            <w:r w:rsidRPr="00A746D8">
              <w:rPr>
                <w:rFonts w:eastAsia="Calibri"/>
              </w:rPr>
              <w:br/>
              <w:t>2020 CSR3.3</w:t>
            </w:r>
            <w:r w:rsidRPr="00A746D8">
              <w:rPr>
                <w:rFonts w:eastAsia="Calibri"/>
              </w:rPr>
              <w:br/>
              <w:t>2020 CSR3.9</w:t>
            </w:r>
            <w:r w:rsidRPr="00A746D8">
              <w:rPr>
                <w:rFonts w:eastAsia="Calibri"/>
              </w:rPr>
              <w:br/>
              <w:t>2019 CSR2.6</w:t>
            </w:r>
            <w:r w:rsidRPr="00A746D8">
              <w:rPr>
                <w:rFonts w:eastAsia="Calibri"/>
              </w:rPr>
              <w:br/>
              <w:t>2019 CSR2.7</w:t>
            </w:r>
          </w:p>
        </w:tc>
        <w:tc>
          <w:tcPr>
            <w:tcW w:w="1763" w:type="dxa"/>
            <w:tcMar>
              <w:top w:w="0" w:type="dxa"/>
              <w:bottom w:w="0" w:type="dxa"/>
            </w:tcMar>
            <w:vAlign w:val="center"/>
          </w:tcPr>
          <w:p w14:paraId="115C0D79" w14:textId="77777777" w:rsidR="00451CC2" w:rsidRDefault="00451CC2" w:rsidP="00FD4DF9">
            <w:pPr>
              <w:pStyle w:val="Tabletext"/>
              <w:rPr>
                <w:rFonts w:eastAsia="Calibri"/>
              </w:rPr>
            </w:pPr>
            <w:r>
              <w:rPr>
                <w:rFonts w:eastAsia="Calibri"/>
              </w:rPr>
              <w:t>Social and Economic resilience</w:t>
            </w:r>
          </w:p>
        </w:tc>
        <w:tc>
          <w:tcPr>
            <w:tcW w:w="1071" w:type="dxa"/>
            <w:tcMar>
              <w:top w:w="0" w:type="dxa"/>
              <w:bottom w:w="0" w:type="dxa"/>
            </w:tcMar>
            <w:vAlign w:val="center"/>
          </w:tcPr>
          <w:p w14:paraId="137DA01E" w14:textId="77777777" w:rsidR="00451CC2" w:rsidRDefault="00451CC2" w:rsidP="00FD4DF9">
            <w:pPr>
              <w:pStyle w:val="Tabletext"/>
              <w:rPr>
                <w:rFonts w:eastAsia="Calibri"/>
              </w:rPr>
            </w:pPr>
            <w:r>
              <w:rPr>
                <w:rFonts w:eastAsia="Calibri"/>
              </w:rPr>
              <w:t>On track</w:t>
            </w:r>
          </w:p>
        </w:tc>
      </w:tr>
      <w:tr w:rsidR="00451CC2" w14:paraId="516AF141" w14:textId="77777777" w:rsidTr="00425017">
        <w:trPr>
          <w:trHeight w:val="170"/>
          <w:jc w:val="center"/>
        </w:trPr>
        <w:tc>
          <w:tcPr>
            <w:tcW w:w="3253" w:type="dxa"/>
            <w:tcMar>
              <w:top w:w="40" w:type="dxa"/>
              <w:left w:w="40" w:type="dxa"/>
              <w:bottom w:w="40" w:type="dxa"/>
              <w:right w:w="40" w:type="dxa"/>
            </w:tcMar>
            <w:vAlign w:val="center"/>
          </w:tcPr>
          <w:p w14:paraId="6E4BF338" w14:textId="77777777" w:rsidR="00451CC2" w:rsidRPr="00A746D8" w:rsidRDefault="00540671" w:rsidP="00FD4DF9">
            <w:pPr>
              <w:pStyle w:val="Tabletext"/>
              <w:rPr>
                <w:rFonts w:eastAsia="Calibri"/>
              </w:rPr>
            </w:pPr>
            <w:r w:rsidRPr="00540671">
              <w:rPr>
                <w:rFonts w:eastAsia="Calibri"/>
                <w:b/>
              </w:rPr>
              <w:lastRenderedPageBreak/>
              <w:t>INVESTMENT 5:</w:t>
            </w:r>
            <w:r w:rsidR="00451CC2" w:rsidRPr="00A746D8">
              <w:rPr>
                <w:rFonts w:eastAsia="Calibri"/>
              </w:rPr>
              <w:t xml:space="preserve"> Upgrading higher arts education</w:t>
            </w:r>
          </w:p>
        </w:tc>
        <w:tc>
          <w:tcPr>
            <w:tcW w:w="1361" w:type="dxa"/>
            <w:tcMar>
              <w:top w:w="0" w:type="dxa"/>
              <w:bottom w:w="0" w:type="dxa"/>
            </w:tcMar>
            <w:vAlign w:val="center"/>
          </w:tcPr>
          <w:p w14:paraId="72BEAB9E" w14:textId="77777777" w:rsidR="00451CC2" w:rsidRDefault="00451CC2" w:rsidP="00FD4DF9">
            <w:pPr>
              <w:pStyle w:val="Tabletext"/>
              <w:rPr>
                <w:rFonts w:eastAsia="Calibri"/>
              </w:rPr>
            </w:pPr>
            <w:r>
              <w:rPr>
                <w:rFonts w:eastAsia="Calibri"/>
              </w:rPr>
              <w:t>RRF 16725</w:t>
            </w:r>
          </w:p>
        </w:tc>
        <w:tc>
          <w:tcPr>
            <w:tcW w:w="1505" w:type="dxa"/>
            <w:tcMar>
              <w:top w:w="0" w:type="dxa"/>
              <w:bottom w:w="0" w:type="dxa"/>
            </w:tcMar>
            <w:vAlign w:val="center"/>
          </w:tcPr>
          <w:p w14:paraId="17CACB68" w14:textId="77777777" w:rsidR="00451CC2" w:rsidRPr="00A746D8" w:rsidRDefault="00451CC2" w:rsidP="00FD4DF9">
            <w:pPr>
              <w:pStyle w:val="Tabletext"/>
              <w:rPr>
                <w:rFonts w:eastAsia="Calibri"/>
              </w:rPr>
            </w:pPr>
            <w:r w:rsidRPr="00A746D8">
              <w:rPr>
                <w:rFonts w:eastAsia="Calibri"/>
              </w:rPr>
              <w:t>2020 CSR3.3</w:t>
            </w:r>
            <w:r w:rsidRPr="00A746D8">
              <w:rPr>
                <w:rFonts w:eastAsia="Calibri"/>
              </w:rPr>
              <w:br/>
              <w:t>2020 CSR3.8</w:t>
            </w:r>
            <w:r w:rsidRPr="00A746D8">
              <w:rPr>
                <w:rFonts w:eastAsia="Calibri"/>
              </w:rPr>
              <w:br/>
              <w:t>2020 CSR3.9</w:t>
            </w:r>
            <w:r w:rsidRPr="00A746D8">
              <w:rPr>
                <w:rFonts w:eastAsia="Calibri"/>
              </w:rPr>
              <w:br/>
              <w:t>2019 CSR2.5</w:t>
            </w:r>
            <w:r w:rsidRPr="00A746D8">
              <w:rPr>
                <w:rFonts w:eastAsia="Calibri"/>
              </w:rPr>
              <w:br/>
              <w:t>2019 CSR2.6</w:t>
            </w:r>
          </w:p>
        </w:tc>
        <w:tc>
          <w:tcPr>
            <w:tcW w:w="1763" w:type="dxa"/>
            <w:tcMar>
              <w:top w:w="0" w:type="dxa"/>
              <w:bottom w:w="0" w:type="dxa"/>
            </w:tcMar>
            <w:vAlign w:val="center"/>
          </w:tcPr>
          <w:p w14:paraId="59EA03C3" w14:textId="77777777" w:rsidR="00451CC2" w:rsidRDefault="00451CC2" w:rsidP="00FD4DF9">
            <w:pPr>
              <w:pStyle w:val="Tabletext"/>
              <w:rPr>
                <w:rFonts w:eastAsia="Calibri"/>
              </w:rPr>
            </w:pPr>
            <w:r>
              <w:rPr>
                <w:rFonts w:eastAsia="Calibri"/>
              </w:rPr>
              <w:t>Social and Economic resilience</w:t>
            </w:r>
          </w:p>
        </w:tc>
        <w:tc>
          <w:tcPr>
            <w:tcW w:w="1071" w:type="dxa"/>
            <w:tcMar>
              <w:top w:w="0" w:type="dxa"/>
              <w:bottom w:w="0" w:type="dxa"/>
            </w:tcMar>
            <w:vAlign w:val="center"/>
          </w:tcPr>
          <w:p w14:paraId="019F2569" w14:textId="77777777" w:rsidR="00451CC2" w:rsidRDefault="00451CC2" w:rsidP="00FD4DF9">
            <w:pPr>
              <w:pStyle w:val="Tabletext"/>
              <w:rPr>
                <w:rFonts w:eastAsia="Calibri"/>
              </w:rPr>
            </w:pPr>
            <w:r>
              <w:rPr>
                <w:rFonts w:eastAsia="Calibri"/>
              </w:rPr>
              <w:t>On track</w:t>
            </w:r>
          </w:p>
        </w:tc>
      </w:tr>
      <w:tr w:rsidR="00451CC2" w14:paraId="272157FF" w14:textId="77777777" w:rsidTr="00425017">
        <w:trPr>
          <w:trHeight w:val="170"/>
          <w:jc w:val="center"/>
        </w:trPr>
        <w:tc>
          <w:tcPr>
            <w:tcW w:w="3253" w:type="dxa"/>
            <w:tcMar>
              <w:top w:w="40" w:type="dxa"/>
              <w:left w:w="40" w:type="dxa"/>
              <w:bottom w:w="40" w:type="dxa"/>
              <w:right w:w="40" w:type="dxa"/>
            </w:tcMar>
            <w:vAlign w:val="center"/>
          </w:tcPr>
          <w:p w14:paraId="0EB628BA" w14:textId="77777777" w:rsidR="00451CC2" w:rsidRPr="00A746D8" w:rsidRDefault="00540671" w:rsidP="00FD4DF9">
            <w:pPr>
              <w:pStyle w:val="Tabletext"/>
              <w:rPr>
                <w:rFonts w:eastAsia="Calibri"/>
              </w:rPr>
            </w:pPr>
            <w:r w:rsidRPr="00540671">
              <w:rPr>
                <w:rFonts w:eastAsia="Calibri"/>
                <w:b/>
              </w:rPr>
              <w:t>INVESTMENT 6:</w:t>
            </w:r>
            <w:r w:rsidR="00451CC2" w:rsidRPr="00A746D8">
              <w:rPr>
                <w:rFonts w:eastAsia="Calibri"/>
              </w:rPr>
              <w:t xml:space="preserve"> Infrastructure development and buildings’ restoration in the former royal estate in </w:t>
            </w:r>
            <w:proofErr w:type="spellStart"/>
            <w:r w:rsidR="00451CC2" w:rsidRPr="00A746D8">
              <w:rPr>
                <w:rFonts w:eastAsia="Calibri"/>
              </w:rPr>
              <w:t>Tatoi</w:t>
            </w:r>
            <w:proofErr w:type="spellEnd"/>
          </w:p>
        </w:tc>
        <w:tc>
          <w:tcPr>
            <w:tcW w:w="1361" w:type="dxa"/>
            <w:tcMar>
              <w:top w:w="0" w:type="dxa"/>
              <w:bottom w:w="0" w:type="dxa"/>
            </w:tcMar>
            <w:vAlign w:val="center"/>
          </w:tcPr>
          <w:p w14:paraId="7D452BE7" w14:textId="77777777" w:rsidR="00451CC2" w:rsidRDefault="00451CC2" w:rsidP="00FD4DF9">
            <w:pPr>
              <w:pStyle w:val="Tabletext"/>
              <w:rPr>
                <w:rFonts w:eastAsia="Calibri"/>
              </w:rPr>
            </w:pPr>
            <w:r>
              <w:rPr>
                <w:rFonts w:eastAsia="Calibri"/>
              </w:rPr>
              <w:t>RRF 16875</w:t>
            </w:r>
          </w:p>
        </w:tc>
        <w:tc>
          <w:tcPr>
            <w:tcW w:w="1505" w:type="dxa"/>
            <w:tcMar>
              <w:top w:w="0" w:type="dxa"/>
              <w:bottom w:w="0" w:type="dxa"/>
            </w:tcMar>
            <w:vAlign w:val="center"/>
          </w:tcPr>
          <w:p w14:paraId="61B22FEE" w14:textId="77777777" w:rsidR="00451CC2" w:rsidRPr="00A746D8" w:rsidRDefault="00451CC2" w:rsidP="00FD4DF9">
            <w:pPr>
              <w:pStyle w:val="Tabletext"/>
              <w:rPr>
                <w:rFonts w:eastAsia="Calibri"/>
              </w:rPr>
            </w:pPr>
            <w:r w:rsidRPr="00A746D8">
              <w:rPr>
                <w:rFonts w:eastAsia="Calibri"/>
              </w:rPr>
              <w:t>2024 CSR1.7</w:t>
            </w:r>
          </w:p>
          <w:p w14:paraId="0BE5B6C6" w14:textId="77777777" w:rsidR="00451CC2" w:rsidRPr="00A746D8" w:rsidRDefault="00451CC2" w:rsidP="00FD4DF9">
            <w:pPr>
              <w:pStyle w:val="Tabletext"/>
              <w:rPr>
                <w:rFonts w:eastAsia="Calibri"/>
              </w:rPr>
            </w:pPr>
            <w:r w:rsidRPr="00A746D8">
              <w:rPr>
                <w:rFonts w:eastAsia="Calibri"/>
              </w:rPr>
              <w:t>2023 CSR4.1</w:t>
            </w:r>
            <w:r w:rsidRPr="00A746D8">
              <w:rPr>
                <w:rFonts w:eastAsia="Calibri"/>
              </w:rPr>
              <w:br/>
              <w:t>2023 CSR4.4</w:t>
            </w:r>
            <w:r w:rsidRPr="00A746D8">
              <w:rPr>
                <w:rFonts w:eastAsia="Calibri"/>
              </w:rPr>
              <w:br/>
              <w:t>2022 CSR4.1</w:t>
            </w:r>
            <w:r w:rsidRPr="00A746D8">
              <w:rPr>
                <w:rFonts w:eastAsia="Calibri"/>
              </w:rPr>
              <w:br/>
              <w:t>2022 CSR4.5</w:t>
            </w:r>
            <w:r w:rsidRPr="00A746D8">
              <w:rPr>
                <w:rFonts w:eastAsia="Calibri"/>
              </w:rPr>
              <w:br/>
              <w:t>2020 CSR3.3</w:t>
            </w:r>
          </w:p>
          <w:p w14:paraId="06A18055" w14:textId="77777777" w:rsidR="00451CC2" w:rsidRDefault="00451CC2" w:rsidP="00FD4DF9">
            <w:pPr>
              <w:pStyle w:val="Tabletext"/>
              <w:rPr>
                <w:rFonts w:eastAsia="Calibri"/>
              </w:rPr>
            </w:pPr>
            <w:r>
              <w:rPr>
                <w:rFonts w:eastAsia="Calibri"/>
              </w:rPr>
              <w:t>2020 CSR3.5</w:t>
            </w:r>
          </w:p>
          <w:p w14:paraId="7CC4EB68" w14:textId="77777777" w:rsidR="00451CC2" w:rsidRDefault="00451CC2" w:rsidP="00FD4DF9">
            <w:pPr>
              <w:pStyle w:val="Tabletext"/>
              <w:rPr>
                <w:rFonts w:eastAsia="Calibri"/>
              </w:rPr>
            </w:pPr>
            <w:r>
              <w:rPr>
                <w:rFonts w:eastAsia="Calibri"/>
              </w:rPr>
              <w:t>2019 CSR2.2</w:t>
            </w:r>
            <w:r>
              <w:rPr>
                <w:rFonts w:eastAsia="Calibri"/>
              </w:rPr>
              <w:br/>
              <w:t>2019 CSR2.9</w:t>
            </w:r>
          </w:p>
        </w:tc>
        <w:tc>
          <w:tcPr>
            <w:tcW w:w="1763" w:type="dxa"/>
            <w:tcMar>
              <w:top w:w="0" w:type="dxa"/>
              <w:bottom w:w="0" w:type="dxa"/>
            </w:tcMar>
            <w:vAlign w:val="center"/>
          </w:tcPr>
          <w:p w14:paraId="2987ED45" w14:textId="77777777" w:rsidR="00451CC2" w:rsidRDefault="00451CC2" w:rsidP="00FD4DF9">
            <w:pPr>
              <w:pStyle w:val="Tabletext"/>
              <w:rPr>
                <w:rFonts w:eastAsia="Calibri"/>
              </w:rPr>
            </w:pPr>
            <w:r>
              <w:rPr>
                <w:rFonts w:eastAsia="Calibri"/>
              </w:rPr>
              <w:t>Social and Economic resilience</w:t>
            </w:r>
          </w:p>
        </w:tc>
        <w:tc>
          <w:tcPr>
            <w:tcW w:w="1071" w:type="dxa"/>
            <w:tcMar>
              <w:top w:w="0" w:type="dxa"/>
              <w:bottom w:w="0" w:type="dxa"/>
            </w:tcMar>
            <w:vAlign w:val="center"/>
          </w:tcPr>
          <w:p w14:paraId="5EA6268A" w14:textId="77777777" w:rsidR="00451CC2" w:rsidRDefault="00451CC2" w:rsidP="00FD4DF9">
            <w:pPr>
              <w:pStyle w:val="Tabletext"/>
              <w:rPr>
                <w:rFonts w:eastAsia="Calibri"/>
              </w:rPr>
            </w:pPr>
            <w:r>
              <w:rPr>
                <w:rFonts w:eastAsia="Calibri"/>
              </w:rPr>
              <w:t>On track</w:t>
            </w:r>
          </w:p>
        </w:tc>
      </w:tr>
      <w:tr w:rsidR="00451CC2" w14:paraId="257C01BC" w14:textId="77777777" w:rsidTr="00425017">
        <w:trPr>
          <w:trHeight w:val="170"/>
          <w:jc w:val="center"/>
        </w:trPr>
        <w:tc>
          <w:tcPr>
            <w:tcW w:w="3253" w:type="dxa"/>
            <w:tcMar>
              <w:top w:w="40" w:type="dxa"/>
              <w:left w:w="40" w:type="dxa"/>
              <w:bottom w:w="40" w:type="dxa"/>
              <w:right w:w="40" w:type="dxa"/>
            </w:tcMar>
            <w:vAlign w:val="center"/>
          </w:tcPr>
          <w:p w14:paraId="45399FA3" w14:textId="77777777" w:rsidR="00451CC2" w:rsidRPr="00A746D8" w:rsidRDefault="00540671" w:rsidP="00FD4DF9">
            <w:pPr>
              <w:pStyle w:val="Tabletext"/>
              <w:rPr>
                <w:rFonts w:eastAsia="Calibri"/>
              </w:rPr>
            </w:pPr>
            <w:r w:rsidRPr="00540671">
              <w:rPr>
                <w:rFonts w:eastAsia="Calibri"/>
                <w:b/>
              </w:rPr>
              <w:t>INVESTMENT 7:</w:t>
            </w:r>
            <w:r w:rsidR="00451CC2" w:rsidRPr="00A746D8">
              <w:rPr>
                <w:rFonts w:eastAsia="Calibri"/>
              </w:rPr>
              <w:t xml:space="preserve"> The Restoration-Conservation-Enhancement of the Acropolis Monuments</w:t>
            </w:r>
          </w:p>
        </w:tc>
        <w:tc>
          <w:tcPr>
            <w:tcW w:w="1361" w:type="dxa"/>
            <w:tcMar>
              <w:top w:w="0" w:type="dxa"/>
              <w:bottom w:w="0" w:type="dxa"/>
            </w:tcMar>
            <w:vAlign w:val="center"/>
          </w:tcPr>
          <w:p w14:paraId="4EAE0D6D" w14:textId="77777777" w:rsidR="00451CC2" w:rsidRDefault="00451CC2" w:rsidP="00FD4DF9">
            <w:pPr>
              <w:pStyle w:val="Tabletext"/>
              <w:rPr>
                <w:rFonts w:eastAsia="Calibri"/>
              </w:rPr>
            </w:pPr>
            <w:r>
              <w:rPr>
                <w:rFonts w:eastAsia="Calibri"/>
              </w:rPr>
              <w:t>RRF 16435</w:t>
            </w:r>
          </w:p>
        </w:tc>
        <w:tc>
          <w:tcPr>
            <w:tcW w:w="1505" w:type="dxa"/>
            <w:tcMar>
              <w:top w:w="0" w:type="dxa"/>
              <w:bottom w:w="0" w:type="dxa"/>
            </w:tcMar>
            <w:vAlign w:val="center"/>
          </w:tcPr>
          <w:p w14:paraId="0645E6F1" w14:textId="77777777" w:rsidR="00451CC2" w:rsidRDefault="00451CC2" w:rsidP="00FD4DF9">
            <w:pPr>
              <w:pStyle w:val="Tabletext"/>
              <w:rPr>
                <w:rFonts w:eastAsia="Calibri"/>
              </w:rPr>
            </w:pPr>
            <w:r>
              <w:rPr>
                <w:rFonts w:eastAsia="Calibri"/>
              </w:rPr>
              <w:t>2024 CSR1.7</w:t>
            </w:r>
            <w:r>
              <w:rPr>
                <w:rFonts w:eastAsia="Calibri"/>
              </w:rPr>
              <w:br/>
              <w:t>2020 CSR3.9</w:t>
            </w:r>
          </w:p>
        </w:tc>
        <w:tc>
          <w:tcPr>
            <w:tcW w:w="1763" w:type="dxa"/>
            <w:tcMar>
              <w:top w:w="0" w:type="dxa"/>
              <w:bottom w:w="0" w:type="dxa"/>
            </w:tcMar>
            <w:vAlign w:val="center"/>
          </w:tcPr>
          <w:p w14:paraId="42B964F2" w14:textId="77777777" w:rsidR="00451CC2" w:rsidRDefault="00451CC2" w:rsidP="00FD4DF9">
            <w:pPr>
              <w:pStyle w:val="Tabletext"/>
              <w:rPr>
                <w:rFonts w:eastAsia="Calibri"/>
              </w:rPr>
            </w:pPr>
            <w:r>
              <w:rPr>
                <w:rFonts w:eastAsia="Calibri"/>
              </w:rPr>
              <w:t>Social and Economic resilience</w:t>
            </w:r>
          </w:p>
        </w:tc>
        <w:tc>
          <w:tcPr>
            <w:tcW w:w="1071" w:type="dxa"/>
            <w:tcMar>
              <w:top w:w="0" w:type="dxa"/>
              <w:bottom w:w="0" w:type="dxa"/>
            </w:tcMar>
            <w:vAlign w:val="center"/>
          </w:tcPr>
          <w:p w14:paraId="5D6276FF" w14:textId="77777777" w:rsidR="00451CC2" w:rsidRDefault="00451CC2" w:rsidP="00FD4DF9">
            <w:pPr>
              <w:pStyle w:val="Tabletext"/>
              <w:rPr>
                <w:rFonts w:eastAsia="Calibri"/>
              </w:rPr>
            </w:pPr>
            <w:r>
              <w:rPr>
                <w:rFonts w:eastAsia="Calibri"/>
              </w:rPr>
              <w:t>On track</w:t>
            </w:r>
          </w:p>
        </w:tc>
      </w:tr>
      <w:tr w:rsidR="00451CC2" w14:paraId="33E759DB" w14:textId="77777777" w:rsidTr="00425017">
        <w:trPr>
          <w:trHeight w:val="170"/>
          <w:jc w:val="center"/>
        </w:trPr>
        <w:tc>
          <w:tcPr>
            <w:tcW w:w="3253" w:type="dxa"/>
            <w:tcMar>
              <w:top w:w="40" w:type="dxa"/>
              <w:left w:w="40" w:type="dxa"/>
              <w:bottom w:w="40" w:type="dxa"/>
              <w:right w:w="40" w:type="dxa"/>
            </w:tcMar>
            <w:vAlign w:val="center"/>
          </w:tcPr>
          <w:p w14:paraId="215B4EC2" w14:textId="77777777" w:rsidR="00451CC2" w:rsidRPr="00A746D8" w:rsidRDefault="00540671" w:rsidP="00FD4DF9">
            <w:pPr>
              <w:pStyle w:val="Tabletext"/>
              <w:rPr>
                <w:rFonts w:eastAsia="Calibri"/>
              </w:rPr>
            </w:pPr>
            <w:r w:rsidRPr="00540671">
              <w:rPr>
                <w:rFonts w:eastAsia="Calibri"/>
                <w:b/>
              </w:rPr>
              <w:t>INVESTMENT 8:</w:t>
            </w:r>
            <w:r w:rsidR="00451CC2" w:rsidRPr="00A746D8">
              <w:rPr>
                <w:rFonts w:eastAsia="Calibri"/>
              </w:rPr>
              <w:t xml:space="preserve"> Museum of underwater antiquities</w:t>
            </w:r>
          </w:p>
        </w:tc>
        <w:tc>
          <w:tcPr>
            <w:tcW w:w="1361" w:type="dxa"/>
            <w:tcMar>
              <w:top w:w="0" w:type="dxa"/>
              <w:bottom w:w="0" w:type="dxa"/>
            </w:tcMar>
            <w:vAlign w:val="center"/>
          </w:tcPr>
          <w:p w14:paraId="46E92A90" w14:textId="77777777" w:rsidR="00451CC2" w:rsidRDefault="00451CC2" w:rsidP="00FD4DF9">
            <w:pPr>
              <w:pStyle w:val="Tabletext"/>
              <w:rPr>
                <w:rFonts w:eastAsia="Calibri"/>
              </w:rPr>
            </w:pPr>
            <w:r>
              <w:rPr>
                <w:rFonts w:eastAsia="Calibri"/>
              </w:rPr>
              <w:t>RRF 16486</w:t>
            </w:r>
          </w:p>
        </w:tc>
        <w:tc>
          <w:tcPr>
            <w:tcW w:w="1505" w:type="dxa"/>
            <w:tcMar>
              <w:top w:w="0" w:type="dxa"/>
              <w:bottom w:w="0" w:type="dxa"/>
            </w:tcMar>
            <w:vAlign w:val="center"/>
          </w:tcPr>
          <w:p w14:paraId="7A12B817" w14:textId="77777777" w:rsidR="00451CC2" w:rsidRPr="00A746D8" w:rsidRDefault="00451CC2" w:rsidP="00FD4DF9">
            <w:pPr>
              <w:pStyle w:val="Tabletext"/>
              <w:rPr>
                <w:rFonts w:eastAsia="Calibri"/>
              </w:rPr>
            </w:pPr>
            <w:r w:rsidRPr="00A746D8">
              <w:rPr>
                <w:rFonts w:eastAsia="Calibri"/>
              </w:rPr>
              <w:t>2024 CSR1.7</w:t>
            </w:r>
            <w:r w:rsidRPr="00A746D8">
              <w:rPr>
                <w:rFonts w:eastAsia="Calibri"/>
              </w:rPr>
              <w:br/>
              <w:t>2023 CSR4.4</w:t>
            </w:r>
            <w:r w:rsidRPr="00A746D8">
              <w:rPr>
                <w:rFonts w:eastAsia="Calibri"/>
              </w:rPr>
              <w:br/>
              <w:t>2022 CSR4.5</w:t>
            </w:r>
            <w:r w:rsidRPr="00A746D8">
              <w:rPr>
                <w:rFonts w:eastAsia="Calibri"/>
              </w:rPr>
              <w:br/>
              <w:t>2019 CSR2.2</w:t>
            </w:r>
            <w:r w:rsidRPr="00A746D8">
              <w:rPr>
                <w:rFonts w:eastAsia="Calibri"/>
              </w:rPr>
              <w:br/>
              <w:t>2019 CSR2.9</w:t>
            </w:r>
          </w:p>
        </w:tc>
        <w:tc>
          <w:tcPr>
            <w:tcW w:w="1763" w:type="dxa"/>
            <w:tcMar>
              <w:top w:w="0" w:type="dxa"/>
              <w:bottom w:w="0" w:type="dxa"/>
            </w:tcMar>
            <w:vAlign w:val="center"/>
          </w:tcPr>
          <w:p w14:paraId="3B2D4C22" w14:textId="77777777" w:rsidR="00451CC2" w:rsidRDefault="00451CC2" w:rsidP="00FD4DF9">
            <w:pPr>
              <w:pStyle w:val="Tabletext"/>
              <w:rPr>
                <w:rFonts w:eastAsia="Calibri"/>
              </w:rPr>
            </w:pPr>
            <w:r>
              <w:rPr>
                <w:rFonts w:eastAsia="Calibri"/>
              </w:rPr>
              <w:t>Social and Economic resilience</w:t>
            </w:r>
          </w:p>
        </w:tc>
        <w:tc>
          <w:tcPr>
            <w:tcW w:w="1071" w:type="dxa"/>
            <w:tcMar>
              <w:top w:w="0" w:type="dxa"/>
              <w:bottom w:w="0" w:type="dxa"/>
            </w:tcMar>
            <w:vAlign w:val="center"/>
          </w:tcPr>
          <w:p w14:paraId="53CE7EE8" w14:textId="77777777" w:rsidR="00451CC2" w:rsidRDefault="00451CC2" w:rsidP="00FD4DF9">
            <w:pPr>
              <w:pStyle w:val="Tabletext"/>
              <w:rPr>
                <w:rFonts w:eastAsia="Calibri"/>
              </w:rPr>
            </w:pPr>
            <w:r>
              <w:rPr>
                <w:rFonts w:eastAsia="Calibri"/>
              </w:rPr>
              <w:t>On track</w:t>
            </w:r>
          </w:p>
        </w:tc>
      </w:tr>
      <w:tr w:rsidR="00451CC2" w14:paraId="18C52A1D" w14:textId="77777777" w:rsidTr="00425017">
        <w:trPr>
          <w:trHeight w:val="170"/>
          <w:jc w:val="center"/>
        </w:trPr>
        <w:tc>
          <w:tcPr>
            <w:tcW w:w="3253" w:type="dxa"/>
            <w:tcMar>
              <w:top w:w="40" w:type="dxa"/>
              <w:left w:w="40" w:type="dxa"/>
              <w:bottom w:w="40" w:type="dxa"/>
              <w:right w:w="40" w:type="dxa"/>
            </w:tcMar>
            <w:vAlign w:val="center"/>
          </w:tcPr>
          <w:p w14:paraId="4D6EFCA7" w14:textId="77777777" w:rsidR="00451CC2" w:rsidRPr="00A746D8" w:rsidRDefault="00540671" w:rsidP="00FD4DF9">
            <w:pPr>
              <w:pStyle w:val="Tabletext"/>
              <w:rPr>
                <w:rFonts w:eastAsia="Calibri"/>
              </w:rPr>
            </w:pPr>
            <w:r w:rsidRPr="00540671">
              <w:rPr>
                <w:rFonts w:eastAsia="Calibri"/>
                <w:b/>
              </w:rPr>
              <w:t>INVESTMENT 9:</w:t>
            </w:r>
            <w:r w:rsidR="00451CC2" w:rsidRPr="00A746D8">
              <w:rPr>
                <w:rFonts w:eastAsia="Calibri"/>
              </w:rPr>
              <w:t xml:space="preserve"> Upgrade of infrastructure, renewal of equipment and upgrade of quality of services provided by the HOCRED Stores - former ARF Stores (On-spot and electronic).</w:t>
            </w:r>
          </w:p>
        </w:tc>
        <w:tc>
          <w:tcPr>
            <w:tcW w:w="1361" w:type="dxa"/>
            <w:tcMar>
              <w:top w:w="0" w:type="dxa"/>
              <w:bottom w:w="0" w:type="dxa"/>
            </w:tcMar>
            <w:vAlign w:val="center"/>
          </w:tcPr>
          <w:p w14:paraId="35DF6132" w14:textId="77777777" w:rsidR="00451CC2" w:rsidRDefault="00451CC2" w:rsidP="00FD4DF9">
            <w:pPr>
              <w:pStyle w:val="Tabletext"/>
              <w:rPr>
                <w:rFonts w:eastAsia="Calibri"/>
              </w:rPr>
            </w:pPr>
            <w:r>
              <w:rPr>
                <w:rFonts w:eastAsia="Calibri"/>
              </w:rPr>
              <w:t>RRF 16536</w:t>
            </w:r>
          </w:p>
        </w:tc>
        <w:tc>
          <w:tcPr>
            <w:tcW w:w="1505" w:type="dxa"/>
            <w:tcMar>
              <w:top w:w="0" w:type="dxa"/>
              <w:bottom w:w="0" w:type="dxa"/>
            </w:tcMar>
            <w:vAlign w:val="center"/>
          </w:tcPr>
          <w:p w14:paraId="55A07C6D" w14:textId="77777777" w:rsidR="00451CC2" w:rsidRPr="00A746D8" w:rsidRDefault="00451CC2" w:rsidP="00FD4DF9">
            <w:pPr>
              <w:pStyle w:val="Tabletext"/>
              <w:rPr>
                <w:rFonts w:eastAsia="Calibri"/>
              </w:rPr>
            </w:pPr>
            <w:r w:rsidRPr="00A746D8">
              <w:rPr>
                <w:rFonts w:eastAsia="Calibri"/>
              </w:rPr>
              <w:t>2024 CSR1.7</w:t>
            </w:r>
            <w:r w:rsidRPr="00A746D8">
              <w:rPr>
                <w:rFonts w:eastAsia="Calibri"/>
              </w:rPr>
              <w:br/>
              <w:t>2023 CSR4.1</w:t>
            </w:r>
            <w:r w:rsidRPr="00A746D8">
              <w:rPr>
                <w:rFonts w:eastAsia="Calibri"/>
              </w:rPr>
              <w:br/>
              <w:t>2023 CSR4.4</w:t>
            </w:r>
            <w:r w:rsidRPr="00A746D8">
              <w:rPr>
                <w:rFonts w:eastAsia="Calibri"/>
              </w:rPr>
              <w:br/>
              <w:t>2022 CSR4.1</w:t>
            </w:r>
            <w:r w:rsidRPr="00A746D8">
              <w:rPr>
                <w:rFonts w:eastAsia="Calibri"/>
              </w:rPr>
              <w:br/>
              <w:t>2022 CSR4.5</w:t>
            </w:r>
            <w:r w:rsidRPr="00A746D8">
              <w:rPr>
                <w:rFonts w:eastAsia="Calibri"/>
              </w:rPr>
              <w:br/>
              <w:t>2020 CSR3.9</w:t>
            </w:r>
            <w:r w:rsidRPr="00A746D8">
              <w:rPr>
                <w:rFonts w:eastAsia="Calibri"/>
              </w:rPr>
              <w:br/>
              <w:t>2019 CSR2.2</w:t>
            </w:r>
            <w:r w:rsidRPr="00A746D8">
              <w:rPr>
                <w:rFonts w:eastAsia="Calibri"/>
              </w:rPr>
              <w:br/>
              <w:t>2019 CSR2.3</w:t>
            </w:r>
          </w:p>
        </w:tc>
        <w:tc>
          <w:tcPr>
            <w:tcW w:w="1763" w:type="dxa"/>
            <w:tcMar>
              <w:top w:w="0" w:type="dxa"/>
              <w:bottom w:w="0" w:type="dxa"/>
            </w:tcMar>
            <w:vAlign w:val="center"/>
          </w:tcPr>
          <w:p w14:paraId="08D24375" w14:textId="77777777" w:rsidR="00451CC2" w:rsidRDefault="00451CC2" w:rsidP="00FD4DF9">
            <w:pPr>
              <w:pStyle w:val="Tabletext"/>
              <w:rPr>
                <w:rFonts w:eastAsia="Calibri"/>
              </w:rPr>
            </w:pPr>
            <w:r>
              <w:rPr>
                <w:rFonts w:eastAsia="Calibri"/>
              </w:rPr>
              <w:t>Fair green &amp; digital transition</w:t>
            </w:r>
          </w:p>
        </w:tc>
        <w:tc>
          <w:tcPr>
            <w:tcW w:w="1071" w:type="dxa"/>
            <w:tcMar>
              <w:top w:w="0" w:type="dxa"/>
              <w:bottom w:w="0" w:type="dxa"/>
            </w:tcMar>
            <w:vAlign w:val="center"/>
          </w:tcPr>
          <w:p w14:paraId="05729B86" w14:textId="77777777" w:rsidR="00451CC2" w:rsidRDefault="00451CC2" w:rsidP="00FD4DF9">
            <w:pPr>
              <w:pStyle w:val="Tabletext"/>
              <w:rPr>
                <w:rFonts w:eastAsia="Calibri"/>
              </w:rPr>
            </w:pPr>
            <w:r>
              <w:rPr>
                <w:rFonts w:eastAsia="Calibri"/>
              </w:rPr>
              <w:t>On track</w:t>
            </w:r>
          </w:p>
        </w:tc>
      </w:tr>
      <w:tr w:rsidR="00451CC2" w14:paraId="452CB24E" w14:textId="77777777" w:rsidTr="00425017">
        <w:trPr>
          <w:trHeight w:val="170"/>
          <w:jc w:val="center"/>
        </w:trPr>
        <w:tc>
          <w:tcPr>
            <w:tcW w:w="3253" w:type="dxa"/>
            <w:tcMar>
              <w:top w:w="40" w:type="dxa"/>
              <w:left w:w="40" w:type="dxa"/>
              <w:bottom w:w="40" w:type="dxa"/>
              <w:right w:w="40" w:type="dxa"/>
            </w:tcMar>
            <w:vAlign w:val="center"/>
          </w:tcPr>
          <w:p w14:paraId="5EED6A7B" w14:textId="77777777" w:rsidR="00451CC2" w:rsidRPr="00A746D8" w:rsidRDefault="00540671" w:rsidP="00FD4DF9">
            <w:pPr>
              <w:pStyle w:val="Tabletext"/>
              <w:rPr>
                <w:rFonts w:eastAsia="Calibri"/>
              </w:rPr>
            </w:pPr>
            <w:r w:rsidRPr="00540671">
              <w:rPr>
                <w:rFonts w:eastAsia="Calibri"/>
                <w:b/>
              </w:rPr>
              <w:t>INVESTMENT 10:</w:t>
            </w:r>
            <w:r w:rsidR="00451CC2" w:rsidRPr="00A746D8">
              <w:rPr>
                <w:rFonts w:eastAsia="Calibri"/>
              </w:rPr>
              <w:t xml:space="preserve"> Smart infrastructure with environmental and cultural focus</w:t>
            </w:r>
          </w:p>
        </w:tc>
        <w:tc>
          <w:tcPr>
            <w:tcW w:w="1361" w:type="dxa"/>
            <w:tcMar>
              <w:top w:w="0" w:type="dxa"/>
              <w:bottom w:w="0" w:type="dxa"/>
            </w:tcMar>
            <w:vAlign w:val="center"/>
          </w:tcPr>
          <w:p w14:paraId="551AE99E" w14:textId="77777777" w:rsidR="00451CC2" w:rsidRDefault="00451CC2" w:rsidP="00FD4DF9">
            <w:pPr>
              <w:pStyle w:val="Tabletext"/>
              <w:rPr>
                <w:rFonts w:eastAsia="Calibri"/>
              </w:rPr>
            </w:pPr>
            <w:r>
              <w:rPr>
                <w:rFonts w:eastAsia="Calibri"/>
              </w:rPr>
              <w:t>RRF 16960</w:t>
            </w:r>
          </w:p>
        </w:tc>
        <w:tc>
          <w:tcPr>
            <w:tcW w:w="1505" w:type="dxa"/>
            <w:tcMar>
              <w:top w:w="0" w:type="dxa"/>
              <w:bottom w:w="0" w:type="dxa"/>
            </w:tcMar>
            <w:vAlign w:val="center"/>
          </w:tcPr>
          <w:p w14:paraId="048132AF" w14:textId="77777777" w:rsidR="00451CC2" w:rsidRDefault="00451CC2" w:rsidP="00FD4DF9">
            <w:pPr>
              <w:pStyle w:val="Tabletext"/>
              <w:rPr>
                <w:rFonts w:eastAsia="Calibri"/>
              </w:rPr>
            </w:pPr>
            <w:r>
              <w:rPr>
                <w:rFonts w:eastAsia="Calibri"/>
              </w:rPr>
              <w:t>2020 CSR3.9</w:t>
            </w:r>
            <w:r>
              <w:rPr>
                <w:rFonts w:eastAsia="Calibri"/>
              </w:rPr>
              <w:br/>
              <w:t>2019 CSR2.3</w:t>
            </w:r>
          </w:p>
        </w:tc>
        <w:tc>
          <w:tcPr>
            <w:tcW w:w="1763" w:type="dxa"/>
            <w:tcMar>
              <w:top w:w="0" w:type="dxa"/>
              <w:bottom w:w="0" w:type="dxa"/>
            </w:tcMar>
            <w:vAlign w:val="center"/>
          </w:tcPr>
          <w:p w14:paraId="6B8226B5" w14:textId="77777777" w:rsidR="00451CC2" w:rsidRDefault="00451CC2" w:rsidP="00FD4DF9">
            <w:pPr>
              <w:pStyle w:val="Tabletext"/>
              <w:rPr>
                <w:rFonts w:eastAsia="Calibri"/>
              </w:rPr>
            </w:pPr>
            <w:r>
              <w:rPr>
                <w:rFonts w:eastAsia="Calibri"/>
              </w:rPr>
              <w:t>Fair green &amp; digital transition</w:t>
            </w:r>
          </w:p>
        </w:tc>
        <w:tc>
          <w:tcPr>
            <w:tcW w:w="1071" w:type="dxa"/>
            <w:tcMar>
              <w:top w:w="0" w:type="dxa"/>
              <w:bottom w:w="0" w:type="dxa"/>
            </w:tcMar>
            <w:vAlign w:val="center"/>
          </w:tcPr>
          <w:p w14:paraId="7B13E45D" w14:textId="77777777" w:rsidR="00451CC2" w:rsidRDefault="00451CC2" w:rsidP="00FD4DF9">
            <w:pPr>
              <w:pStyle w:val="Tabletext"/>
              <w:rPr>
                <w:rFonts w:eastAsia="Calibri"/>
              </w:rPr>
            </w:pPr>
            <w:r>
              <w:rPr>
                <w:rFonts w:eastAsia="Calibri"/>
              </w:rPr>
              <w:t>On track</w:t>
            </w:r>
          </w:p>
        </w:tc>
      </w:tr>
    </w:tbl>
    <w:p w14:paraId="5EC1312D" w14:textId="77777777" w:rsidR="00451CC2" w:rsidRPr="00C548E2" w:rsidRDefault="00451CC2" w:rsidP="00425017">
      <w:pPr>
        <w:spacing w:before="240"/>
        <w:rPr>
          <w:rFonts w:eastAsia="Calibri"/>
          <w:lang w:val="en-US"/>
        </w:rPr>
      </w:pPr>
      <w:r w:rsidRPr="00C548E2">
        <w:rPr>
          <w:rFonts w:eastAsia="Calibri"/>
          <w:lang w:val="en-US"/>
        </w:rPr>
        <w:t xml:space="preserve">The reform </w:t>
      </w:r>
      <w:r w:rsidRPr="00C548E2">
        <w:rPr>
          <w:rFonts w:eastAsia="Calibri"/>
          <w:b/>
          <w:lang w:val="en-US"/>
        </w:rPr>
        <w:t>“Registry of Cultural Organizations”</w:t>
      </w:r>
      <w:r w:rsidRPr="00C548E2">
        <w:rPr>
          <w:rFonts w:eastAsia="Calibri"/>
          <w:lang w:val="en-US"/>
        </w:rPr>
        <w:t xml:space="preserve"> focuses on the digitization of processes and documents to streamline and enhance the efficiency, transparency, and accessibility of the Ministry of Culture’s grant management. The relevant information system, which is accessible via the website of the Cultural Organizations Portal (portal.culture.gov.gr), is utilized by non-profit cultural organizations across Greece in order to submit grant proposals in response to annual calls for applications. Through the Registry, the Ministry’s grant application process has been almost entirely digitized. This includes registration in the Registry by submitting supporting documents via e-mail, electronic submission of grant proposals and accompanying documentation, and the automated issuance of grant-related documents such as the special report, expenditure statement, and others. The Registry of Cultural Organizations is continually being improved and upgraded through the ongoing enhancement of electronic registration and application forms. The goal is to fully digitize the Ministry of Culture’s grant process, standardize and automate the issuance of relevant documents, and improve the quality of the services provided. The implementation of the reform is ongoing and constitutes a continuous process. </w:t>
      </w:r>
    </w:p>
    <w:p w14:paraId="34887932" w14:textId="77777777" w:rsidR="00451CC2" w:rsidRPr="00C548E2" w:rsidRDefault="00451CC2" w:rsidP="00F675AB">
      <w:pPr>
        <w:rPr>
          <w:rFonts w:eastAsia="Calibri"/>
          <w:lang w:val="en-US"/>
        </w:rPr>
      </w:pPr>
      <w:r w:rsidRPr="00C548E2">
        <w:rPr>
          <w:rFonts w:eastAsia="Calibri"/>
          <w:lang w:val="en-US"/>
        </w:rPr>
        <w:t xml:space="preserve">The reform </w:t>
      </w:r>
      <w:r w:rsidRPr="00C548E2">
        <w:rPr>
          <w:rFonts w:eastAsia="Calibri"/>
          <w:b/>
          <w:lang w:val="en-US"/>
        </w:rPr>
        <w:t>“Hellenic Museum Accreditation Programme”</w:t>
      </w:r>
      <w:r w:rsidRPr="00C548E2">
        <w:rPr>
          <w:rFonts w:eastAsia="Calibri"/>
          <w:lang w:val="en-US"/>
        </w:rPr>
        <w:t xml:space="preserve"> is an on-going reform, aiming to transform the country's museum landscape in response to the challenges of the modern era, </w:t>
      </w:r>
      <w:r w:rsidRPr="00C548E2">
        <w:rPr>
          <w:rFonts w:eastAsia="Calibri"/>
          <w:lang w:val="en-US"/>
        </w:rPr>
        <w:lastRenderedPageBreak/>
        <w:t>namely, sustainable development, digital transformation, inclusion and social relevance. The Accreditation Programme provides tools that enable participating museums to conform to the standards set in the Law. Since 2021, the Accreditation Programme tools were co-funded by NSRF 2014-2020 and 2021</w:t>
      </w:r>
      <w:r w:rsidR="00D37228">
        <w:rPr>
          <w:rFonts w:eastAsia="Calibri"/>
          <w:lang w:val="en-US"/>
        </w:rPr>
        <w:t>-</w:t>
      </w:r>
      <w:r w:rsidRPr="00C548E2">
        <w:rPr>
          <w:rFonts w:eastAsia="Calibri"/>
          <w:lang w:val="en-US"/>
        </w:rPr>
        <w:t>2027 (Public Sector Reform 2014-2020 and Digital Transformation 2021-2027), with a total budget of 1.310.979,02€. The Programme tools include the development of a dedicated Integrated Information System (IIS) and a Knowledge Base, both of which were completed in December 2025 (https://accreditation.culture.gov.gr/). The universal and full implementation of this public policy to all museums in Greece is expected to (</w:t>
      </w:r>
      <w:proofErr w:type="spellStart"/>
      <w:r w:rsidRPr="00C548E2">
        <w:rPr>
          <w:rFonts w:eastAsia="Calibri"/>
          <w:lang w:val="en-US"/>
        </w:rPr>
        <w:t>i</w:t>
      </w:r>
      <w:proofErr w:type="spellEnd"/>
      <w:r w:rsidRPr="00C548E2">
        <w:rPr>
          <w:rFonts w:eastAsia="Calibri"/>
          <w:lang w:val="en-US"/>
        </w:rPr>
        <w:t xml:space="preserve">) enhance visitor satisfaction by providing high-quality, responsive, and accessible services in both public and private museums, (ii)  facilitate public and private entities using efficient e-government methods, (iii) standardize all procedures, (iv) reaffirm the executive role of public administration by enhancing its efficiency and effectiveness in cultural heritage management. More than 40 non-governmental Museums have initiated their Accreditation process. By October 2025, twelve (12) Museums that belong to various non-governmental institutions, as well as six (6) Museums that belong to the Ministry of Culture, had already been Accredited. Six (6) more Museums that belong to the Ministry of Culture have initiated the process. For example, in 2025 the Archaeological Museum of Argos </w:t>
      </w:r>
      <w:proofErr w:type="spellStart"/>
      <w:r w:rsidRPr="00C548E2">
        <w:rPr>
          <w:rFonts w:eastAsia="Calibri"/>
          <w:lang w:val="en-US"/>
        </w:rPr>
        <w:t>Orestiko</w:t>
      </w:r>
      <w:proofErr w:type="spellEnd"/>
      <w:r w:rsidRPr="00C548E2">
        <w:rPr>
          <w:rFonts w:eastAsia="Calibri"/>
          <w:lang w:val="en-US"/>
        </w:rPr>
        <w:t xml:space="preserve"> and the Byzantine Museum of </w:t>
      </w:r>
      <w:proofErr w:type="spellStart"/>
      <w:r w:rsidRPr="00C548E2">
        <w:rPr>
          <w:rFonts w:eastAsia="Calibri"/>
          <w:lang w:val="en-US"/>
        </w:rPr>
        <w:t>Kastoria</w:t>
      </w:r>
      <w:proofErr w:type="spellEnd"/>
      <w:r w:rsidRPr="00C548E2">
        <w:rPr>
          <w:rFonts w:eastAsia="Calibri"/>
          <w:lang w:val="en-US"/>
        </w:rPr>
        <w:t xml:space="preserve"> have both been accredited, having successfully met the requirements of this process. Moreover, the Archaeological Museums of </w:t>
      </w:r>
      <w:proofErr w:type="spellStart"/>
      <w:r w:rsidRPr="00C548E2">
        <w:rPr>
          <w:rFonts w:eastAsia="Calibri"/>
          <w:lang w:val="en-US"/>
        </w:rPr>
        <w:t>Alexandroupolis</w:t>
      </w:r>
      <w:proofErr w:type="spellEnd"/>
      <w:r w:rsidRPr="00C548E2">
        <w:rPr>
          <w:rFonts w:eastAsia="Calibri"/>
          <w:lang w:val="en-US"/>
        </w:rPr>
        <w:t xml:space="preserve"> and </w:t>
      </w:r>
      <w:proofErr w:type="spellStart"/>
      <w:r w:rsidRPr="00C548E2">
        <w:rPr>
          <w:rFonts w:eastAsia="Calibri"/>
          <w:lang w:val="en-US"/>
        </w:rPr>
        <w:t>Avdira</w:t>
      </w:r>
      <w:proofErr w:type="spellEnd"/>
      <w:r w:rsidRPr="00C548E2">
        <w:rPr>
          <w:rFonts w:eastAsia="Calibri"/>
          <w:lang w:val="en-US"/>
        </w:rPr>
        <w:t>, both situated in the Region of Eastern Macedonia-Thrace, have successfully met the requirements in April 2026.</w:t>
      </w:r>
    </w:p>
    <w:p w14:paraId="729E3194" w14:textId="77777777" w:rsidR="00451CC2" w:rsidRPr="00C548E2" w:rsidRDefault="00451CC2" w:rsidP="00F675AB">
      <w:pPr>
        <w:rPr>
          <w:rFonts w:eastAsia="Calibri"/>
          <w:lang w:val="en-US"/>
        </w:rPr>
      </w:pPr>
      <w:r w:rsidRPr="00C548E2">
        <w:rPr>
          <w:rFonts w:eastAsia="Calibri"/>
          <w:lang w:val="en-US"/>
        </w:rPr>
        <w:t xml:space="preserve">Τhe reform </w:t>
      </w:r>
      <w:r w:rsidRPr="00C548E2">
        <w:rPr>
          <w:rFonts w:eastAsia="Calibri"/>
          <w:b/>
          <w:lang w:val="en-US"/>
        </w:rPr>
        <w:t>“Information System and Online Platform for licensing procedures simplification for the use and reuse of the cultural heritage assets and fees management”</w:t>
      </w:r>
      <w:r w:rsidRPr="00C548E2">
        <w:rPr>
          <w:rFonts w:eastAsia="Calibri"/>
          <w:lang w:val="en-US"/>
        </w:rPr>
        <w:t xml:space="preserve">, concerns the development of an Integrated Information System and Web Platform for the Organization for the Management and Development of Cultural Resources (ODAP), with the objective of achieving the complete digitization, standardization, and simplification of the procedures for licensing, use, and reuse of cultural assets, as well as the management of related fees. The platform will operate on the Government Cloud (G-Cloud) and will integrate technologies such as Artificial Intelligence (AI), Machine Learning (ML), Robotic Process Automation (RPA), Natural Language Processing (NLP), and Geographical Information Systems (GIS). Through a user-friendly and interactive interface, citizens and businesses will be able to submit requests electronically, track their progress, and complete payments online, supported by a digital assistant that provides real-time guidance and information. The system will serve as a modern administrative tool, enhancing efficiency and decision-making speed, while reducing administrative costs and bureaucratic workload. For citizens and businesses, it will ensure faster, secure, and predictable service delivery, without the need for physical presence. The digitization and standardization of procedures are expected to enhance the utilization of the country’s cultural assets, facilitate investment, and promote cooperation between the public and private sectors, contributing to sustainable cultural development. The standardization of procedures and the reduction of administrative burden will create a more attractive environment for investments and partnerships between the public and private sectors, particularly in the field of audiovisual productions. The project is co-funded by NSRF “Digital Transformation 2021–2027”, with a total budget of €1,800,000. It was announced on 03.11.2025, with an implementation period of 20 months. Contract award is expected by the </w:t>
      </w:r>
      <w:r w:rsidRPr="00C548E2">
        <w:rPr>
          <w:rFonts w:eastAsia="Calibri"/>
          <w:lang w:val="en-US"/>
        </w:rPr>
        <w:lastRenderedPageBreak/>
        <w:t>end of April 2026. The implementation of the reform is expected to be completed by the end of 2027.</w:t>
      </w:r>
    </w:p>
    <w:p w14:paraId="39E0E05E" w14:textId="77777777" w:rsidR="00451CC2" w:rsidRPr="00C548E2" w:rsidRDefault="00451CC2" w:rsidP="00F675AB">
      <w:pPr>
        <w:rPr>
          <w:rFonts w:eastAsia="Calibri"/>
          <w:lang w:val="en-US"/>
        </w:rPr>
      </w:pPr>
      <w:r w:rsidRPr="00C548E2">
        <w:rPr>
          <w:rFonts w:eastAsia="Calibri"/>
          <w:lang w:val="en-US"/>
        </w:rPr>
        <w:t xml:space="preserve">The </w:t>
      </w:r>
      <w:r w:rsidRPr="00C548E2">
        <w:rPr>
          <w:rFonts w:eastAsia="Calibri"/>
          <w:b/>
          <w:lang w:val="en-US"/>
        </w:rPr>
        <w:t>RRF investment “Culture as a driver of growth”</w:t>
      </w:r>
      <w:r w:rsidRPr="00C548E2">
        <w:rPr>
          <w:rFonts w:eastAsia="Calibri"/>
          <w:lang w:val="en-US"/>
        </w:rPr>
        <w:t xml:space="preserve"> aims to promote the contribution of culture to smart and sustainable growth, and economic, social and territorial cohesion. There are several sub - projects under the RRF investment which, among others, provide support to Cultural and Creative Industries (CCIs) regional strategies, broaden the use of archaeological sites and monuments as venues and events sites, provide support to the digital transformation of CCIs and the development of digital models of cultural production and distribution, promote the film industry, and promote the Greek cultural brand and trade. All projects associated with this investment are currently in progress, with several already completed. Overall, a total of 587 sub-projects are under implementation, of which 568 have been contracted (e.g. Rehabilitation and reopening of the national theater of Rhodes, Improvement of infrastructure in the archaeological site of Delos and of the archaeological theater of Melos, Restoration of </w:t>
      </w:r>
      <w:proofErr w:type="spellStart"/>
      <w:r w:rsidRPr="00C548E2">
        <w:rPr>
          <w:rFonts w:eastAsia="Calibri"/>
          <w:lang w:val="en-US"/>
        </w:rPr>
        <w:t>Vayazit</w:t>
      </w:r>
      <w:proofErr w:type="spellEnd"/>
      <w:r w:rsidRPr="00C548E2">
        <w:rPr>
          <w:rFonts w:eastAsia="Calibri"/>
          <w:lang w:val="en-US"/>
        </w:rPr>
        <w:t xml:space="preserve"> Mosque, Restoration of the western sector of the prehistoric settlement of </w:t>
      </w:r>
      <w:proofErr w:type="spellStart"/>
      <w:r w:rsidRPr="00C548E2">
        <w:rPr>
          <w:rFonts w:eastAsia="Calibri"/>
          <w:lang w:val="en-US"/>
        </w:rPr>
        <w:t>Poliochni</w:t>
      </w:r>
      <w:proofErr w:type="spellEnd"/>
      <w:r w:rsidRPr="00C548E2">
        <w:rPr>
          <w:rFonts w:eastAsia="Calibri"/>
          <w:lang w:val="en-US"/>
        </w:rPr>
        <w:t xml:space="preserve"> Lemnos, Mobile infrastructures for cultural events in Odeon of </w:t>
      </w:r>
      <w:proofErr w:type="spellStart"/>
      <w:r w:rsidRPr="00C548E2">
        <w:rPr>
          <w:rFonts w:eastAsia="Calibri"/>
          <w:lang w:val="en-US"/>
        </w:rPr>
        <w:t>Herodes</w:t>
      </w:r>
      <w:proofErr w:type="spellEnd"/>
      <w:r w:rsidRPr="00C548E2">
        <w:rPr>
          <w:rFonts w:eastAsia="Calibri"/>
          <w:lang w:val="en-US"/>
        </w:rPr>
        <w:t xml:space="preserve"> Atticus, </w:t>
      </w:r>
      <w:proofErr w:type="spellStart"/>
      <w:r w:rsidRPr="00C548E2">
        <w:rPr>
          <w:rFonts w:eastAsia="Calibri"/>
          <w:lang w:val="en-US"/>
        </w:rPr>
        <w:t>Chalki</w:t>
      </w:r>
      <w:proofErr w:type="spellEnd"/>
      <w:r w:rsidRPr="00C548E2">
        <w:rPr>
          <w:rFonts w:eastAsia="Calibri"/>
          <w:lang w:val="en-US"/>
        </w:rPr>
        <w:t xml:space="preserve"> Archaeological Museum), and 414 have already been completed. Of the remaining 19 sub-projects that have not yet been contracted, most are related to secondary activities (</w:t>
      </w:r>
      <w:proofErr w:type="spellStart"/>
      <w:r w:rsidRPr="00C548E2">
        <w:rPr>
          <w:rFonts w:eastAsia="Calibri"/>
          <w:lang w:val="en-US"/>
        </w:rPr>
        <w:t>e.g</w:t>
      </w:r>
      <w:proofErr w:type="spellEnd"/>
      <w:r w:rsidRPr="00C548E2">
        <w:rPr>
          <w:rFonts w:eastAsia="Calibri"/>
          <w:lang w:val="en-US"/>
        </w:rPr>
        <w:t xml:space="preserve"> public utility services and building inspectors). The completion of the investment is expected by the end of August 2026.</w:t>
      </w:r>
    </w:p>
    <w:p w14:paraId="030C5BAE" w14:textId="77777777" w:rsidR="00451CC2" w:rsidRPr="00C548E2" w:rsidRDefault="00451CC2" w:rsidP="00F675AB">
      <w:pPr>
        <w:rPr>
          <w:rFonts w:eastAsia="Calibri"/>
          <w:lang w:val="en-US"/>
        </w:rPr>
      </w:pPr>
      <w:r w:rsidRPr="00C548E2">
        <w:rPr>
          <w:rFonts w:eastAsia="Calibri"/>
          <w:lang w:val="en-US"/>
        </w:rPr>
        <w:t xml:space="preserve">The </w:t>
      </w:r>
      <w:r w:rsidRPr="00C548E2">
        <w:rPr>
          <w:rFonts w:eastAsia="Calibri"/>
          <w:b/>
          <w:lang w:val="en-US"/>
        </w:rPr>
        <w:t>RRF investment under the title “Protection of Cultural Monuments and Archaeological Sites from Climate Change”</w:t>
      </w:r>
      <w:r w:rsidRPr="00C548E2">
        <w:rPr>
          <w:rFonts w:eastAsia="Calibri"/>
          <w:lang w:val="en-US"/>
        </w:rPr>
        <w:t xml:space="preserve"> intends to safeguard Greece’s cultural heritage, improve its resilience to climate change, thus sustaining the contribution of cultural heritage sites to economic activity. The investment comprises the development of climate change adaptation plans for cultural heritage sites and shall include spatial and temporal assessments of the climate risks and identification of vulnerabilities faced by cultural heritage sites. All sub-projects related to this investment are currently under implementation. In particular, out of a total of 20 sub-projects, 19 are in the implementation phase (e.g. countermeasures against rockfalls in Delphi, fire protection works at the archaeological site of </w:t>
      </w:r>
      <w:proofErr w:type="spellStart"/>
      <w:r w:rsidRPr="00C548E2">
        <w:rPr>
          <w:rFonts w:eastAsia="Calibri"/>
          <w:lang w:val="en-US"/>
        </w:rPr>
        <w:t>Mystras</w:t>
      </w:r>
      <w:proofErr w:type="spellEnd"/>
      <w:r w:rsidRPr="00C548E2">
        <w:rPr>
          <w:rFonts w:eastAsia="Calibri"/>
          <w:lang w:val="en-US"/>
        </w:rPr>
        <w:t>, fire protection works at the archaeological site of Philippi, and flood protection works in Dion), of which 12 have already been completed. The implementation of the investment is expected to be completed by the end of August 2026.</w:t>
      </w:r>
    </w:p>
    <w:p w14:paraId="0C25DA69" w14:textId="77777777" w:rsidR="00451CC2" w:rsidRPr="00C548E2" w:rsidRDefault="00451CC2" w:rsidP="00F675AB">
      <w:pPr>
        <w:rPr>
          <w:rFonts w:eastAsia="Calibri"/>
          <w:lang w:val="en-US"/>
        </w:rPr>
      </w:pPr>
      <w:r w:rsidRPr="00C548E2">
        <w:rPr>
          <w:rFonts w:eastAsia="Calibri"/>
          <w:lang w:val="en-US"/>
        </w:rPr>
        <w:t xml:space="preserve">The </w:t>
      </w:r>
      <w:r w:rsidRPr="00C548E2">
        <w:rPr>
          <w:rFonts w:eastAsia="Calibri"/>
          <w:b/>
          <w:lang w:val="en-US"/>
        </w:rPr>
        <w:t xml:space="preserve">RRF investment “Cultural Routes at Emblematic Archaeological Sites and Monuments” </w:t>
      </w:r>
      <w:r w:rsidRPr="00C548E2">
        <w:rPr>
          <w:rFonts w:eastAsia="Calibri"/>
          <w:lang w:val="en-US"/>
        </w:rPr>
        <w:t xml:space="preserve">aims to design five emblematic cultural routes with thematic narratives, covering all periods of Greek history. The routes are expected to be geographically spread throughout the country. The investment shall also comprise the preservation and restoration of selected monuments, the upgrade of services and infrastructure, the development of interactive digital applications, as well as the upgrade of the archeological </w:t>
      </w:r>
      <w:proofErr w:type="spellStart"/>
      <w:r w:rsidRPr="00C548E2">
        <w:rPr>
          <w:rFonts w:eastAsia="Calibri"/>
          <w:lang w:val="en-US"/>
        </w:rPr>
        <w:t>cadastre</w:t>
      </w:r>
      <w:proofErr w:type="spellEnd"/>
      <w:r w:rsidRPr="00C548E2">
        <w:rPr>
          <w:rFonts w:eastAsia="Calibri"/>
          <w:lang w:val="en-US"/>
        </w:rPr>
        <w:t>. All projects related to this investment are currently in the implementation phase. Out of the 35 total projects, 27 have been completed. Of the remaining 8 projects, comprising 32 sub-projects, 29 sub-projects have been awarded. The three remaining sub-projects are expected to be awarded by April 2026. The investment is expected to be completed by the end of August 2026.</w:t>
      </w:r>
    </w:p>
    <w:p w14:paraId="2338AA77" w14:textId="77777777" w:rsidR="00451CC2" w:rsidRPr="00C548E2" w:rsidRDefault="00451CC2" w:rsidP="00F675AB">
      <w:pPr>
        <w:rPr>
          <w:rFonts w:eastAsia="Calibri"/>
          <w:lang w:val="en-US"/>
        </w:rPr>
      </w:pPr>
      <w:r w:rsidRPr="00C548E2">
        <w:rPr>
          <w:rFonts w:eastAsia="Calibri"/>
          <w:lang w:val="en-US"/>
        </w:rPr>
        <w:t xml:space="preserve">The </w:t>
      </w:r>
      <w:r w:rsidRPr="00C548E2">
        <w:rPr>
          <w:rFonts w:eastAsia="Calibri"/>
          <w:b/>
          <w:lang w:val="en-US"/>
        </w:rPr>
        <w:t>RRF investment Utilizing “arts on prescription”</w:t>
      </w:r>
      <w:r w:rsidRPr="00C548E2">
        <w:rPr>
          <w:rFonts w:eastAsia="Calibri"/>
          <w:lang w:val="en-US"/>
        </w:rPr>
        <w:t xml:space="preserve">, promoting social cohesion, and tapping on the silver economy” aims to attract visitors aged 65 and over, as well as visitors with disabilities </w:t>
      </w:r>
      <w:r w:rsidRPr="00C548E2">
        <w:rPr>
          <w:rFonts w:eastAsia="Calibri"/>
          <w:lang w:val="en-US"/>
        </w:rPr>
        <w:lastRenderedPageBreak/>
        <w:t xml:space="preserve">to cultural venues such as museums, theaters, festivals, archaeological sites and monuments, by improving physical access to these venues and developing guided tour systems with hearing and vision aids. The investment shall promote “arts on prescription” programmes, as described by the World Health Organization, which utilizes arts and culture as an integral part of medical support, especially in the realm of mental health. The investment comprises 94 sub-projects, of which 63 sub-projects are currently in the implementation phase and are expected to be completed by Q2 2026 (e.g. infrastructure upgrade and functionality improvement of the archaeological site of </w:t>
      </w:r>
      <w:proofErr w:type="spellStart"/>
      <w:r w:rsidRPr="00C548E2">
        <w:rPr>
          <w:rFonts w:eastAsia="Calibri"/>
          <w:lang w:val="en-US"/>
        </w:rPr>
        <w:t>Elefsina</w:t>
      </w:r>
      <w:proofErr w:type="spellEnd"/>
      <w:r w:rsidRPr="00C548E2">
        <w:rPr>
          <w:rFonts w:eastAsia="Calibri"/>
          <w:lang w:val="en-US"/>
        </w:rPr>
        <w:t>, and accessibility improvements for persons with disabilities at the monuments of Amphipolis), while 27 have already been completed. The remaining four sub-projects are of a secondary nature and are expected to enter their implementation phase within Q2 2026; however, they are scheduled to be completed by Q4 2026. Furthermore, it should be noted that the first phase of the “arts on prescription” programme has already been completed, while the second phase is currently underway. Overall, the programme is progressing in line with the established timeline and is expected to be completed within the second quarter of 2026, while the implementation of the investment as a whole is expected to be completed by the end of August 2026.</w:t>
      </w:r>
    </w:p>
    <w:p w14:paraId="4FF06A2B" w14:textId="77777777" w:rsidR="00451CC2" w:rsidRDefault="00451CC2" w:rsidP="00F675AB">
      <w:pPr>
        <w:rPr>
          <w:rFonts w:eastAsia="Calibri"/>
          <w:lang w:val="en-US"/>
        </w:rPr>
      </w:pPr>
      <w:r w:rsidRPr="00A24D4F">
        <w:rPr>
          <w:rFonts w:eastAsia="Calibri"/>
          <w:lang w:val="en-US"/>
        </w:rPr>
        <w:t xml:space="preserve">Under the </w:t>
      </w:r>
      <w:r w:rsidRPr="00A67729">
        <w:rPr>
          <w:rFonts w:eastAsia="Calibri"/>
          <w:b/>
          <w:lang w:val="en-US"/>
        </w:rPr>
        <w:t>RRF measure “Upgrading Higher Arts Education”</w:t>
      </w:r>
      <w:r>
        <w:rPr>
          <w:rFonts w:eastAsia="Calibri"/>
          <w:b/>
          <w:lang w:val="en-US"/>
        </w:rPr>
        <w:t>,</w:t>
      </w:r>
      <w:r w:rsidRPr="00A24D4F">
        <w:rPr>
          <w:rFonts w:eastAsia="Calibri"/>
          <w:lang w:val="en-US"/>
        </w:rPr>
        <w:t xml:space="preserve"> the legal framework for the establishment of the University of Performing Arts (</w:t>
      </w:r>
      <w:proofErr w:type="spellStart"/>
      <w:r w:rsidRPr="00A24D4F">
        <w:rPr>
          <w:rFonts w:eastAsia="Calibri"/>
          <w:lang w:val="en-US"/>
        </w:rPr>
        <w:t>UoPA</w:t>
      </w:r>
      <w:proofErr w:type="spellEnd"/>
      <w:r w:rsidRPr="00A24D4F">
        <w:rPr>
          <w:rFonts w:eastAsia="Calibri"/>
          <w:lang w:val="en-US"/>
        </w:rPr>
        <w:t xml:space="preserve">), under the jurisdiction of the Ministry of Education, was adopted (OJ A’ 49/30.03.2026). In the coming weeks, the relevant secondary legislation will be issued, covering the establishment of the Governing Committee, the collective bodies, the scope of the Organization, and the internal rules of operation and cooperation. As far as the investment component of the Measure is concerned, it comprises of 34 sub-projects dealing with enhancing the physical and technical infrastructure schools of art education (e.g. Higher School of Marble Crafts of Tinos, </w:t>
      </w:r>
      <w:proofErr w:type="spellStart"/>
      <w:r w:rsidRPr="00A24D4F">
        <w:rPr>
          <w:rFonts w:eastAsia="Calibri"/>
          <w:lang w:val="en-US"/>
        </w:rPr>
        <w:t>Giannouli</w:t>
      </w:r>
      <w:proofErr w:type="spellEnd"/>
      <w:r w:rsidRPr="00A24D4F">
        <w:rPr>
          <w:rFonts w:eastAsia="Calibri"/>
          <w:lang w:val="en-US"/>
        </w:rPr>
        <w:t xml:space="preserve"> </w:t>
      </w:r>
      <w:proofErr w:type="spellStart"/>
      <w:r w:rsidRPr="00A24D4F">
        <w:rPr>
          <w:rFonts w:eastAsia="Calibri"/>
          <w:lang w:val="en-US"/>
        </w:rPr>
        <w:t>Halepa</w:t>
      </w:r>
      <w:proofErr w:type="spellEnd"/>
      <w:r w:rsidRPr="00A24D4F">
        <w:rPr>
          <w:rFonts w:eastAsia="Calibri"/>
          <w:lang w:val="en-US"/>
        </w:rPr>
        <w:t xml:space="preserve"> House, and National School of Dance). Of these, 22 are currently under implementation and are expected to be completed by Q2 2026. Of the remaining 12 sub-projects, 10 have been completed, while the final two</w:t>
      </w:r>
      <w:r w:rsidR="00FD4DF9">
        <w:rPr>
          <w:rFonts w:eastAsia="Calibri"/>
          <w:lang w:val="en-US"/>
        </w:rPr>
        <w:t xml:space="preserve"> </w:t>
      </w:r>
      <w:r w:rsidRPr="00A24D4F">
        <w:rPr>
          <w:rFonts w:eastAsia="Calibri"/>
          <w:lang w:val="en-US"/>
        </w:rPr>
        <w:t>—yet to be contracted—</w:t>
      </w:r>
      <w:r w:rsidR="00FD4DF9">
        <w:rPr>
          <w:rFonts w:eastAsia="Calibri"/>
          <w:lang w:val="en-US"/>
        </w:rPr>
        <w:t xml:space="preserve"> </w:t>
      </w:r>
      <w:r w:rsidRPr="00A24D4F">
        <w:rPr>
          <w:rFonts w:eastAsia="Calibri"/>
          <w:lang w:val="en-US"/>
        </w:rPr>
        <w:t>concern ancillary activities, namely utility connections and the appointment of building inspectors. The implementation of the investment is expected to be completed by the end of August 2026.</w:t>
      </w:r>
    </w:p>
    <w:p w14:paraId="5525C122" w14:textId="77777777" w:rsidR="00451CC2" w:rsidRPr="00C548E2" w:rsidRDefault="00451CC2" w:rsidP="00F675AB">
      <w:pPr>
        <w:rPr>
          <w:rFonts w:eastAsia="Calibri"/>
          <w:lang w:val="en-US"/>
        </w:rPr>
      </w:pPr>
      <w:r w:rsidRPr="00C548E2">
        <w:rPr>
          <w:rFonts w:eastAsia="Calibri"/>
          <w:lang w:val="en-US"/>
        </w:rPr>
        <w:t xml:space="preserve">The </w:t>
      </w:r>
      <w:r w:rsidRPr="00C548E2">
        <w:rPr>
          <w:rFonts w:eastAsia="Calibri"/>
          <w:b/>
          <w:lang w:val="en-US"/>
        </w:rPr>
        <w:t>RRF investment “Infrastructure development and buildings</w:t>
      </w:r>
      <w:r>
        <w:rPr>
          <w:rFonts w:eastAsia="Calibri"/>
          <w:b/>
          <w:lang w:val="en-US"/>
        </w:rPr>
        <w:t>”</w:t>
      </w:r>
      <w:r w:rsidRPr="00C548E2">
        <w:rPr>
          <w:rFonts w:eastAsia="Calibri"/>
          <w:lang w:val="en-US"/>
        </w:rPr>
        <w:t xml:space="preserve"> restoration in the former royal estate in </w:t>
      </w:r>
      <w:proofErr w:type="spellStart"/>
      <w:r w:rsidRPr="00C548E2">
        <w:rPr>
          <w:rFonts w:eastAsia="Calibri"/>
          <w:lang w:val="en-US"/>
        </w:rPr>
        <w:t>Tatoi</w:t>
      </w:r>
      <w:proofErr w:type="spellEnd"/>
      <w:r w:rsidRPr="00C548E2">
        <w:rPr>
          <w:rFonts w:eastAsia="Calibri"/>
          <w:lang w:val="en-US"/>
        </w:rPr>
        <w:t xml:space="preserve">” aims at the general redevelopment of the former Royal Estate of </w:t>
      </w:r>
      <w:proofErr w:type="spellStart"/>
      <w:r w:rsidRPr="00C548E2">
        <w:rPr>
          <w:rFonts w:eastAsia="Calibri"/>
          <w:lang w:val="en-US"/>
        </w:rPr>
        <w:t>Tatoi</w:t>
      </w:r>
      <w:proofErr w:type="spellEnd"/>
      <w:r w:rsidRPr="00C548E2">
        <w:rPr>
          <w:rFonts w:eastAsia="Calibri"/>
          <w:lang w:val="en-US"/>
        </w:rPr>
        <w:t xml:space="preserve"> in Attica, through the creation of a modern metropolitan theme park, inspired by history, culture, recreation, environmental awareness and education, in order to deliver a green, renovated and freely accessible area for recreation to the inhabitants of Attica, as well as a new landmark for tourists to visit. All projects related to this investment are in progress. In particular, out of a total of 18 sub-projects, 6 have already been completed, while the remaining sub-projects are currently under implementation and are expected to be completed by Q2/ 2026. The sub-project Consolidation and Restoration of New Cowshed Building at the Ex-Royal Estate of </w:t>
      </w:r>
      <w:proofErr w:type="spellStart"/>
      <w:r w:rsidRPr="00C548E2">
        <w:rPr>
          <w:rFonts w:eastAsia="Calibri"/>
          <w:lang w:val="en-US"/>
        </w:rPr>
        <w:t>Tatoi</w:t>
      </w:r>
      <w:proofErr w:type="spellEnd"/>
      <w:r w:rsidRPr="00C548E2">
        <w:rPr>
          <w:rFonts w:eastAsia="Calibri"/>
          <w:lang w:val="en-US"/>
        </w:rPr>
        <w:t xml:space="preserve"> and Reuse as Museum is also in its implementation phase, estimated to be completed by the end of June 2026. Furthermore, the recording, documentation and registration of 45.000 objects of the royal household (porcelain, silver, textiles, artworks, etc.) is on track. The sub-project Conservation and Restoration of Artefacts (porcelain, artworks, clothing, furniture, sound/music instruments, jewelry, cult objects, paintings, coins, medals, decorations, etc.) is scheduled to be completed by the end of April 2026, while the restoration of the royal carriages </w:t>
      </w:r>
      <w:r w:rsidRPr="00C548E2">
        <w:rPr>
          <w:rFonts w:eastAsia="Calibri"/>
          <w:lang w:val="en-US"/>
        </w:rPr>
        <w:lastRenderedPageBreak/>
        <w:t>has been completed. The number of objects conserved for the museum exhibition are 8.300. The collection of royal carriages are fully conserved and the conservation of royal cars has been completed. The implementation of the investment is expected to be completed by the end of August 2026.</w:t>
      </w:r>
    </w:p>
    <w:p w14:paraId="246F1EDA" w14:textId="77777777" w:rsidR="00451CC2" w:rsidRPr="00C548E2" w:rsidRDefault="00451CC2" w:rsidP="00F675AB">
      <w:pPr>
        <w:rPr>
          <w:rFonts w:eastAsia="Calibri"/>
          <w:lang w:val="en-US"/>
        </w:rPr>
      </w:pPr>
      <w:r w:rsidRPr="00C548E2">
        <w:rPr>
          <w:rFonts w:eastAsia="Calibri"/>
          <w:lang w:val="en-US"/>
        </w:rPr>
        <w:t xml:space="preserve">The </w:t>
      </w:r>
      <w:r w:rsidRPr="00C548E2">
        <w:rPr>
          <w:rFonts w:eastAsia="Calibri"/>
          <w:b/>
          <w:lang w:val="en-US"/>
        </w:rPr>
        <w:t>RRF investment “Restoration-Conservation-Enhancement of the Acropolis Monuments”</w:t>
      </w:r>
      <w:r w:rsidRPr="00C548E2">
        <w:rPr>
          <w:rFonts w:eastAsia="Calibri"/>
          <w:lang w:val="en-US"/>
        </w:rPr>
        <w:t>, aims to preserve the monument against climate change, including restoration work for the Parthenon and Walls, conservation of specific parts of the site, consolidation and stabilization of rock masses and improved visitor access works. The project related to this investment is in progress. Specifically, out of the 12 sub-projects, 11 have already been completed (e.g. “Interventions for the restoration, conservation and enhancement of the Acropolis monuments”, “Digital documentation of the monuments”, “Photogrammetric surveys/ Digital documentation of the monuments”), while the remaining sub-project (Leveling works and surfacing of pathways) is currently under implementation and is expected to be completed by May 2026. Overall, the implementation of the investment is expected to be completed by the end of August 2026.</w:t>
      </w:r>
    </w:p>
    <w:p w14:paraId="55FF6171" w14:textId="77777777" w:rsidR="00451CC2" w:rsidRPr="00C548E2" w:rsidRDefault="00451CC2" w:rsidP="00F675AB">
      <w:pPr>
        <w:rPr>
          <w:rFonts w:eastAsia="Calibri"/>
          <w:lang w:val="en-US"/>
        </w:rPr>
      </w:pPr>
      <w:r w:rsidRPr="00C548E2">
        <w:rPr>
          <w:rFonts w:eastAsia="Calibri"/>
          <w:lang w:val="en-US"/>
        </w:rPr>
        <w:t xml:space="preserve">The </w:t>
      </w:r>
      <w:r w:rsidRPr="00C548E2">
        <w:rPr>
          <w:rFonts w:eastAsia="Calibri"/>
          <w:b/>
          <w:lang w:val="en-US"/>
        </w:rPr>
        <w:t>RRF investment “Museum of underwater antiquities”</w:t>
      </w:r>
      <w:r w:rsidRPr="00C548E2">
        <w:rPr>
          <w:rFonts w:eastAsia="Calibri"/>
          <w:lang w:val="en-US"/>
        </w:rPr>
        <w:t xml:space="preserve"> shall restore through an energy efficient renovation an industrial building in Piraeus and shall reopen it as a museum of underwater antiquities. The investment aims to create added value from a cultural and tourism standpoint for the port city of Piraeus and the wider Athens area and become a pole of cultural and economic development of the wider region. The contract for the renovation of the industrial building and the construction of the Museum of Underwater Antiquities has been awarded and the main sub-project is in progress. Furthermore, with regard to the remaining 17 sub-projects for the organization of the permanent exhibition, 6 sub-projects have been completed as of April 2026, while the remaining sub-projects are in their implementation phase and they are scheduled to be completed by Q4 2026. The completion of the RRF-funded part of the investment is expected by the end of August 2026.</w:t>
      </w:r>
    </w:p>
    <w:p w14:paraId="414A1A7F" w14:textId="77777777" w:rsidR="00451CC2" w:rsidRPr="00C548E2" w:rsidRDefault="00451CC2" w:rsidP="00F675AB">
      <w:pPr>
        <w:rPr>
          <w:rFonts w:eastAsia="Calibri"/>
          <w:lang w:val="en-US"/>
        </w:rPr>
      </w:pPr>
      <w:r w:rsidRPr="00C548E2">
        <w:rPr>
          <w:rFonts w:eastAsia="Calibri"/>
          <w:lang w:val="en-US"/>
        </w:rPr>
        <w:t xml:space="preserve">The </w:t>
      </w:r>
      <w:r w:rsidRPr="00C548E2">
        <w:rPr>
          <w:rFonts w:eastAsia="Calibri"/>
          <w:b/>
          <w:lang w:val="en-US"/>
        </w:rPr>
        <w:t>RRF investment  “Upgrade of infrastructure, renewal of equipment and upgrade of quality of services provided by the HOCRED Stores - former ARF Stores (On-spot and electronic)”</w:t>
      </w:r>
      <w:r w:rsidRPr="00C548E2">
        <w:rPr>
          <w:rFonts w:eastAsia="Calibri"/>
          <w:lang w:val="en-US"/>
        </w:rPr>
        <w:t xml:space="preserve"> is an investment that aims at expanding the network of stores inside and outside of archaeological sites and museums, operate an e-shop, upgrade the infrastructure and equipment, renew and expand the products, as well as modernize their operating mode and strengthen the HOCRED’s cooperation with the private sector. By April 2025, the development of HOCRED’s official online store has been completed, eleven (11) stores at archaeological sites have been renovated and new stores have been established in Dion and the Acropolis. As of March 2026, new stores have been established in Ancient Olympia and Piraeus, while the completion of Epidaurus and </w:t>
      </w:r>
      <w:proofErr w:type="spellStart"/>
      <w:r w:rsidRPr="00C548E2">
        <w:rPr>
          <w:rFonts w:eastAsia="Calibri"/>
          <w:lang w:val="en-US"/>
        </w:rPr>
        <w:t>Platamonas</w:t>
      </w:r>
      <w:proofErr w:type="spellEnd"/>
      <w:r w:rsidRPr="00C548E2">
        <w:rPr>
          <w:rFonts w:eastAsia="Calibri"/>
          <w:lang w:val="en-US"/>
        </w:rPr>
        <w:t xml:space="preserve"> is imminent. At the same time, three (3) stores have been renovated (</w:t>
      </w:r>
      <w:proofErr w:type="spellStart"/>
      <w:r w:rsidRPr="00C548E2">
        <w:rPr>
          <w:rFonts w:eastAsia="Calibri"/>
          <w:lang w:val="en-US"/>
        </w:rPr>
        <w:t>Olympieion</w:t>
      </w:r>
      <w:proofErr w:type="spellEnd"/>
      <w:r w:rsidRPr="00C548E2">
        <w:rPr>
          <w:rFonts w:eastAsia="Calibri"/>
          <w:lang w:val="en-US"/>
        </w:rPr>
        <w:t xml:space="preserve">, Crete, Macedonia), while the completion of Peloponnese - Central Greece and Ionian Islands - Epirus is expected shortly. The implementation of the investment is expected to be completed by the end of August 2026.   </w:t>
      </w:r>
    </w:p>
    <w:p w14:paraId="52E749EF" w14:textId="77777777" w:rsidR="00451CC2" w:rsidRPr="00C548E2" w:rsidRDefault="00451CC2" w:rsidP="00F675AB">
      <w:pPr>
        <w:rPr>
          <w:rFonts w:eastAsia="Calibri"/>
          <w:lang w:val="en-US"/>
        </w:rPr>
      </w:pPr>
      <w:r w:rsidRPr="00C548E2">
        <w:rPr>
          <w:rFonts w:eastAsia="Calibri"/>
          <w:lang w:val="en-US"/>
        </w:rPr>
        <w:t xml:space="preserve">Τhe investment </w:t>
      </w:r>
      <w:r w:rsidRPr="00C548E2">
        <w:rPr>
          <w:rFonts w:eastAsia="Calibri"/>
          <w:b/>
          <w:lang w:val="en-US"/>
        </w:rPr>
        <w:t>“Smart Infrastructure with environmental and cultural focus”</w:t>
      </w:r>
      <w:r w:rsidRPr="00C548E2">
        <w:rPr>
          <w:rFonts w:eastAsia="Calibri"/>
          <w:lang w:val="en-US"/>
        </w:rPr>
        <w:t xml:space="preserve"> includes the development and implementation of new digital interactive services that aim to highlight the cultural stock of the Ministry of Culture and upgrade the visitor's experience in Archaeological </w:t>
      </w:r>
      <w:r w:rsidRPr="00C548E2">
        <w:rPr>
          <w:rFonts w:eastAsia="Calibri"/>
          <w:lang w:val="en-US"/>
        </w:rPr>
        <w:lastRenderedPageBreak/>
        <w:t>Sites, Museums, Monuments and Historical Sites with the use of Innovative Technologies and Open Systems. As part of the project, a new E-ticketing and Access Control system will be installed, while digital services/personalized information applications will be developed and connected to the e-ticket system. All RRF projects related to this investment are in progress. As of January 2026, 30 electronic ticketing points have been created and are accessible through the hh.gr website, covering museums and major archaeological sites of significant importance. The implementation of the investment is expected to be completed by the end of August 2026.</w:t>
      </w:r>
    </w:p>
    <w:p w14:paraId="0E0C40D3" w14:textId="77777777" w:rsidR="00451CC2" w:rsidRDefault="00FD4DF9" w:rsidP="00E07D5C">
      <w:pPr>
        <w:pStyle w:val="Heading2"/>
        <w:pBdr>
          <w:bottom w:val="single" w:sz="4" w:space="1" w:color="4F81BD" w:themeColor="accent1"/>
        </w:pBdr>
        <w:spacing w:before="960"/>
        <w:rPr>
          <w:rFonts w:eastAsia="Calibri"/>
          <w:sz w:val="36"/>
          <w:lang w:val="en-US"/>
        </w:rPr>
      </w:pPr>
      <w:bookmarkStart w:id="72" w:name="_Toc227932506"/>
      <w:bookmarkStart w:id="73" w:name="_Toc228279099"/>
      <w:r>
        <w:rPr>
          <w:rFonts w:eastAsia="Calibri"/>
          <w:sz w:val="36"/>
          <w:lang w:val="en-US"/>
        </w:rPr>
        <w:t>M</w:t>
      </w:r>
      <w:r w:rsidRPr="00FD4DF9">
        <w:rPr>
          <w:rFonts w:eastAsia="Calibri"/>
          <w:sz w:val="36"/>
          <w:lang w:val="en-US"/>
        </w:rPr>
        <w:t xml:space="preserve">inistry of </w:t>
      </w:r>
      <w:r>
        <w:rPr>
          <w:rFonts w:eastAsia="Calibri"/>
          <w:sz w:val="36"/>
          <w:lang w:val="en-US"/>
        </w:rPr>
        <w:t>M</w:t>
      </w:r>
      <w:r w:rsidRPr="00FD4DF9">
        <w:rPr>
          <w:rFonts w:eastAsia="Calibri"/>
          <w:sz w:val="36"/>
          <w:lang w:val="en-US"/>
        </w:rPr>
        <w:t xml:space="preserve">igration and </w:t>
      </w:r>
      <w:r>
        <w:rPr>
          <w:rFonts w:eastAsia="Calibri"/>
          <w:sz w:val="36"/>
          <w:lang w:val="en-US"/>
        </w:rPr>
        <w:t>A</w:t>
      </w:r>
      <w:r w:rsidRPr="00FD4DF9">
        <w:rPr>
          <w:rFonts w:eastAsia="Calibri"/>
          <w:sz w:val="36"/>
          <w:lang w:val="en-US"/>
        </w:rPr>
        <w:t>sylum</w:t>
      </w:r>
      <w:bookmarkEnd w:id="72"/>
      <w:bookmarkEnd w:id="73"/>
    </w:p>
    <w:tbl>
      <w:tblPr>
        <w:tblW w:w="8902" w:type="dxa"/>
        <w:jc w:val="center"/>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Look w:val="04A0" w:firstRow="1" w:lastRow="0" w:firstColumn="1" w:lastColumn="0" w:noHBand="0" w:noVBand="1"/>
      </w:tblPr>
      <w:tblGrid>
        <w:gridCol w:w="3174"/>
        <w:gridCol w:w="913"/>
        <w:gridCol w:w="1371"/>
        <w:gridCol w:w="1643"/>
        <w:gridCol w:w="1801"/>
      </w:tblGrid>
      <w:tr w:rsidR="00FD4DF9" w:rsidRPr="00FD4DF9" w14:paraId="469FB338" w14:textId="77777777" w:rsidTr="00425017">
        <w:trPr>
          <w:trHeight w:val="170"/>
          <w:jc w:val="center"/>
        </w:trPr>
        <w:tc>
          <w:tcPr>
            <w:tcW w:w="3174" w:type="dxa"/>
            <w:shd w:val="clear" w:color="000000" w:fill="CFE2F3"/>
            <w:vAlign w:val="center"/>
            <w:hideMark/>
          </w:tcPr>
          <w:p w14:paraId="071FA0D1" w14:textId="77777777" w:rsidR="00FD4DF9" w:rsidRPr="00FD4DF9" w:rsidRDefault="00FD4DF9" w:rsidP="00FD4DF9">
            <w:pPr>
              <w:pStyle w:val="Tabletext"/>
              <w:rPr>
                <w:b/>
              </w:rPr>
            </w:pPr>
            <w:r w:rsidRPr="00FD4DF9">
              <w:rPr>
                <w:b/>
              </w:rPr>
              <w:t>REFORM / INVESTMENT</w:t>
            </w:r>
          </w:p>
        </w:tc>
        <w:tc>
          <w:tcPr>
            <w:tcW w:w="913" w:type="dxa"/>
            <w:shd w:val="clear" w:color="000000" w:fill="CFE2F3"/>
            <w:vAlign w:val="center"/>
            <w:hideMark/>
          </w:tcPr>
          <w:p w14:paraId="6369344F" w14:textId="77777777" w:rsidR="00FD4DF9" w:rsidRPr="00FD4DF9" w:rsidRDefault="00FD4DF9" w:rsidP="00FD4DF9">
            <w:pPr>
              <w:pStyle w:val="Tabletext"/>
              <w:rPr>
                <w:b/>
              </w:rPr>
            </w:pPr>
            <w:r w:rsidRPr="00FD4DF9">
              <w:rPr>
                <w:b/>
              </w:rPr>
              <w:t>RRF / MFF</w:t>
            </w:r>
          </w:p>
        </w:tc>
        <w:tc>
          <w:tcPr>
            <w:tcW w:w="1371" w:type="dxa"/>
            <w:shd w:val="clear" w:color="000000" w:fill="CFE2F3"/>
            <w:vAlign w:val="center"/>
            <w:hideMark/>
          </w:tcPr>
          <w:p w14:paraId="5608B85A" w14:textId="77777777" w:rsidR="00FD4DF9" w:rsidRPr="00FD4DF9" w:rsidRDefault="00FD4DF9" w:rsidP="00FD4DF9">
            <w:pPr>
              <w:pStyle w:val="Tabletext"/>
              <w:rPr>
                <w:b/>
              </w:rPr>
            </w:pPr>
            <w:r w:rsidRPr="00FD4DF9">
              <w:rPr>
                <w:b/>
              </w:rPr>
              <w:t xml:space="preserve">CSR </w:t>
            </w:r>
          </w:p>
        </w:tc>
        <w:tc>
          <w:tcPr>
            <w:tcW w:w="1643" w:type="dxa"/>
            <w:shd w:val="clear" w:color="000000" w:fill="CFE2F3"/>
            <w:vAlign w:val="center"/>
            <w:hideMark/>
          </w:tcPr>
          <w:p w14:paraId="279545FD" w14:textId="77777777" w:rsidR="00FD4DF9" w:rsidRPr="00FD4DF9" w:rsidRDefault="00FD4DF9" w:rsidP="00FD4DF9">
            <w:pPr>
              <w:pStyle w:val="Tabletext"/>
              <w:rPr>
                <w:b/>
              </w:rPr>
            </w:pPr>
            <w:r w:rsidRPr="00FD4DF9">
              <w:rPr>
                <w:b/>
              </w:rPr>
              <w:t>COMMON PRIORITIES</w:t>
            </w:r>
          </w:p>
        </w:tc>
        <w:tc>
          <w:tcPr>
            <w:tcW w:w="1801" w:type="dxa"/>
            <w:shd w:val="clear" w:color="000000" w:fill="CFE2F3"/>
            <w:vAlign w:val="center"/>
            <w:hideMark/>
          </w:tcPr>
          <w:p w14:paraId="24AAC6F7" w14:textId="77777777" w:rsidR="00FD4DF9" w:rsidRPr="00FD4DF9" w:rsidRDefault="00FD4DF9" w:rsidP="00FD4DF9">
            <w:pPr>
              <w:pStyle w:val="Tabletext"/>
              <w:rPr>
                <w:b/>
              </w:rPr>
            </w:pPr>
            <w:r w:rsidRPr="00FD4DF9">
              <w:rPr>
                <w:b/>
              </w:rPr>
              <w:t>On-track status</w:t>
            </w:r>
          </w:p>
        </w:tc>
      </w:tr>
      <w:tr w:rsidR="00C91BE7" w:rsidRPr="00FD4DF9" w14:paraId="2E9FE111" w14:textId="77777777" w:rsidTr="00425017">
        <w:trPr>
          <w:trHeight w:val="170"/>
          <w:jc w:val="center"/>
        </w:trPr>
        <w:tc>
          <w:tcPr>
            <w:tcW w:w="3174" w:type="dxa"/>
            <w:vAlign w:val="center"/>
            <w:hideMark/>
          </w:tcPr>
          <w:p w14:paraId="77AB3BBD" w14:textId="77777777" w:rsidR="00FD4DF9" w:rsidRPr="00FD4DF9" w:rsidRDefault="00540671" w:rsidP="00FD4DF9">
            <w:pPr>
              <w:pStyle w:val="Tabletext"/>
              <w:rPr>
                <w:szCs w:val="23"/>
              </w:rPr>
            </w:pPr>
            <w:r w:rsidRPr="00540671">
              <w:rPr>
                <w:b/>
                <w:szCs w:val="23"/>
              </w:rPr>
              <w:t>REFORM 1:</w:t>
            </w:r>
            <w:r w:rsidR="00FD4DF9" w:rsidRPr="00FD4DF9">
              <w:rPr>
                <w:szCs w:val="23"/>
              </w:rPr>
              <w:t xml:space="preserve"> Open shelter for vulnerable women "A Step Forward" </w:t>
            </w:r>
          </w:p>
        </w:tc>
        <w:tc>
          <w:tcPr>
            <w:tcW w:w="913" w:type="dxa"/>
            <w:vAlign w:val="center"/>
            <w:hideMark/>
          </w:tcPr>
          <w:p w14:paraId="7F1FBE0A" w14:textId="77777777" w:rsidR="00FD4DF9" w:rsidRPr="00FD4DF9" w:rsidRDefault="00FD4DF9" w:rsidP="00FD4DF9">
            <w:pPr>
              <w:pStyle w:val="Tabletext"/>
              <w:rPr>
                <w:szCs w:val="23"/>
              </w:rPr>
            </w:pPr>
            <w:r w:rsidRPr="00FD4DF9">
              <w:rPr>
                <w:szCs w:val="23"/>
              </w:rPr>
              <w:t>-</w:t>
            </w:r>
          </w:p>
        </w:tc>
        <w:tc>
          <w:tcPr>
            <w:tcW w:w="1371" w:type="dxa"/>
            <w:vAlign w:val="center"/>
            <w:hideMark/>
          </w:tcPr>
          <w:p w14:paraId="7FCA738D" w14:textId="77777777" w:rsidR="00FD4DF9" w:rsidRPr="00FD4DF9" w:rsidRDefault="00FD4DF9" w:rsidP="00FD4DF9">
            <w:pPr>
              <w:pStyle w:val="Tabletext"/>
              <w:rPr>
                <w:szCs w:val="23"/>
              </w:rPr>
            </w:pPr>
            <w:r w:rsidRPr="00FD4DF9">
              <w:rPr>
                <w:szCs w:val="23"/>
              </w:rPr>
              <w:t>2025 CSR 5.7</w:t>
            </w:r>
          </w:p>
        </w:tc>
        <w:tc>
          <w:tcPr>
            <w:tcW w:w="1643" w:type="dxa"/>
            <w:vAlign w:val="center"/>
            <w:hideMark/>
          </w:tcPr>
          <w:p w14:paraId="14BFD40C" w14:textId="77777777" w:rsidR="00FD4DF9" w:rsidRPr="00FD4DF9" w:rsidRDefault="00FD4DF9" w:rsidP="00FD4DF9">
            <w:pPr>
              <w:pStyle w:val="Tabletext"/>
              <w:rPr>
                <w:szCs w:val="23"/>
              </w:rPr>
            </w:pPr>
            <w:r w:rsidRPr="00FD4DF9">
              <w:rPr>
                <w:szCs w:val="23"/>
              </w:rPr>
              <w:t>Social and Economic resilience</w:t>
            </w:r>
          </w:p>
        </w:tc>
        <w:tc>
          <w:tcPr>
            <w:tcW w:w="1801" w:type="dxa"/>
            <w:vAlign w:val="center"/>
            <w:hideMark/>
          </w:tcPr>
          <w:p w14:paraId="1E369286" w14:textId="77777777" w:rsidR="00FD4DF9" w:rsidRPr="00FD4DF9" w:rsidRDefault="00FD4DF9" w:rsidP="00FD4DF9">
            <w:pPr>
              <w:pStyle w:val="Tabletext"/>
              <w:rPr>
                <w:szCs w:val="23"/>
              </w:rPr>
            </w:pPr>
            <w:r w:rsidRPr="00FD4DF9">
              <w:rPr>
                <w:szCs w:val="23"/>
              </w:rPr>
              <w:t>On track</w:t>
            </w:r>
          </w:p>
        </w:tc>
      </w:tr>
      <w:tr w:rsidR="00FD4DF9" w:rsidRPr="00FD4DF9" w14:paraId="50186CE3" w14:textId="77777777" w:rsidTr="00425017">
        <w:trPr>
          <w:trHeight w:val="170"/>
          <w:jc w:val="center"/>
        </w:trPr>
        <w:tc>
          <w:tcPr>
            <w:tcW w:w="3174" w:type="dxa"/>
            <w:vAlign w:val="center"/>
            <w:hideMark/>
          </w:tcPr>
          <w:p w14:paraId="468A2078" w14:textId="77777777" w:rsidR="00FD4DF9" w:rsidRPr="00FD4DF9" w:rsidRDefault="00540671" w:rsidP="00FD4DF9">
            <w:pPr>
              <w:pStyle w:val="Tabletext"/>
              <w:rPr>
                <w:szCs w:val="23"/>
              </w:rPr>
            </w:pPr>
            <w:r w:rsidRPr="00540671">
              <w:rPr>
                <w:b/>
                <w:szCs w:val="23"/>
              </w:rPr>
              <w:t>REFORM 2:</w:t>
            </w:r>
            <w:r w:rsidR="00FD4DF9" w:rsidRPr="00FD4DF9">
              <w:rPr>
                <w:szCs w:val="23"/>
              </w:rPr>
              <w:t xml:space="preserve"> Operation of day centers in Athens, Thessaloniki, Lesvos, Ioannina and Larissa for Unaccompanied Minors </w:t>
            </w:r>
          </w:p>
        </w:tc>
        <w:tc>
          <w:tcPr>
            <w:tcW w:w="913" w:type="dxa"/>
            <w:vAlign w:val="center"/>
            <w:hideMark/>
          </w:tcPr>
          <w:p w14:paraId="3C0C6686" w14:textId="77777777" w:rsidR="00FD4DF9" w:rsidRPr="00FD4DF9" w:rsidRDefault="00FD4DF9" w:rsidP="00FD4DF9">
            <w:pPr>
              <w:pStyle w:val="Tabletext"/>
              <w:rPr>
                <w:szCs w:val="23"/>
              </w:rPr>
            </w:pPr>
            <w:r w:rsidRPr="00FD4DF9">
              <w:rPr>
                <w:szCs w:val="23"/>
              </w:rPr>
              <w:t>MFF</w:t>
            </w:r>
          </w:p>
        </w:tc>
        <w:tc>
          <w:tcPr>
            <w:tcW w:w="1371" w:type="dxa"/>
            <w:tcBorders>
              <w:bottom w:val="single" w:sz="2" w:space="0" w:color="4F81BD" w:themeColor="accent1"/>
            </w:tcBorders>
            <w:vAlign w:val="center"/>
            <w:hideMark/>
          </w:tcPr>
          <w:p w14:paraId="42C5EEBB" w14:textId="77777777" w:rsidR="00FD4DF9" w:rsidRPr="00FD4DF9" w:rsidRDefault="00FD4DF9" w:rsidP="00FD4DF9">
            <w:pPr>
              <w:pStyle w:val="Tabletext"/>
              <w:rPr>
                <w:szCs w:val="23"/>
              </w:rPr>
            </w:pPr>
            <w:r w:rsidRPr="00FD4DF9">
              <w:rPr>
                <w:szCs w:val="23"/>
              </w:rPr>
              <w:t>2025 CSR 5.7</w:t>
            </w:r>
          </w:p>
        </w:tc>
        <w:tc>
          <w:tcPr>
            <w:tcW w:w="1643" w:type="dxa"/>
            <w:vAlign w:val="center"/>
            <w:hideMark/>
          </w:tcPr>
          <w:p w14:paraId="3E6463C9" w14:textId="77777777" w:rsidR="00FD4DF9" w:rsidRPr="00FD4DF9" w:rsidRDefault="00FD4DF9" w:rsidP="00FD4DF9">
            <w:pPr>
              <w:pStyle w:val="Tabletext"/>
              <w:rPr>
                <w:szCs w:val="23"/>
              </w:rPr>
            </w:pPr>
            <w:r w:rsidRPr="00FD4DF9">
              <w:rPr>
                <w:szCs w:val="23"/>
              </w:rPr>
              <w:t>Social and Economic resilience</w:t>
            </w:r>
          </w:p>
        </w:tc>
        <w:tc>
          <w:tcPr>
            <w:tcW w:w="1801" w:type="dxa"/>
            <w:vAlign w:val="center"/>
            <w:hideMark/>
          </w:tcPr>
          <w:p w14:paraId="2C54E66B" w14:textId="77777777" w:rsidR="00FD4DF9" w:rsidRPr="00FD4DF9" w:rsidRDefault="00FD4DF9" w:rsidP="00FD4DF9">
            <w:pPr>
              <w:pStyle w:val="Tabletext"/>
              <w:rPr>
                <w:szCs w:val="23"/>
              </w:rPr>
            </w:pPr>
            <w:r w:rsidRPr="00FD4DF9">
              <w:rPr>
                <w:szCs w:val="23"/>
              </w:rPr>
              <w:t>On track</w:t>
            </w:r>
          </w:p>
        </w:tc>
      </w:tr>
      <w:tr w:rsidR="00FD4DF9" w:rsidRPr="00FD4DF9" w14:paraId="597C0C08" w14:textId="77777777" w:rsidTr="00425017">
        <w:trPr>
          <w:trHeight w:val="170"/>
          <w:jc w:val="center"/>
        </w:trPr>
        <w:tc>
          <w:tcPr>
            <w:tcW w:w="3174" w:type="dxa"/>
            <w:vMerge w:val="restart"/>
            <w:vAlign w:val="center"/>
            <w:hideMark/>
          </w:tcPr>
          <w:p w14:paraId="54162E62" w14:textId="77777777" w:rsidR="00FD4DF9" w:rsidRPr="00FD4DF9" w:rsidRDefault="00540671" w:rsidP="00FD4DF9">
            <w:pPr>
              <w:pStyle w:val="Tabletext"/>
              <w:rPr>
                <w:szCs w:val="23"/>
              </w:rPr>
            </w:pPr>
            <w:r w:rsidRPr="00540671">
              <w:rPr>
                <w:b/>
                <w:szCs w:val="23"/>
              </w:rPr>
              <w:t>REFORM 3:</w:t>
            </w:r>
            <w:r w:rsidR="00FD4DF9" w:rsidRPr="00FD4DF9">
              <w:rPr>
                <w:szCs w:val="23"/>
              </w:rPr>
              <w:t xml:space="preserve"> Social Integration of Former Unaccompanied Minors in Greece" (Helios Junior) </w:t>
            </w:r>
          </w:p>
        </w:tc>
        <w:tc>
          <w:tcPr>
            <w:tcW w:w="913" w:type="dxa"/>
            <w:vMerge w:val="restart"/>
            <w:vAlign w:val="center"/>
            <w:hideMark/>
          </w:tcPr>
          <w:p w14:paraId="71FE5159" w14:textId="77777777" w:rsidR="00FD4DF9" w:rsidRPr="00FD4DF9" w:rsidRDefault="00FD4DF9" w:rsidP="00FD4DF9">
            <w:pPr>
              <w:pStyle w:val="Tabletext"/>
              <w:rPr>
                <w:szCs w:val="23"/>
              </w:rPr>
            </w:pPr>
            <w:r w:rsidRPr="00FD4DF9">
              <w:rPr>
                <w:szCs w:val="23"/>
              </w:rPr>
              <w:t>MFF</w:t>
            </w:r>
          </w:p>
        </w:tc>
        <w:tc>
          <w:tcPr>
            <w:tcW w:w="1371" w:type="dxa"/>
            <w:tcBorders>
              <w:bottom w:val="nil"/>
            </w:tcBorders>
            <w:vAlign w:val="center"/>
            <w:hideMark/>
          </w:tcPr>
          <w:p w14:paraId="4483A4D0" w14:textId="77777777" w:rsidR="00FD4DF9" w:rsidRPr="00FD4DF9" w:rsidRDefault="00FD4DF9" w:rsidP="00FD4DF9">
            <w:pPr>
              <w:pStyle w:val="Tabletext"/>
              <w:rPr>
                <w:szCs w:val="23"/>
              </w:rPr>
            </w:pPr>
            <w:r w:rsidRPr="00FD4DF9">
              <w:rPr>
                <w:szCs w:val="23"/>
              </w:rPr>
              <w:t>2025 CSR 5.1 2025 CSR 5.7     2020 CSR 3.8</w:t>
            </w:r>
          </w:p>
        </w:tc>
        <w:tc>
          <w:tcPr>
            <w:tcW w:w="1643" w:type="dxa"/>
            <w:vMerge w:val="restart"/>
            <w:vAlign w:val="center"/>
            <w:hideMark/>
          </w:tcPr>
          <w:p w14:paraId="0956A58B" w14:textId="77777777" w:rsidR="00FD4DF9" w:rsidRPr="00FD4DF9" w:rsidRDefault="00FD4DF9" w:rsidP="00FD4DF9">
            <w:pPr>
              <w:pStyle w:val="Tabletext"/>
              <w:rPr>
                <w:szCs w:val="23"/>
              </w:rPr>
            </w:pPr>
            <w:r w:rsidRPr="00FD4DF9">
              <w:rPr>
                <w:szCs w:val="23"/>
              </w:rPr>
              <w:t>Social and Economic resilience</w:t>
            </w:r>
          </w:p>
        </w:tc>
        <w:tc>
          <w:tcPr>
            <w:tcW w:w="1801" w:type="dxa"/>
            <w:vMerge w:val="restart"/>
            <w:vAlign w:val="center"/>
            <w:hideMark/>
          </w:tcPr>
          <w:p w14:paraId="5C198123" w14:textId="77777777" w:rsidR="00FD4DF9" w:rsidRPr="00FD4DF9" w:rsidRDefault="00FD4DF9" w:rsidP="00FD4DF9">
            <w:pPr>
              <w:pStyle w:val="Tabletext"/>
              <w:rPr>
                <w:szCs w:val="23"/>
              </w:rPr>
            </w:pPr>
            <w:r w:rsidRPr="00FD4DF9">
              <w:rPr>
                <w:szCs w:val="23"/>
              </w:rPr>
              <w:t>On track</w:t>
            </w:r>
          </w:p>
        </w:tc>
      </w:tr>
      <w:tr w:rsidR="00C91BE7" w:rsidRPr="00FD4DF9" w14:paraId="17889174" w14:textId="77777777" w:rsidTr="00425017">
        <w:trPr>
          <w:trHeight w:val="170"/>
          <w:jc w:val="center"/>
        </w:trPr>
        <w:tc>
          <w:tcPr>
            <w:tcW w:w="3174" w:type="dxa"/>
            <w:vMerge/>
            <w:vAlign w:val="center"/>
            <w:hideMark/>
          </w:tcPr>
          <w:p w14:paraId="06E67377" w14:textId="77777777" w:rsidR="00FD4DF9" w:rsidRPr="00FD4DF9" w:rsidRDefault="00FD4DF9" w:rsidP="00FD4DF9">
            <w:pPr>
              <w:pStyle w:val="Tabletext"/>
              <w:rPr>
                <w:szCs w:val="23"/>
              </w:rPr>
            </w:pPr>
          </w:p>
        </w:tc>
        <w:tc>
          <w:tcPr>
            <w:tcW w:w="913" w:type="dxa"/>
            <w:vMerge/>
            <w:vAlign w:val="center"/>
            <w:hideMark/>
          </w:tcPr>
          <w:p w14:paraId="51E84690" w14:textId="77777777" w:rsidR="00FD4DF9" w:rsidRPr="00FD4DF9" w:rsidRDefault="00FD4DF9" w:rsidP="00FD4DF9">
            <w:pPr>
              <w:pStyle w:val="Tabletext"/>
              <w:rPr>
                <w:szCs w:val="23"/>
              </w:rPr>
            </w:pPr>
          </w:p>
        </w:tc>
        <w:tc>
          <w:tcPr>
            <w:tcW w:w="1371" w:type="dxa"/>
            <w:tcBorders>
              <w:top w:val="nil"/>
            </w:tcBorders>
            <w:vAlign w:val="center"/>
            <w:hideMark/>
          </w:tcPr>
          <w:p w14:paraId="56E7F434" w14:textId="77777777" w:rsidR="00FD4DF9" w:rsidRPr="00FD4DF9" w:rsidRDefault="00FD4DF9" w:rsidP="00FD4DF9">
            <w:pPr>
              <w:pStyle w:val="Tabletext"/>
              <w:rPr>
                <w:szCs w:val="23"/>
              </w:rPr>
            </w:pPr>
            <w:r w:rsidRPr="00FD4DF9">
              <w:rPr>
                <w:szCs w:val="23"/>
              </w:rPr>
              <w:t>2019 CSR 2.6</w:t>
            </w:r>
          </w:p>
        </w:tc>
        <w:tc>
          <w:tcPr>
            <w:tcW w:w="1643" w:type="dxa"/>
            <w:vMerge/>
            <w:vAlign w:val="center"/>
            <w:hideMark/>
          </w:tcPr>
          <w:p w14:paraId="1B904C54" w14:textId="77777777" w:rsidR="00FD4DF9" w:rsidRPr="00FD4DF9" w:rsidRDefault="00FD4DF9" w:rsidP="00FD4DF9">
            <w:pPr>
              <w:pStyle w:val="Tabletext"/>
              <w:rPr>
                <w:szCs w:val="23"/>
              </w:rPr>
            </w:pPr>
          </w:p>
        </w:tc>
        <w:tc>
          <w:tcPr>
            <w:tcW w:w="1801" w:type="dxa"/>
            <w:vMerge/>
            <w:vAlign w:val="center"/>
            <w:hideMark/>
          </w:tcPr>
          <w:p w14:paraId="09CCF967" w14:textId="77777777" w:rsidR="00FD4DF9" w:rsidRPr="00FD4DF9" w:rsidRDefault="00FD4DF9" w:rsidP="00FD4DF9">
            <w:pPr>
              <w:pStyle w:val="Tabletext"/>
              <w:rPr>
                <w:szCs w:val="23"/>
              </w:rPr>
            </w:pPr>
          </w:p>
        </w:tc>
      </w:tr>
      <w:tr w:rsidR="00FD4DF9" w:rsidRPr="00FD4DF9" w14:paraId="03E0B09B" w14:textId="77777777" w:rsidTr="00425017">
        <w:trPr>
          <w:trHeight w:val="170"/>
          <w:jc w:val="center"/>
        </w:trPr>
        <w:tc>
          <w:tcPr>
            <w:tcW w:w="3174" w:type="dxa"/>
            <w:vAlign w:val="center"/>
            <w:hideMark/>
          </w:tcPr>
          <w:p w14:paraId="6D40C8FC" w14:textId="77777777" w:rsidR="00FD4DF9" w:rsidRPr="00FD4DF9" w:rsidRDefault="00540671" w:rsidP="00FD4DF9">
            <w:pPr>
              <w:pStyle w:val="Tabletext"/>
              <w:rPr>
                <w:szCs w:val="23"/>
              </w:rPr>
            </w:pPr>
            <w:r w:rsidRPr="00540671">
              <w:rPr>
                <w:b/>
                <w:szCs w:val="23"/>
              </w:rPr>
              <w:t>REFORM 4:</w:t>
            </w:r>
            <w:r w:rsidR="00FD4DF9" w:rsidRPr="00FD4DF9">
              <w:rPr>
                <w:szCs w:val="23"/>
              </w:rPr>
              <w:t xml:space="preserve"> Strengthening the implementation of the National Strategy for the Protection of Unaccompanied Minors (PYXIDA) </w:t>
            </w:r>
          </w:p>
        </w:tc>
        <w:tc>
          <w:tcPr>
            <w:tcW w:w="913" w:type="dxa"/>
            <w:vAlign w:val="center"/>
            <w:hideMark/>
          </w:tcPr>
          <w:p w14:paraId="696B4E13" w14:textId="77777777" w:rsidR="00FD4DF9" w:rsidRPr="00FD4DF9" w:rsidRDefault="00FD4DF9" w:rsidP="00FD4DF9">
            <w:pPr>
              <w:pStyle w:val="Tabletext"/>
              <w:rPr>
                <w:szCs w:val="23"/>
              </w:rPr>
            </w:pPr>
            <w:r w:rsidRPr="00FD4DF9">
              <w:rPr>
                <w:szCs w:val="23"/>
              </w:rPr>
              <w:t>MFF</w:t>
            </w:r>
          </w:p>
        </w:tc>
        <w:tc>
          <w:tcPr>
            <w:tcW w:w="1371" w:type="dxa"/>
            <w:tcBorders>
              <w:bottom w:val="single" w:sz="2" w:space="0" w:color="4F81BD" w:themeColor="accent1"/>
            </w:tcBorders>
            <w:vAlign w:val="center"/>
            <w:hideMark/>
          </w:tcPr>
          <w:p w14:paraId="549F29B5" w14:textId="77777777" w:rsidR="00FD4DF9" w:rsidRPr="00FD4DF9" w:rsidRDefault="00FD4DF9" w:rsidP="00FD4DF9">
            <w:pPr>
              <w:pStyle w:val="Tabletext"/>
              <w:rPr>
                <w:szCs w:val="23"/>
              </w:rPr>
            </w:pPr>
            <w:r w:rsidRPr="00FD4DF9">
              <w:rPr>
                <w:szCs w:val="23"/>
              </w:rPr>
              <w:t>2025 CSR 5.7</w:t>
            </w:r>
          </w:p>
        </w:tc>
        <w:tc>
          <w:tcPr>
            <w:tcW w:w="1643" w:type="dxa"/>
            <w:vAlign w:val="center"/>
            <w:hideMark/>
          </w:tcPr>
          <w:p w14:paraId="790FF9CA" w14:textId="77777777" w:rsidR="00FD4DF9" w:rsidRPr="00FD4DF9" w:rsidRDefault="00FD4DF9" w:rsidP="00FD4DF9">
            <w:pPr>
              <w:pStyle w:val="Tabletext"/>
              <w:rPr>
                <w:szCs w:val="23"/>
              </w:rPr>
            </w:pPr>
            <w:r w:rsidRPr="00FD4DF9">
              <w:rPr>
                <w:szCs w:val="23"/>
              </w:rPr>
              <w:t>Social and Economic resilience</w:t>
            </w:r>
          </w:p>
        </w:tc>
        <w:tc>
          <w:tcPr>
            <w:tcW w:w="1801" w:type="dxa"/>
            <w:vAlign w:val="center"/>
            <w:hideMark/>
          </w:tcPr>
          <w:p w14:paraId="74EEAFF1" w14:textId="77777777" w:rsidR="00FD4DF9" w:rsidRPr="00FD4DF9" w:rsidRDefault="00FD4DF9" w:rsidP="00FD4DF9">
            <w:pPr>
              <w:pStyle w:val="Tabletext"/>
              <w:rPr>
                <w:szCs w:val="23"/>
              </w:rPr>
            </w:pPr>
            <w:r w:rsidRPr="00FD4DF9">
              <w:rPr>
                <w:szCs w:val="23"/>
              </w:rPr>
              <w:t>On track</w:t>
            </w:r>
          </w:p>
        </w:tc>
      </w:tr>
      <w:tr w:rsidR="00FD4DF9" w:rsidRPr="00FD4DF9" w14:paraId="0EE2DDB2" w14:textId="77777777" w:rsidTr="00425017">
        <w:trPr>
          <w:trHeight w:val="170"/>
          <w:jc w:val="center"/>
        </w:trPr>
        <w:tc>
          <w:tcPr>
            <w:tcW w:w="3174" w:type="dxa"/>
            <w:vMerge w:val="restart"/>
            <w:vAlign w:val="center"/>
            <w:hideMark/>
          </w:tcPr>
          <w:p w14:paraId="5DE3EE1E" w14:textId="77777777" w:rsidR="00FD4DF9" w:rsidRPr="00FD4DF9" w:rsidRDefault="00540671" w:rsidP="00FD4DF9">
            <w:pPr>
              <w:pStyle w:val="Tabletext"/>
              <w:rPr>
                <w:szCs w:val="23"/>
              </w:rPr>
            </w:pPr>
            <w:r w:rsidRPr="00540671">
              <w:rPr>
                <w:b/>
                <w:szCs w:val="23"/>
              </w:rPr>
              <w:t>REFORM 5:</w:t>
            </w:r>
            <w:r w:rsidR="00FD4DF9" w:rsidRPr="00FD4DF9">
              <w:rPr>
                <w:szCs w:val="23"/>
              </w:rPr>
              <w:t xml:space="preserve"> Provision of primary medical health services, epidemiological surveillance and psychosocial services to asylum seekers -Programme “Hippocrates” (I,II)</w:t>
            </w:r>
          </w:p>
        </w:tc>
        <w:tc>
          <w:tcPr>
            <w:tcW w:w="913" w:type="dxa"/>
            <w:vMerge w:val="restart"/>
            <w:vAlign w:val="center"/>
            <w:hideMark/>
          </w:tcPr>
          <w:p w14:paraId="0C32DD80" w14:textId="77777777" w:rsidR="00FD4DF9" w:rsidRPr="00FD4DF9" w:rsidRDefault="00FD4DF9" w:rsidP="00FD4DF9">
            <w:pPr>
              <w:pStyle w:val="Tabletext"/>
              <w:rPr>
                <w:szCs w:val="23"/>
              </w:rPr>
            </w:pPr>
            <w:r w:rsidRPr="00FD4DF9">
              <w:rPr>
                <w:szCs w:val="23"/>
              </w:rPr>
              <w:t>MFF</w:t>
            </w:r>
          </w:p>
        </w:tc>
        <w:tc>
          <w:tcPr>
            <w:tcW w:w="1371" w:type="dxa"/>
            <w:tcBorders>
              <w:bottom w:val="nil"/>
            </w:tcBorders>
            <w:vAlign w:val="center"/>
            <w:hideMark/>
          </w:tcPr>
          <w:p w14:paraId="166840DC" w14:textId="77777777" w:rsidR="00FD4DF9" w:rsidRPr="00FD4DF9" w:rsidRDefault="00FD4DF9" w:rsidP="00FD4DF9">
            <w:pPr>
              <w:pStyle w:val="Tabletext"/>
              <w:rPr>
                <w:szCs w:val="23"/>
              </w:rPr>
            </w:pPr>
            <w:r w:rsidRPr="00FD4DF9">
              <w:rPr>
                <w:szCs w:val="23"/>
              </w:rPr>
              <w:t>2025 CSR 5.7 2020 CSR 1.3</w:t>
            </w:r>
          </w:p>
        </w:tc>
        <w:tc>
          <w:tcPr>
            <w:tcW w:w="1643" w:type="dxa"/>
            <w:vMerge w:val="restart"/>
            <w:vAlign w:val="center"/>
            <w:hideMark/>
          </w:tcPr>
          <w:p w14:paraId="388CE4BB" w14:textId="77777777" w:rsidR="00FD4DF9" w:rsidRPr="00FD4DF9" w:rsidRDefault="00FD4DF9" w:rsidP="00FD4DF9">
            <w:pPr>
              <w:pStyle w:val="Tabletext"/>
              <w:rPr>
                <w:szCs w:val="23"/>
              </w:rPr>
            </w:pPr>
            <w:r w:rsidRPr="00FD4DF9">
              <w:rPr>
                <w:szCs w:val="23"/>
              </w:rPr>
              <w:t>Social and Economic resilience</w:t>
            </w:r>
          </w:p>
        </w:tc>
        <w:tc>
          <w:tcPr>
            <w:tcW w:w="1801" w:type="dxa"/>
            <w:vMerge w:val="restart"/>
            <w:vAlign w:val="center"/>
            <w:hideMark/>
          </w:tcPr>
          <w:p w14:paraId="102FA53D" w14:textId="77777777" w:rsidR="00FD4DF9" w:rsidRPr="00FD4DF9" w:rsidRDefault="00FD4DF9" w:rsidP="00FD4DF9">
            <w:pPr>
              <w:pStyle w:val="Tabletext"/>
              <w:rPr>
                <w:szCs w:val="23"/>
              </w:rPr>
            </w:pPr>
            <w:r w:rsidRPr="00FD4DF9">
              <w:rPr>
                <w:szCs w:val="23"/>
              </w:rPr>
              <w:t>On track</w:t>
            </w:r>
          </w:p>
        </w:tc>
      </w:tr>
      <w:tr w:rsidR="00FD4DF9" w:rsidRPr="00FD4DF9" w14:paraId="1D72FBA5" w14:textId="77777777" w:rsidTr="00425017">
        <w:trPr>
          <w:trHeight w:val="170"/>
          <w:jc w:val="center"/>
        </w:trPr>
        <w:tc>
          <w:tcPr>
            <w:tcW w:w="3174" w:type="dxa"/>
            <w:vMerge/>
            <w:vAlign w:val="center"/>
            <w:hideMark/>
          </w:tcPr>
          <w:p w14:paraId="305FA28C" w14:textId="77777777" w:rsidR="00FD4DF9" w:rsidRPr="00FD4DF9" w:rsidRDefault="00FD4DF9" w:rsidP="00FD4DF9">
            <w:pPr>
              <w:pStyle w:val="Tabletext"/>
              <w:rPr>
                <w:szCs w:val="23"/>
              </w:rPr>
            </w:pPr>
          </w:p>
        </w:tc>
        <w:tc>
          <w:tcPr>
            <w:tcW w:w="913" w:type="dxa"/>
            <w:vMerge/>
            <w:vAlign w:val="center"/>
            <w:hideMark/>
          </w:tcPr>
          <w:p w14:paraId="5FEBA721" w14:textId="77777777" w:rsidR="00FD4DF9" w:rsidRPr="00FD4DF9" w:rsidRDefault="00FD4DF9" w:rsidP="00FD4DF9">
            <w:pPr>
              <w:pStyle w:val="Tabletext"/>
              <w:rPr>
                <w:szCs w:val="23"/>
              </w:rPr>
            </w:pPr>
          </w:p>
        </w:tc>
        <w:tc>
          <w:tcPr>
            <w:tcW w:w="1371" w:type="dxa"/>
            <w:tcBorders>
              <w:top w:val="nil"/>
              <w:bottom w:val="single" w:sz="2" w:space="0" w:color="4F81BD" w:themeColor="accent1"/>
            </w:tcBorders>
            <w:vAlign w:val="center"/>
            <w:hideMark/>
          </w:tcPr>
          <w:p w14:paraId="6E7787C2" w14:textId="77777777" w:rsidR="00FD4DF9" w:rsidRPr="00FD4DF9" w:rsidRDefault="00FD4DF9" w:rsidP="00FD4DF9">
            <w:pPr>
              <w:pStyle w:val="Tabletext"/>
              <w:rPr>
                <w:szCs w:val="23"/>
              </w:rPr>
            </w:pPr>
            <w:r w:rsidRPr="00FD4DF9">
              <w:rPr>
                <w:szCs w:val="23"/>
              </w:rPr>
              <w:t>2019 CSR 2.8</w:t>
            </w:r>
          </w:p>
        </w:tc>
        <w:tc>
          <w:tcPr>
            <w:tcW w:w="1643" w:type="dxa"/>
            <w:vMerge/>
            <w:vAlign w:val="center"/>
            <w:hideMark/>
          </w:tcPr>
          <w:p w14:paraId="7AA01775" w14:textId="77777777" w:rsidR="00FD4DF9" w:rsidRPr="00FD4DF9" w:rsidRDefault="00FD4DF9" w:rsidP="00FD4DF9">
            <w:pPr>
              <w:pStyle w:val="Tabletext"/>
              <w:rPr>
                <w:szCs w:val="23"/>
              </w:rPr>
            </w:pPr>
          </w:p>
        </w:tc>
        <w:tc>
          <w:tcPr>
            <w:tcW w:w="1801" w:type="dxa"/>
            <w:vMerge/>
            <w:vAlign w:val="center"/>
            <w:hideMark/>
          </w:tcPr>
          <w:p w14:paraId="6AB0D89D" w14:textId="77777777" w:rsidR="00FD4DF9" w:rsidRPr="00FD4DF9" w:rsidRDefault="00FD4DF9" w:rsidP="00FD4DF9">
            <w:pPr>
              <w:pStyle w:val="Tabletext"/>
              <w:rPr>
                <w:szCs w:val="23"/>
              </w:rPr>
            </w:pPr>
          </w:p>
        </w:tc>
      </w:tr>
      <w:tr w:rsidR="00FD4DF9" w:rsidRPr="00FD4DF9" w14:paraId="1E3C7DF1" w14:textId="77777777" w:rsidTr="00425017">
        <w:trPr>
          <w:trHeight w:val="170"/>
          <w:jc w:val="center"/>
        </w:trPr>
        <w:tc>
          <w:tcPr>
            <w:tcW w:w="3174" w:type="dxa"/>
            <w:vMerge w:val="restart"/>
            <w:vAlign w:val="center"/>
            <w:hideMark/>
          </w:tcPr>
          <w:p w14:paraId="5F2C9F0A" w14:textId="77777777" w:rsidR="00FD4DF9" w:rsidRPr="00FD4DF9" w:rsidRDefault="00540671" w:rsidP="00FD4DF9">
            <w:pPr>
              <w:pStyle w:val="Tabletext"/>
              <w:rPr>
                <w:szCs w:val="23"/>
              </w:rPr>
            </w:pPr>
            <w:r w:rsidRPr="00540671">
              <w:rPr>
                <w:b/>
                <w:szCs w:val="23"/>
              </w:rPr>
              <w:t>REFORM 6:</w:t>
            </w:r>
            <w:r w:rsidR="00FD4DF9" w:rsidRPr="00FD4DF9">
              <w:rPr>
                <w:szCs w:val="23"/>
              </w:rPr>
              <w:t xml:space="preserve"> Promote integration of the refugee population into the labor market </w:t>
            </w:r>
          </w:p>
        </w:tc>
        <w:tc>
          <w:tcPr>
            <w:tcW w:w="913" w:type="dxa"/>
            <w:vMerge w:val="restart"/>
            <w:vAlign w:val="center"/>
            <w:hideMark/>
          </w:tcPr>
          <w:p w14:paraId="4DDE2204" w14:textId="77777777" w:rsidR="00FD4DF9" w:rsidRPr="00FD4DF9" w:rsidRDefault="00FD4DF9" w:rsidP="00FD4DF9">
            <w:pPr>
              <w:pStyle w:val="Tabletext"/>
              <w:rPr>
                <w:szCs w:val="23"/>
              </w:rPr>
            </w:pPr>
            <w:r w:rsidRPr="00FD4DF9">
              <w:rPr>
                <w:szCs w:val="23"/>
              </w:rPr>
              <w:t>RRF 16688</w:t>
            </w:r>
          </w:p>
        </w:tc>
        <w:tc>
          <w:tcPr>
            <w:tcW w:w="1371" w:type="dxa"/>
            <w:tcBorders>
              <w:bottom w:val="nil"/>
            </w:tcBorders>
            <w:vAlign w:val="center"/>
            <w:hideMark/>
          </w:tcPr>
          <w:p w14:paraId="5DCBD60F" w14:textId="77777777" w:rsidR="00FD4DF9" w:rsidRPr="00FD4DF9" w:rsidRDefault="00FD4DF9" w:rsidP="00FD4DF9">
            <w:pPr>
              <w:pStyle w:val="Tabletext"/>
              <w:rPr>
                <w:szCs w:val="23"/>
              </w:rPr>
            </w:pPr>
            <w:r w:rsidRPr="00FD4DF9">
              <w:rPr>
                <w:szCs w:val="23"/>
              </w:rPr>
              <w:t>2025 CSR 5.1 2025 CSR 5.4  2024 CSR 1.7 2020 CSR 2.1   2020 CSR 2.2                 2020 CSR 3.8</w:t>
            </w:r>
          </w:p>
        </w:tc>
        <w:tc>
          <w:tcPr>
            <w:tcW w:w="1643" w:type="dxa"/>
            <w:vMerge w:val="restart"/>
            <w:vAlign w:val="center"/>
            <w:hideMark/>
          </w:tcPr>
          <w:p w14:paraId="6FDFD8C9" w14:textId="77777777" w:rsidR="00FD4DF9" w:rsidRPr="00FD4DF9" w:rsidRDefault="00FD4DF9" w:rsidP="00FD4DF9">
            <w:pPr>
              <w:pStyle w:val="Tabletext"/>
              <w:rPr>
                <w:szCs w:val="23"/>
              </w:rPr>
            </w:pPr>
            <w:r w:rsidRPr="00FD4DF9">
              <w:rPr>
                <w:szCs w:val="23"/>
              </w:rPr>
              <w:t>Social and Economic resilience</w:t>
            </w:r>
          </w:p>
        </w:tc>
        <w:tc>
          <w:tcPr>
            <w:tcW w:w="1801" w:type="dxa"/>
            <w:vMerge w:val="restart"/>
            <w:vAlign w:val="center"/>
            <w:hideMark/>
          </w:tcPr>
          <w:p w14:paraId="798C80F7" w14:textId="77777777" w:rsidR="00FD4DF9" w:rsidRPr="00FD4DF9" w:rsidRDefault="00FD4DF9" w:rsidP="00FD4DF9">
            <w:pPr>
              <w:pStyle w:val="Tabletext"/>
              <w:rPr>
                <w:szCs w:val="23"/>
              </w:rPr>
            </w:pPr>
            <w:r w:rsidRPr="00FD4DF9">
              <w:rPr>
                <w:szCs w:val="23"/>
              </w:rPr>
              <w:t>Delayed</w:t>
            </w:r>
          </w:p>
        </w:tc>
      </w:tr>
      <w:tr w:rsidR="00C91BE7" w:rsidRPr="00FD4DF9" w14:paraId="1C035136" w14:textId="77777777" w:rsidTr="00425017">
        <w:trPr>
          <w:trHeight w:val="170"/>
          <w:jc w:val="center"/>
        </w:trPr>
        <w:tc>
          <w:tcPr>
            <w:tcW w:w="3174" w:type="dxa"/>
            <w:vMerge/>
            <w:vAlign w:val="center"/>
            <w:hideMark/>
          </w:tcPr>
          <w:p w14:paraId="11B843EC" w14:textId="77777777" w:rsidR="00FD4DF9" w:rsidRPr="00FD4DF9" w:rsidRDefault="00FD4DF9" w:rsidP="00FD4DF9">
            <w:pPr>
              <w:pStyle w:val="Tabletext"/>
              <w:rPr>
                <w:szCs w:val="23"/>
              </w:rPr>
            </w:pPr>
          </w:p>
        </w:tc>
        <w:tc>
          <w:tcPr>
            <w:tcW w:w="913" w:type="dxa"/>
            <w:vMerge/>
            <w:vAlign w:val="center"/>
            <w:hideMark/>
          </w:tcPr>
          <w:p w14:paraId="65125F24" w14:textId="77777777" w:rsidR="00FD4DF9" w:rsidRPr="00FD4DF9" w:rsidRDefault="00FD4DF9" w:rsidP="00FD4DF9">
            <w:pPr>
              <w:pStyle w:val="Tabletext"/>
              <w:rPr>
                <w:szCs w:val="23"/>
              </w:rPr>
            </w:pPr>
          </w:p>
        </w:tc>
        <w:tc>
          <w:tcPr>
            <w:tcW w:w="1371" w:type="dxa"/>
            <w:tcBorders>
              <w:top w:val="nil"/>
              <w:bottom w:val="nil"/>
            </w:tcBorders>
            <w:vAlign w:val="center"/>
            <w:hideMark/>
          </w:tcPr>
          <w:p w14:paraId="0CD8E0F1" w14:textId="77777777" w:rsidR="00FD4DF9" w:rsidRPr="00FD4DF9" w:rsidRDefault="00FD4DF9" w:rsidP="00FD4DF9">
            <w:pPr>
              <w:pStyle w:val="Tabletext"/>
              <w:rPr>
                <w:szCs w:val="23"/>
              </w:rPr>
            </w:pPr>
            <w:r w:rsidRPr="00FD4DF9">
              <w:rPr>
                <w:szCs w:val="23"/>
              </w:rPr>
              <w:t>2019 CSR 2.5</w:t>
            </w:r>
          </w:p>
        </w:tc>
        <w:tc>
          <w:tcPr>
            <w:tcW w:w="1643" w:type="dxa"/>
            <w:vMerge/>
            <w:vAlign w:val="center"/>
            <w:hideMark/>
          </w:tcPr>
          <w:p w14:paraId="773A3080" w14:textId="77777777" w:rsidR="00FD4DF9" w:rsidRPr="00FD4DF9" w:rsidRDefault="00FD4DF9" w:rsidP="00FD4DF9">
            <w:pPr>
              <w:pStyle w:val="Tabletext"/>
              <w:rPr>
                <w:szCs w:val="23"/>
              </w:rPr>
            </w:pPr>
          </w:p>
        </w:tc>
        <w:tc>
          <w:tcPr>
            <w:tcW w:w="1801" w:type="dxa"/>
            <w:vMerge/>
            <w:vAlign w:val="center"/>
            <w:hideMark/>
          </w:tcPr>
          <w:p w14:paraId="0E638C20" w14:textId="77777777" w:rsidR="00FD4DF9" w:rsidRPr="00FD4DF9" w:rsidRDefault="00FD4DF9" w:rsidP="00FD4DF9">
            <w:pPr>
              <w:pStyle w:val="Tabletext"/>
              <w:rPr>
                <w:szCs w:val="23"/>
              </w:rPr>
            </w:pPr>
          </w:p>
        </w:tc>
      </w:tr>
      <w:tr w:rsidR="00FD4DF9" w:rsidRPr="00FD4DF9" w14:paraId="37FAF966" w14:textId="77777777" w:rsidTr="00425017">
        <w:trPr>
          <w:trHeight w:val="170"/>
          <w:jc w:val="center"/>
        </w:trPr>
        <w:tc>
          <w:tcPr>
            <w:tcW w:w="3174" w:type="dxa"/>
            <w:vMerge/>
            <w:vAlign w:val="center"/>
            <w:hideMark/>
          </w:tcPr>
          <w:p w14:paraId="464F5730" w14:textId="77777777" w:rsidR="00FD4DF9" w:rsidRPr="00FD4DF9" w:rsidRDefault="00FD4DF9" w:rsidP="00FD4DF9">
            <w:pPr>
              <w:pStyle w:val="Tabletext"/>
              <w:rPr>
                <w:szCs w:val="23"/>
              </w:rPr>
            </w:pPr>
          </w:p>
        </w:tc>
        <w:tc>
          <w:tcPr>
            <w:tcW w:w="913" w:type="dxa"/>
            <w:vMerge/>
            <w:vAlign w:val="center"/>
            <w:hideMark/>
          </w:tcPr>
          <w:p w14:paraId="6CD0ACB8" w14:textId="77777777" w:rsidR="00FD4DF9" w:rsidRPr="00FD4DF9" w:rsidRDefault="00FD4DF9" w:rsidP="00FD4DF9">
            <w:pPr>
              <w:pStyle w:val="Tabletext"/>
              <w:rPr>
                <w:szCs w:val="23"/>
              </w:rPr>
            </w:pPr>
          </w:p>
        </w:tc>
        <w:tc>
          <w:tcPr>
            <w:tcW w:w="1371" w:type="dxa"/>
            <w:tcBorders>
              <w:top w:val="nil"/>
              <w:bottom w:val="nil"/>
            </w:tcBorders>
            <w:vAlign w:val="center"/>
            <w:hideMark/>
          </w:tcPr>
          <w:p w14:paraId="1C7EF858" w14:textId="77777777" w:rsidR="00FD4DF9" w:rsidRPr="00FD4DF9" w:rsidRDefault="00FD4DF9" w:rsidP="00FD4DF9">
            <w:pPr>
              <w:pStyle w:val="Tabletext"/>
              <w:rPr>
                <w:szCs w:val="23"/>
              </w:rPr>
            </w:pPr>
            <w:r w:rsidRPr="00FD4DF9">
              <w:rPr>
                <w:szCs w:val="23"/>
              </w:rPr>
              <w:t>2019 CSR 2.6</w:t>
            </w:r>
          </w:p>
        </w:tc>
        <w:tc>
          <w:tcPr>
            <w:tcW w:w="1643" w:type="dxa"/>
            <w:vMerge/>
            <w:vAlign w:val="center"/>
            <w:hideMark/>
          </w:tcPr>
          <w:p w14:paraId="4E0A1837" w14:textId="77777777" w:rsidR="00FD4DF9" w:rsidRPr="00FD4DF9" w:rsidRDefault="00FD4DF9" w:rsidP="00FD4DF9">
            <w:pPr>
              <w:pStyle w:val="Tabletext"/>
              <w:rPr>
                <w:szCs w:val="23"/>
              </w:rPr>
            </w:pPr>
          </w:p>
        </w:tc>
        <w:tc>
          <w:tcPr>
            <w:tcW w:w="1801" w:type="dxa"/>
            <w:vMerge/>
            <w:vAlign w:val="center"/>
            <w:hideMark/>
          </w:tcPr>
          <w:p w14:paraId="744FE46C" w14:textId="77777777" w:rsidR="00FD4DF9" w:rsidRPr="00FD4DF9" w:rsidRDefault="00FD4DF9" w:rsidP="00FD4DF9">
            <w:pPr>
              <w:pStyle w:val="Tabletext"/>
              <w:rPr>
                <w:szCs w:val="23"/>
              </w:rPr>
            </w:pPr>
          </w:p>
        </w:tc>
      </w:tr>
      <w:tr w:rsidR="00FD4DF9" w:rsidRPr="00FD4DF9" w14:paraId="7ADB0C64" w14:textId="77777777" w:rsidTr="00425017">
        <w:trPr>
          <w:trHeight w:val="170"/>
          <w:jc w:val="center"/>
        </w:trPr>
        <w:tc>
          <w:tcPr>
            <w:tcW w:w="3174" w:type="dxa"/>
            <w:vMerge/>
            <w:vAlign w:val="center"/>
            <w:hideMark/>
          </w:tcPr>
          <w:p w14:paraId="323E82C4" w14:textId="77777777" w:rsidR="00FD4DF9" w:rsidRPr="00FD4DF9" w:rsidRDefault="00FD4DF9" w:rsidP="00FD4DF9">
            <w:pPr>
              <w:pStyle w:val="Tabletext"/>
              <w:rPr>
                <w:szCs w:val="23"/>
              </w:rPr>
            </w:pPr>
          </w:p>
        </w:tc>
        <w:tc>
          <w:tcPr>
            <w:tcW w:w="913" w:type="dxa"/>
            <w:vMerge/>
            <w:vAlign w:val="center"/>
            <w:hideMark/>
          </w:tcPr>
          <w:p w14:paraId="232B6256" w14:textId="77777777" w:rsidR="00FD4DF9" w:rsidRPr="00FD4DF9" w:rsidRDefault="00FD4DF9" w:rsidP="00FD4DF9">
            <w:pPr>
              <w:pStyle w:val="Tabletext"/>
              <w:rPr>
                <w:szCs w:val="23"/>
              </w:rPr>
            </w:pPr>
          </w:p>
        </w:tc>
        <w:tc>
          <w:tcPr>
            <w:tcW w:w="1371" w:type="dxa"/>
            <w:tcBorders>
              <w:top w:val="nil"/>
              <w:bottom w:val="single" w:sz="2" w:space="0" w:color="4F81BD" w:themeColor="accent1"/>
            </w:tcBorders>
            <w:vAlign w:val="center"/>
            <w:hideMark/>
          </w:tcPr>
          <w:p w14:paraId="52683B82" w14:textId="77777777" w:rsidR="00FD4DF9" w:rsidRPr="00FD4DF9" w:rsidRDefault="00FD4DF9" w:rsidP="00FD4DF9">
            <w:pPr>
              <w:pStyle w:val="Tabletext"/>
              <w:rPr>
                <w:szCs w:val="23"/>
              </w:rPr>
            </w:pPr>
            <w:r w:rsidRPr="00FD4DF9">
              <w:rPr>
                <w:szCs w:val="23"/>
              </w:rPr>
              <w:t>2019 CSR 2.7</w:t>
            </w:r>
          </w:p>
        </w:tc>
        <w:tc>
          <w:tcPr>
            <w:tcW w:w="1643" w:type="dxa"/>
            <w:vMerge/>
            <w:vAlign w:val="center"/>
            <w:hideMark/>
          </w:tcPr>
          <w:p w14:paraId="03BFC1E6" w14:textId="77777777" w:rsidR="00FD4DF9" w:rsidRPr="00FD4DF9" w:rsidRDefault="00FD4DF9" w:rsidP="00FD4DF9">
            <w:pPr>
              <w:pStyle w:val="Tabletext"/>
              <w:rPr>
                <w:szCs w:val="23"/>
              </w:rPr>
            </w:pPr>
          </w:p>
        </w:tc>
        <w:tc>
          <w:tcPr>
            <w:tcW w:w="1801" w:type="dxa"/>
            <w:vMerge/>
            <w:vAlign w:val="center"/>
            <w:hideMark/>
          </w:tcPr>
          <w:p w14:paraId="6E7E3598" w14:textId="77777777" w:rsidR="00FD4DF9" w:rsidRPr="00FD4DF9" w:rsidRDefault="00FD4DF9" w:rsidP="00FD4DF9">
            <w:pPr>
              <w:pStyle w:val="Tabletext"/>
              <w:rPr>
                <w:szCs w:val="23"/>
              </w:rPr>
            </w:pPr>
          </w:p>
        </w:tc>
      </w:tr>
      <w:tr w:rsidR="00FD4DF9" w:rsidRPr="00FD4DF9" w14:paraId="14173A5A" w14:textId="77777777" w:rsidTr="00425017">
        <w:trPr>
          <w:trHeight w:val="170"/>
          <w:jc w:val="center"/>
        </w:trPr>
        <w:tc>
          <w:tcPr>
            <w:tcW w:w="3174" w:type="dxa"/>
            <w:vMerge w:val="restart"/>
            <w:vAlign w:val="center"/>
            <w:hideMark/>
          </w:tcPr>
          <w:p w14:paraId="4077420D" w14:textId="77777777" w:rsidR="00FD4DF9" w:rsidRPr="00FD4DF9" w:rsidRDefault="00540671" w:rsidP="00FD4DF9">
            <w:pPr>
              <w:pStyle w:val="Tabletext"/>
              <w:rPr>
                <w:szCs w:val="23"/>
              </w:rPr>
            </w:pPr>
            <w:r w:rsidRPr="00540671">
              <w:rPr>
                <w:b/>
                <w:szCs w:val="23"/>
              </w:rPr>
              <w:t>REFORM 7:</w:t>
            </w:r>
            <w:r w:rsidR="00FD4DF9" w:rsidRPr="00FD4DF9">
              <w:rPr>
                <w:szCs w:val="23"/>
              </w:rPr>
              <w:t xml:space="preserve"> Socio-economic integration project HELIOS+ for beneficiaries of international and temporary protection</w:t>
            </w:r>
          </w:p>
        </w:tc>
        <w:tc>
          <w:tcPr>
            <w:tcW w:w="913" w:type="dxa"/>
            <w:vMerge w:val="restart"/>
            <w:vAlign w:val="center"/>
            <w:hideMark/>
          </w:tcPr>
          <w:p w14:paraId="3A2DD1F4" w14:textId="77777777" w:rsidR="00FD4DF9" w:rsidRPr="00FD4DF9" w:rsidRDefault="00FD4DF9" w:rsidP="00FD4DF9">
            <w:pPr>
              <w:pStyle w:val="Tabletext"/>
              <w:rPr>
                <w:szCs w:val="23"/>
              </w:rPr>
            </w:pPr>
            <w:r w:rsidRPr="00FD4DF9">
              <w:rPr>
                <w:szCs w:val="23"/>
              </w:rPr>
              <w:t>MFF</w:t>
            </w:r>
          </w:p>
        </w:tc>
        <w:tc>
          <w:tcPr>
            <w:tcW w:w="1371" w:type="dxa"/>
            <w:tcBorders>
              <w:bottom w:val="nil"/>
            </w:tcBorders>
            <w:vAlign w:val="center"/>
            <w:hideMark/>
          </w:tcPr>
          <w:p w14:paraId="0ADC4055" w14:textId="77777777" w:rsidR="00FD4DF9" w:rsidRPr="00FD4DF9" w:rsidRDefault="00FD4DF9" w:rsidP="00FD4DF9">
            <w:pPr>
              <w:pStyle w:val="Tabletext"/>
              <w:rPr>
                <w:szCs w:val="23"/>
              </w:rPr>
            </w:pPr>
            <w:r w:rsidRPr="00FD4DF9">
              <w:rPr>
                <w:szCs w:val="23"/>
              </w:rPr>
              <w:t>2025 CSR 5.1 2024 CSR 3.1                   2020 CSR 3.8</w:t>
            </w:r>
          </w:p>
        </w:tc>
        <w:tc>
          <w:tcPr>
            <w:tcW w:w="1643" w:type="dxa"/>
            <w:vMerge w:val="restart"/>
            <w:vAlign w:val="center"/>
            <w:hideMark/>
          </w:tcPr>
          <w:p w14:paraId="3E9CA351" w14:textId="77777777" w:rsidR="00FD4DF9" w:rsidRPr="00FD4DF9" w:rsidRDefault="00FD4DF9" w:rsidP="00FD4DF9">
            <w:pPr>
              <w:pStyle w:val="Tabletext"/>
              <w:rPr>
                <w:szCs w:val="23"/>
              </w:rPr>
            </w:pPr>
            <w:r w:rsidRPr="00FD4DF9">
              <w:rPr>
                <w:szCs w:val="23"/>
              </w:rPr>
              <w:t>Social and Economic resilience</w:t>
            </w:r>
          </w:p>
        </w:tc>
        <w:tc>
          <w:tcPr>
            <w:tcW w:w="1801" w:type="dxa"/>
            <w:vMerge w:val="restart"/>
            <w:vAlign w:val="center"/>
            <w:hideMark/>
          </w:tcPr>
          <w:p w14:paraId="1A323B3C" w14:textId="77777777" w:rsidR="00FD4DF9" w:rsidRPr="00FD4DF9" w:rsidRDefault="00FD4DF9" w:rsidP="00FD4DF9">
            <w:pPr>
              <w:pStyle w:val="Tabletext"/>
              <w:rPr>
                <w:szCs w:val="23"/>
              </w:rPr>
            </w:pPr>
            <w:r w:rsidRPr="00FD4DF9">
              <w:rPr>
                <w:szCs w:val="23"/>
              </w:rPr>
              <w:t>On track</w:t>
            </w:r>
          </w:p>
        </w:tc>
      </w:tr>
      <w:tr w:rsidR="00C91BE7" w:rsidRPr="00FD4DF9" w14:paraId="48E144D5" w14:textId="77777777" w:rsidTr="00425017">
        <w:trPr>
          <w:trHeight w:val="170"/>
          <w:jc w:val="center"/>
        </w:trPr>
        <w:tc>
          <w:tcPr>
            <w:tcW w:w="3174" w:type="dxa"/>
            <w:vMerge/>
            <w:vAlign w:val="center"/>
            <w:hideMark/>
          </w:tcPr>
          <w:p w14:paraId="5A264218" w14:textId="77777777" w:rsidR="00FD4DF9" w:rsidRPr="00FD4DF9" w:rsidRDefault="00FD4DF9" w:rsidP="00FD4DF9">
            <w:pPr>
              <w:pStyle w:val="Tabletext"/>
              <w:rPr>
                <w:szCs w:val="23"/>
              </w:rPr>
            </w:pPr>
          </w:p>
        </w:tc>
        <w:tc>
          <w:tcPr>
            <w:tcW w:w="913" w:type="dxa"/>
            <w:vMerge/>
            <w:vAlign w:val="center"/>
            <w:hideMark/>
          </w:tcPr>
          <w:p w14:paraId="08C283CA" w14:textId="77777777" w:rsidR="00FD4DF9" w:rsidRPr="00FD4DF9" w:rsidRDefault="00FD4DF9" w:rsidP="00FD4DF9">
            <w:pPr>
              <w:pStyle w:val="Tabletext"/>
              <w:rPr>
                <w:szCs w:val="23"/>
              </w:rPr>
            </w:pPr>
          </w:p>
        </w:tc>
        <w:tc>
          <w:tcPr>
            <w:tcW w:w="1371" w:type="dxa"/>
            <w:tcBorders>
              <w:top w:val="nil"/>
              <w:bottom w:val="nil"/>
            </w:tcBorders>
            <w:vAlign w:val="center"/>
            <w:hideMark/>
          </w:tcPr>
          <w:p w14:paraId="29469388" w14:textId="77777777" w:rsidR="00FD4DF9" w:rsidRPr="00FD4DF9" w:rsidRDefault="00FD4DF9" w:rsidP="00FD4DF9">
            <w:pPr>
              <w:pStyle w:val="Tabletext"/>
              <w:rPr>
                <w:szCs w:val="23"/>
              </w:rPr>
            </w:pPr>
            <w:r w:rsidRPr="00FD4DF9">
              <w:rPr>
                <w:szCs w:val="23"/>
              </w:rPr>
              <w:t>2019 CSR 2.6</w:t>
            </w:r>
          </w:p>
        </w:tc>
        <w:tc>
          <w:tcPr>
            <w:tcW w:w="1643" w:type="dxa"/>
            <w:vMerge/>
            <w:vAlign w:val="center"/>
            <w:hideMark/>
          </w:tcPr>
          <w:p w14:paraId="13969643" w14:textId="77777777" w:rsidR="00FD4DF9" w:rsidRPr="00FD4DF9" w:rsidRDefault="00FD4DF9" w:rsidP="00FD4DF9">
            <w:pPr>
              <w:pStyle w:val="Tabletext"/>
              <w:rPr>
                <w:szCs w:val="23"/>
              </w:rPr>
            </w:pPr>
          </w:p>
        </w:tc>
        <w:tc>
          <w:tcPr>
            <w:tcW w:w="1801" w:type="dxa"/>
            <w:vMerge/>
            <w:vAlign w:val="center"/>
            <w:hideMark/>
          </w:tcPr>
          <w:p w14:paraId="130F3141" w14:textId="77777777" w:rsidR="00FD4DF9" w:rsidRPr="00FD4DF9" w:rsidRDefault="00FD4DF9" w:rsidP="00FD4DF9">
            <w:pPr>
              <w:pStyle w:val="Tabletext"/>
              <w:rPr>
                <w:szCs w:val="23"/>
              </w:rPr>
            </w:pPr>
          </w:p>
        </w:tc>
      </w:tr>
      <w:tr w:rsidR="00C91BE7" w:rsidRPr="00FD4DF9" w14:paraId="27835665" w14:textId="77777777" w:rsidTr="00425017">
        <w:trPr>
          <w:trHeight w:val="170"/>
          <w:jc w:val="center"/>
        </w:trPr>
        <w:tc>
          <w:tcPr>
            <w:tcW w:w="3174" w:type="dxa"/>
            <w:vMerge/>
            <w:vAlign w:val="center"/>
            <w:hideMark/>
          </w:tcPr>
          <w:p w14:paraId="051A7E64" w14:textId="77777777" w:rsidR="00FD4DF9" w:rsidRPr="00FD4DF9" w:rsidRDefault="00FD4DF9" w:rsidP="00FD4DF9">
            <w:pPr>
              <w:pStyle w:val="Tabletext"/>
              <w:rPr>
                <w:szCs w:val="23"/>
              </w:rPr>
            </w:pPr>
          </w:p>
        </w:tc>
        <w:tc>
          <w:tcPr>
            <w:tcW w:w="913" w:type="dxa"/>
            <w:vMerge/>
            <w:vAlign w:val="center"/>
            <w:hideMark/>
          </w:tcPr>
          <w:p w14:paraId="646F8217" w14:textId="77777777" w:rsidR="00FD4DF9" w:rsidRPr="00FD4DF9" w:rsidRDefault="00FD4DF9" w:rsidP="00FD4DF9">
            <w:pPr>
              <w:pStyle w:val="Tabletext"/>
              <w:rPr>
                <w:szCs w:val="23"/>
              </w:rPr>
            </w:pPr>
          </w:p>
        </w:tc>
        <w:tc>
          <w:tcPr>
            <w:tcW w:w="1371" w:type="dxa"/>
            <w:tcBorders>
              <w:top w:val="nil"/>
              <w:bottom w:val="single" w:sz="2" w:space="0" w:color="4F81BD" w:themeColor="accent1"/>
            </w:tcBorders>
            <w:vAlign w:val="center"/>
            <w:hideMark/>
          </w:tcPr>
          <w:p w14:paraId="24DE9C4D" w14:textId="77777777" w:rsidR="00FD4DF9" w:rsidRPr="00FD4DF9" w:rsidRDefault="00FD4DF9" w:rsidP="00FD4DF9">
            <w:pPr>
              <w:pStyle w:val="Tabletext"/>
              <w:rPr>
                <w:szCs w:val="23"/>
              </w:rPr>
            </w:pPr>
            <w:r w:rsidRPr="00FD4DF9">
              <w:rPr>
                <w:szCs w:val="23"/>
              </w:rPr>
              <w:t>2019 CSR 2.7</w:t>
            </w:r>
          </w:p>
        </w:tc>
        <w:tc>
          <w:tcPr>
            <w:tcW w:w="1643" w:type="dxa"/>
            <w:vMerge/>
            <w:vAlign w:val="center"/>
            <w:hideMark/>
          </w:tcPr>
          <w:p w14:paraId="0B1EF7B0" w14:textId="77777777" w:rsidR="00FD4DF9" w:rsidRPr="00FD4DF9" w:rsidRDefault="00FD4DF9" w:rsidP="00FD4DF9">
            <w:pPr>
              <w:pStyle w:val="Tabletext"/>
              <w:rPr>
                <w:szCs w:val="23"/>
              </w:rPr>
            </w:pPr>
          </w:p>
        </w:tc>
        <w:tc>
          <w:tcPr>
            <w:tcW w:w="1801" w:type="dxa"/>
            <w:vMerge/>
            <w:vAlign w:val="center"/>
            <w:hideMark/>
          </w:tcPr>
          <w:p w14:paraId="3E10D9E1" w14:textId="77777777" w:rsidR="00FD4DF9" w:rsidRPr="00FD4DF9" w:rsidRDefault="00FD4DF9" w:rsidP="00FD4DF9">
            <w:pPr>
              <w:pStyle w:val="Tabletext"/>
              <w:rPr>
                <w:szCs w:val="23"/>
              </w:rPr>
            </w:pPr>
          </w:p>
        </w:tc>
      </w:tr>
      <w:tr w:rsidR="00C91BE7" w:rsidRPr="00FD4DF9" w14:paraId="2FAE7B8A" w14:textId="77777777" w:rsidTr="00425017">
        <w:trPr>
          <w:trHeight w:val="170"/>
          <w:jc w:val="center"/>
        </w:trPr>
        <w:tc>
          <w:tcPr>
            <w:tcW w:w="3174" w:type="dxa"/>
            <w:vMerge w:val="restart"/>
            <w:vAlign w:val="center"/>
            <w:hideMark/>
          </w:tcPr>
          <w:p w14:paraId="7496295E" w14:textId="77777777" w:rsidR="00FD4DF9" w:rsidRPr="00FD4DF9" w:rsidRDefault="00540671" w:rsidP="00FD4DF9">
            <w:pPr>
              <w:pStyle w:val="Tabletext"/>
              <w:rPr>
                <w:szCs w:val="23"/>
              </w:rPr>
            </w:pPr>
            <w:r w:rsidRPr="00540671">
              <w:rPr>
                <w:b/>
                <w:szCs w:val="23"/>
              </w:rPr>
              <w:t>INVESTMENT 1:</w:t>
            </w:r>
            <w:r w:rsidR="00FD4DF9" w:rsidRPr="00FD4DF9">
              <w:rPr>
                <w:szCs w:val="23"/>
              </w:rPr>
              <w:t xml:space="preserve"> Digital Transformation of the Immigration and Asylum System including the digitalization of archives   </w:t>
            </w:r>
          </w:p>
        </w:tc>
        <w:tc>
          <w:tcPr>
            <w:tcW w:w="913" w:type="dxa"/>
            <w:vMerge w:val="restart"/>
            <w:vAlign w:val="center"/>
            <w:hideMark/>
          </w:tcPr>
          <w:p w14:paraId="3FBE02B2" w14:textId="77777777" w:rsidR="00FD4DF9" w:rsidRPr="00FD4DF9" w:rsidRDefault="00FD4DF9" w:rsidP="00FD4DF9">
            <w:pPr>
              <w:pStyle w:val="Tabletext"/>
              <w:rPr>
                <w:szCs w:val="23"/>
              </w:rPr>
            </w:pPr>
            <w:r w:rsidRPr="00FD4DF9">
              <w:rPr>
                <w:szCs w:val="23"/>
              </w:rPr>
              <w:t xml:space="preserve">RRF 16763, 16778 </w:t>
            </w:r>
          </w:p>
        </w:tc>
        <w:tc>
          <w:tcPr>
            <w:tcW w:w="1371" w:type="dxa"/>
            <w:tcBorders>
              <w:bottom w:val="nil"/>
            </w:tcBorders>
            <w:vAlign w:val="center"/>
            <w:hideMark/>
          </w:tcPr>
          <w:p w14:paraId="777A30C4" w14:textId="77777777" w:rsidR="00FD4DF9" w:rsidRPr="00FD4DF9" w:rsidRDefault="00FD4DF9" w:rsidP="00FD4DF9">
            <w:pPr>
              <w:pStyle w:val="Tabletext"/>
              <w:rPr>
                <w:szCs w:val="23"/>
              </w:rPr>
            </w:pPr>
            <w:r w:rsidRPr="00FD4DF9">
              <w:rPr>
                <w:szCs w:val="23"/>
              </w:rPr>
              <w:t>2024 CSR 1.7  2020 CSR 3.9</w:t>
            </w:r>
          </w:p>
        </w:tc>
        <w:tc>
          <w:tcPr>
            <w:tcW w:w="1643" w:type="dxa"/>
            <w:vMerge w:val="restart"/>
            <w:vAlign w:val="center"/>
            <w:hideMark/>
          </w:tcPr>
          <w:p w14:paraId="25ADC1B2" w14:textId="77777777" w:rsidR="00FD4DF9" w:rsidRPr="00FD4DF9" w:rsidRDefault="00FD4DF9" w:rsidP="00FD4DF9">
            <w:pPr>
              <w:pStyle w:val="Tabletext"/>
              <w:rPr>
                <w:szCs w:val="23"/>
              </w:rPr>
            </w:pPr>
            <w:r w:rsidRPr="00FD4DF9">
              <w:rPr>
                <w:szCs w:val="23"/>
              </w:rPr>
              <w:t>Fair green &amp; digital transition</w:t>
            </w:r>
          </w:p>
        </w:tc>
        <w:tc>
          <w:tcPr>
            <w:tcW w:w="1801" w:type="dxa"/>
            <w:vMerge w:val="restart"/>
            <w:vAlign w:val="center"/>
            <w:hideMark/>
          </w:tcPr>
          <w:p w14:paraId="15EC921F" w14:textId="77777777" w:rsidR="00FD4DF9" w:rsidRPr="00FD4DF9" w:rsidRDefault="00FD4DF9" w:rsidP="00FD4DF9">
            <w:pPr>
              <w:pStyle w:val="Tabletext"/>
              <w:rPr>
                <w:szCs w:val="23"/>
              </w:rPr>
            </w:pPr>
            <w:r w:rsidRPr="00FD4DF9">
              <w:rPr>
                <w:szCs w:val="23"/>
              </w:rPr>
              <w:t>On track</w:t>
            </w:r>
          </w:p>
        </w:tc>
      </w:tr>
      <w:tr w:rsidR="00C91BE7" w:rsidRPr="00FD4DF9" w14:paraId="7E6030B8" w14:textId="77777777" w:rsidTr="00425017">
        <w:trPr>
          <w:trHeight w:val="170"/>
          <w:jc w:val="center"/>
        </w:trPr>
        <w:tc>
          <w:tcPr>
            <w:tcW w:w="3174" w:type="dxa"/>
            <w:vMerge/>
            <w:vAlign w:val="center"/>
            <w:hideMark/>
          </w:tcPr>
          <w:p w14:paraId="53C63386" w14:textId="77777777" w:rsidR="00FD4DF9" w:rsidRPr="00FD4DF9" w:rsidRDefault="00FD4DF9" w:rsidP="00FD4DF9">
            <w:pPr>
              <w:pStyle w:val="Tabletext"/>
              <w:rPr>
                <w:szCs w:val="23"/>
              </w:rPr>
            </w:pPr>
          </w:p>
        </w:tc>
        <w:tc>
          <w:tcPr>
            <w:tcW w:w="913" w:type="dxa"/>
            <w:vMerge/>
            <w:vAlign w:val="center"/>
            <w:hideMark/>
          </w:tcPr>
          <w:p w14:paraId="75B38613" w14:textId="77777777" w:rsidR="00FD4DF9" w:rsidRPr="00FD4DF9" w:rsidRDefault="00FD4DF9" w:rsidP="00FD4DF9">
            <w:pPr>
              <w:pStyle w:val="Tabletext"/>
              <w:rPr>
                <w:szCs w:val="23"/>
              </w:rPr>
            </w:pPr>
          </w:p>
        </w:tc>
        <w:tc>
          <w:tcPr>
            <w:tcW w:w="1371" w:type="dxa"/>
            <w:tcBorders>
              <w:top w:val="nil"/>
            </w:tcBorders>
            <w:vAlign w:val="center"/>
            <w:hideMark/>
          </w:tcPr>
          <w:p w14:paraId="032B8469" w14:textId="77777777" w:rsidR="00FD4DF9" w:rsidRPr="00FD4DF9" w:rsidRDefault="00FD4DF9" w:rsidP="00FD4DF9">
            <w:pPr>
              <w:pStyle w:val="Tabletext"/>
              <w:rPr>
                <w:szCs w:val="23"/>
              </w:rPr>
            </w:pPr>
            <w:r w:rsidRPr="00FD4DF9">
              <w:rPr>
                <w:szCs w:val="23"/>
              </w:rPr>
              <w:t>2019 CSR 2.3</w:t>
            </w:r>
          </w:p>
        </w:tc>
        <w:tc>
          <w:tcPr>
            <w:tcW w:w="1643" w:type="dxa"/>
            <w:vMerge/>
            <w:vAlign w:val="center"/>
            <w:hideMark/>
          </w:tcPr>
          <w:p w14:paraId="37836D36" w14:textId="77777777" w:rsidR="00FD4DF9" w:rsidRPr="00FD4DF9" w:rsidRDefault="00FD4DF9" w:rsidP="00FD4DF9">
            <w:pPr>
              <w:pStyle w:val="Tabletext"/>
              <w:rPr>
                <w:szCs w:val="23"/>
              </w:rPr>
            </w:pPr>
          </w:p>
        </w:tc>
        <w:tc>
          <w:tcPr>
            <w:tcW w:w="1801" w:type="dxa"/>
            <w:vMerge/>
            <w:vAlign w:val="center"/>
            <w:hideMark/>
          </w:tcPr>
          <w:p w14:paraId="48018BE2" w14:textId="77777777" w:rsidR="00FD4DF9" w:rsidRPr="00FD4DF9" w:rsidRDefault="00FD4DF9" w:rsidP="00FD4DF9">
            <w:pPr>
              <w:pStyle w:val="Tabletext"/>
              <w:rPr>
                <w:szCs w:val="23"/>
              </w:rPr>
            </w:pPr>
          </w:p>
        </w:tc>
      </w:tr>
    </w:tbl>
    <w:p w14:paraId="4B39F7F5" w14:textId="77777777" w:rsidR="00451CC2" w:rsidRPr="00A746D8" w:rsidRDefault="00451CC2" w:rsidP="00425017">
      <w:pPr>
        <w:spacing w:before="240" w:after="180"/>
        <w:rPr>
          <w:rFonts w:eastAsia="Calibri"/>
          <w:lang w:val="en-US"/>
        </w:rPr>
      </w:pPr>
      <w:r w:rsidRPr="00A746D8">
        <w:rPr>
          <w:rFonts w:eastAsia="Calibri"/>
          <w:lang w:val="en-US"/>
        </w:rPr>
        <w:lastRenderedPageBreak/>
        <w:t xml:space="preserve">The reform </w:t>
      </w:r>
      <w:r w:rsidRPr="00A746D8">
        <w:rPr>
          <w:rFonts w:eastAsia="Calibri"/>
          <w:b/>
          <w:bCs/>
          <w:lang w:val="en-US"/>
        </w:rPr>
        <w:t xml:space="preserve">“One Step Forward” </w:t>
      </w:r>
      <w:r w:rsidRPr="00A746D8">
        <w:rPr>
          <w:rFonts w:eastAsia="Calibri"/>
          <w:lang w:val="en-US"/>
        </w:rPr>
        <w:t xml:space="preserve">reflects a strategic effort to provide safe accommodation and protection to women with severe traumatic experiences who are at risk of abuse, marginalization and exploitation by organized crime. Notably, the new Centre provides psychosocial support and counseling, language training, social orientation and creative employment, as well as legal assistance, in line with best practices for reception and integration into Greek society. With regard to the implementation of the reform, an amendment to the programmatic agreement was signed, extending the project until 30 September 2025. Furthermore, a new programmatic agreement was concluded to ensure implementation until 31 March 2026, while a second amendment concerning the operation of the Centre is currently pending signature. From May 2025 to February 2026, the </w:t>
      </w:r>
      <w:proofErr w:type="spellStart"/>
      <w:r w:rsidRPr="00A746D8">
        <w:rPr>
          <w:rFonts w:eastAsia="Calibri"/>
          <w:lang w:val="en-US"/>
        </w:rPr>
        <w:t>centre</w:t>
      </w:r>
      <w:proofErr w:type="spellEnd"/>
      <w:r w:rsidRPr="00A746D8">
        <w:rPr>
          <w:rFonts w:eastAsia="Calibri"/>
          <w:lang w:val="en-US"/>
        </w:rPr>
        <w:t xml:space="preserve"> facilitated 57 placements, hosting 19 single women, 16 single-mother families, and 22 children. Notable vulnerabilities among the beneficiaries included 17 victims of gender-based violence, 6 victims of torture, 4 victims of human trafficking, and 4 individuals with serious chronic illnesses. Lastly, within the framework of the project, 240 social service sessions, 175 psychological support sessions, and 180 legal counseling sessions were provided, while 365 educational activities for children and 262 for adults were also conducted, along with 59 group activities for mental health.</w:t>
      </w:r>
    </w:p>
    <w:p w14:paraId="09EA4840" w14:textId="77777777" w:rsidR="00451CC2" w:rsidRPr="00A746D8" w:rsidRDefault="00451CC2" w:rsidP="00353C6F">
      <w:pPr>
        <w:spacing w:after="180"/>
        <w:rPr>
          <w:rFonts w:eastAsia="Calibri"/>
          <w:lang w:val="en-US"/>
        </w:rPr>
      </w:pPr>
      <w:r w:rsidRPr="00A746D8">
        <w:rPr>
          <w:rFonts w:eastAsia="Calibri"/>
          <w:lang w:val="en-US"/>
        </w:rPr>
        <w:t xml:space="preserve">In line with the priority of Social and Economic resilience, as regards the protection and social inclusion of </w:t>
      </w:r>
      <w:r w:rsidRPr="00A746D8">
        <w:rPr>
          <w:rFonts w:eastAsia="Calibri"/>
          <w:b/>
          <w:bCs/>
          <w:lang w:val="en-US"/>
        </w:rPr>
        <w:t>unaccompanied minors</w:t>
      </w:r>
      <w:r w:rsidRPr="00A746D8">
        <w:rPr>
          <w:rFonts w:eastAsia="Calibri"/>
          <w:lang w:val="en-US"/>
        </w:rPr>
        <w:t xml:space="preserve"> and support to children, Greece has introduced a major reform to enhance the effectiveness of the existing System for the Protection of Unaccompanied Minors (UAMs) through the creation of an </w:t>
      </w:r>
      <w:r w:rsidRPr="00A746D8">
        <w:rPr>
          <w:rFonts w:eastAsia="Calibri"/>
          <w:b/>
          <w:bCs/>
          <w:lang w:val="en-US"/>
        </w:rPr>
        <w:t>integrated complementary mechanism -“COMPASS-</w:t>
      </w:r>
      <w:proofErr w:type="spellStart"/>
      <w:r w:rsidRPr="00A746D8">
        <w:rPr>
          <w:rFonts w:eastAsia="Calibri"/>
          <w:b/>
          <w:bCs/>
          <w:lang w:val="en-US"/>
        </w:rPr>
        <w:t>COMPlementAry</w:t>
      </w:r>
      <w:proofErr w:type="spellEnd"/>
      <w:r w:rsidRPr="00A746D8">
        <w:rPr>
          <w:rFonts w:eastAsia="Calibri"/>
          <w:b/>
          <w:bCs/>
          <w:lang w:val="en-US"/>
        </w:rPr>
        <w:t xml:space="preserve"> Mechanism (PYXIDA)”. </w:t>
      </w:r>
      <w:r w:rsidRPr="00A746D8">
        <w:rPr>
          <w:rFonts w:eastAsia="Calibri"/>
          <w:lang w:val="en-US"/>
        </w:rPr>
        <w:t>The overall goal is to meet the needs and structural deficiencies identified during the implementation of the relevant National Strategy. To that end, clinical supervision sessions continue to be provided to professionals working in long-term and emergency accommodation centers for unaccompanied minors (UAMs), as well as in Semi-Independent Living (SIL) apartments and for guardianship-mandated individuals nationwide. From May 2025 to February 2026, a total of 641 clinical supervision sessions were conducted. In addition to the implementation of awareness-raising activities on human trafficking and gender equality, a trainer’s educational handbook was developed, as scheduled. Furthermore, two informational leaflets on these topics were drafted in five languages, in line with the project timeline. Moreover, a team of academics was recruited to develop a trainer’s handbook upon the well-functioning of democratic communities in the accommodation facilities, which was successfully completed in October 2025. Building on these efforts, specialized workshops targeting both professionals working in UAM facilities and minors are planned for 2026. These workshops will focus on key thematic areas, including the development of democratic communities, human trafficking and abuse, and gender equality. Finally, escort and support services continue to be provided for unaccompanied minors requiring hospitalization or scheduled medical appointments. In parallel, specialized emergency accompaniment to health facilities for UAMs remains available.</w:t>
      </w:r>
    </w:p>
    <w:p w14:paraId="7BE27558" w14:textId="77777777" w:rsidR="00451CC2" w:rsidRPr="00A746D8" w:rsidRDefault="00451CC2" w:rsidP="00353C6F">
      <w:pPr>
        <w:spacing w:after="180"/>
        <w:rPr>
          <w:rFonts w:eastAsia="Calibri"/>
          <w:lang w:val="en-US"/>
        </w:rPr>
      </w:pPr>
      <w:r w:rsidRPr="00A746D8">
        <w:rPr>
          <w:rFonts w:eastAsia="Calibri"/>
          <w:b/>
          <w:bCs/>
          <w:lang w:val="en-US"/>
        </w:rPr>
        <w:t>Operation of Day Centres</w:t>
      </w:r>
      <w:r w:rsidRPr="00A746D8">
        <w:rPr>
          <w:rFonts w:eastAsia="Calibri"/>
          <w:lang w:val="en-US"/>
        </w:rPr>
        <w:t xml:space="preserve"> in Athens, Thessaloniki, Larisa, Lesvos, and Ioannina offers mental health services, legal assistance and representation for special cases, education support services, assistance for a smooth transition to adulthood for people aged 18-21 who arrived in the country as unaccompanied minors, while also facilitating the meetings between unaccompanied minors and their authorized guardians. From May 2025 to February 2026, 1865 unaccompanied minors and 390 young adults (18-21 years old) benefited from the </w:t>
      </w:r>
      <w:r w:rsidRPr="00A746D8">
        <w:rPr>
          <w:rFonts w:eastAsia="Calibri"/>
          <w:lang w:val="en-US"/>
        </w:rPr>
        <w:lastRenderedPageBreak/>
        <w:t>aforementioned services. In addition, 285 received legal support, regarding either legal counselling but also legal representation. In terms of mental and educational support, 2.136 individual psychological support sessions, 6.386 attendances in group sessions, 302 legal counseling sessions and 894 educational activities were provided to the beneficiaries.</w:t>
      </w:r>
    </w:p>
    <w:p w14:paraId="39BCB6B7" w14:textId="77777777" w:rsidR="00451CC2" w:rsidRPr="00A746D8" w:rsidRDefault="00451CC2" w:rsidP="00353C6F">
      <w:pPr>
        <w:spacing w:after="180"/>
        <w:rPr>
          <w:rFonts w:eastAsia="Calibri"/>
          <w:lang w:val="en-US"/>
        </w:rPr>
      </w:pPr>
      <w:r w:rsidRPr="00A746D8">
        <w:rPr>
          <w:rFonts w:eastAsia="Calibri"/>
          <w:b/>
          <w:bCs/>
          <w:lang w:val="en-US"/>
        </w:rPr>
        <w:t>"Social Integration of Former Unaccompanied Minors in Greece" (Helios Junior)</w:t>
      </w:r>
      <w:r w:rsidRPr="00A746D8">
        <w:rPr>
          <w:rFonts w:eastAsia="Calibri"/>
          <w:lang w:val="en-US"/>
        </w:rPr>
        <w:t xml:space="preserve"> aims to shelter and create a customized integration pathway for young adults, who were previously unaccompanied minors so as to facilitate their transition to independent living and their integration into the labor market. To date 412 beneficiaries have been enrolled in the project. As regards housing assistance, the total capacity is 303 places, with an occupancy of 274. With respect to the integration component, 1.270 sessions were conducted, while 139 beneficiaries are employed, 61 of which found a job after enrolling in the program and 78 are attending school. However, following an amendment to the program in January 2026, the Managing Authority reduced the operational capacity from 1.000 to 300 accommodation places and suspended new admissions, with exceptions granted only for vulnerable cases. Consequently, a revision of the measure is ongoing, while the project’s final implementation is scheduled for March 2027.</w:t>
      </w:r>
    </w:p>
    <w:p w14:paraId="17BA6D2A" w14:textId="77777777" w:rsidR="00451CC2" w:rsidRPr="004024A9" w:rsidRDefault="00451CC2" w:rsidP="00353C6F">
      <w:pPr>
        <w:spacing w:after="180"/>
        <w:rPr>
          <w:rFonts w:eastAsia="Calibri"/>
          <w:lang w:val="en-US"/>
        </w:rPr>
      </w:pPr>
      <w:r w:rsidRPr="00A746D8">
        <w:rPr>
          <w:rFonts w:eastAsia="Calibri"/>
          <w:lang w:val="en-US"/>
        </w:rPr>
        <w:t xml:space="preserve">The reform </w:t>
      </w:r>
      <w:r w:rsidRPr="00A746D8">
        <w:rPr>
          <w:rFonts w:eastAsia="Calibri"/>
          <w:b/>
          <w:bCs/>
          <w:lang w:val="en-US"/>
        </w:rPr>
        <w:t>Project “Hippocrates” (I &amp;II)</w:t>
      </w:r>
      <w:r w:rsidRPr="00A746D8">
        <w:rPr>
          <w:rFonts w:eastAsia="Calibri"/>
          <w:lang w:val="en-US"/>
        </w:rPr>
        <w:t xml:space="preserve"> is specifically developed in order to provide primary medical healthcare services, epidemiological surveillance and psychosocial assistance to asylum seekers residing in state accommodation facilities. Services are delivered under a holistic primary healthcare approach, aiming to: a. address the medical and psychosocial needs of beneficiaries and safeguard their physical and mental health, in line with Directive 2013/33/EU; b. alleviate pressure on local communities and public healthcare structures; and c. protect public health. Core services include emergency response and triage, identification of vulnerable individuals, provision of specialized medical care, medical screening and clinical examination, referrals to secondary and tertiary healthcare, vaccination referrals, support for medical transfers, and provision of medicines and basic medical equipment. From June 2024 to January 2026, 102.499 asylum seekers benefited from services under Hippocrates I, including 615.264 medical interventions, 77.859 psychological support sessions, 42.985 referrals, 13.972 vaccinations and 1.035 emergency transfers. In parallel, during the period from April 2025 to March 2026, approximately 1.900 round-trip transfers were carried out to support beneficiaries’ access to hospitals and public services. As regards Hippocrates II, a Memorandum of Understanding (MoU) was signed in February 2026 between the General Secretariat for Reception of Asylum Seekers and the National Public Health Organization (EODY). The project focuses on epidemiological surveillance and public health emergency preparedness and response in RIS facilities. Key actions include outbreak response, systematic epidemiological monitoring and early detection of infectious diseases, emergency health interventions, support to vaccination coverage, training and awareness-raising, coordination with relevant actors, prevention and management of sexually transmitted infections (STIs), and environmental surveillance through wastewater monitoring, including regular reporting and early warning. </w:t>
      </w:r>
      <w:r w:rsidRPr="004024A9">
        <w:rPr>
          <w:rFonts w:eastAsia="Calibri"/>
          <w:lang w:val="en-US"/>
        </w:rPr>
        <w:t>The project is implemented over the period July 2024 to June 2026.</w:t>
      </w:r>
    </w:p>
    <w:p w14:paraId="65FAA033" w14:textId="77777777" w:rsidR="00451CC2" w:rsidRPr="00A746D8" w:rsidRDefault="00451CC2" w:rsidP="00353C6F">
      <w:pPr>
        <w:spacing w:after="180"/>
        <w:rPr>
          <w:rFonts w:eastAsia="Calibri"/>
          <w:lang w:val="en-US"/>
        </w:rPr>
      </w:pPr>
      <w:r w:rsidRPr="00A746D8">
        <w:rPr>
          <w:rFonts w:eastAsia="Calibri"/>
          <w:lang w:val="en-US"/>
        </w:rPr>
        <w:t>The project “</w:t>
      </w:r>
      <w:r w:rsidRPr="00A746D8">
        <w:rPr>
          <w:rFonts w:eastAsia="Calibri"/>
          <w:b/>
          <w:bCs/>
          <w:lang w:val="en-US"/>
        </w:rPr>
        <w:t>Promote integration of the refugee population into the labour market</w:t>
      </w:r>
      <w:r w:rsidRPr="00A746D8">
        <w:rPr>
          <w:rFonts w:eastAsia="Calibri"/>
          <w:lang w:val="en-US"/>
        </w:rPr>
        <w:t xml:space="preserve">” supports the sustainable integration of third-country nationals (TCNs) into the labour market as a key factor for their effective inclusion in host societies. It is fully in line with the EU common </w:t>
      </w:r>
      <w:r w:rsidRPr="00A746D8">
        <w:rPr>
          <w:rFonts w:eastAsia="Calibri"/>
          <w:lang w:val="en-US"/>
        </w:rPr>
        <w:lastRenderedPageBreak/>
        <w:t xml:space="preserve">priorities on social and economic resilience, in particular in the areas of social protection and inclusion, and equal opportunities and access to the labour market. Significant progress has been made as regards the implementation of the project, with 5.756 persons registered and 2.562 having successfully completed Greek language courses, which is a prerequisite for their participation in the vocational training program and the traineeship. In addition, during the reporting period, 1.897 beneficiaries have successfully received vocational training in the agreed thematic areas with a recorded high demand for employees, namely agriculture, construction, tourism, and homecare.  Following the revision of the national plan under the Recovery and Resilience Facility, the programmatic agreement with the Implementing Authority (International Organization for Migration), was amended with the purpose of extending the implementation period from December 2025 to June 2026, while at the same time revising the program targets, and reducing the overall budget. Furthermore, a Joint Ministerial Decision was issued, establishing the implementing framework, including the scope of the traineeship scheme, categories of beneficiaries, and provisions on insurance, remuneration, and other operational requirements. </w:t>
      </w:r>
      <w:r w:rsidRPr="004024A9">
        <w:rPr>
          <w:rFonts w:eastAsia="Calibri"/>
        </w:rPr>
        <w:t>Τ</w:t>
      </w:r>
      <w:r w:rsidRPr="00A746D8">
        <w:rPr>
          <w:rFonts w:eastAsia="Calibri"/>
          <w:lang w:val="en-US"/>
        </w:rPr>
        <w:t xml:space="preserve">his Decision was subsequently amended in March 2026 to enable non-profit, non-governmental entities to recruit trainees in relevant sectors. </w:t>
      </w:r>
    </w:p>
    <w:p w14:paraId="5AE0AA5B" w14:textId="77777777" w:rsidR="00451CC2" w:rsidRPr="00A746D8" w:rsidRDefault="00451CC2" w:rsidP="00353C6F">
      <w:pPr>
        <w:spacing w:after="180"/>
        <w:rPr>
          <w:rFonts w:eastAsia="Calibri"/>
          <w:lang w:val="en-US"/>
        </w:rPr>
      </w:pPr>
      <w:r w:rsidRPr="00A746D8">
        <w:rPr>
          <w:rFonts w:eastAsia="Calibri"/>
          <w:lang w:val="en-US"/>
        </w:rPr>
        <w:t xml:space="preserve">To date, </w:t>
      </w:r>
      <w:r w:rsidR="00BC3778">
        <w:rPr>
          <w:rFonts w:eastAsia="Calibri"/>
          <w:lang w:val="en-US"/>
        </w:rPr>
        <w:t>400</w:t>
      </w:r>
      <w:r w:rsidRPr="00A746D8">
        <w:rPr>
          <w:rFonts w:eastAsia="Calibri"/>
          <w:lang w:val="en-US"/>
        </w:rPr>
        <w:t xml:space="preserve"> beneficiaries have entered into traineeship contracts, mostly with companies or employers operating near accommodation facilities and active in the </w:t>
      </w:r>
      <w:proofErr w:type="spellStart"/>
      <w:r w:rsidRPr="00A746D8">
        <w:rPr>
          <w:rFonts w:eastAsia="Calibri"/>
          <w:lang w:val="en-US"/>
        </w:rPr>
        <w:t>programme’s</w:t>
      </w:r>
      <w:proofErr w:type="spellEnd"/>
      <w:r w:rsidRPr="00A746D8">
        <w:rPr>
          <w:rFonts w:eastAsia="Calibri"/>
          <w:lang w:val="en-US"/>
        </w:rPr>
        <w:t xml:space="preserve"> thematic areas, thereby laying a solid foundation for the next phase of implementation. In addition, a considerable number of participants in vocational training have successfully entered the labour market. However, the number of beneficiaries participating in traineeships remains below the target and lower than the number of participants in vocational training programmes; consequently, the continuation of the project under the RRF will be decided at the next review.</w:t>
      </w:r>
    </w:p>
    <w:p w14:paraId="77F43920" w14:textId="77777777" w:rsidR="00451CC2" w:rsidRPr="00A746D8" w:rsidRDefault="00451CC2" w:rsidP="00353C6F">
      <w:pPr>
        <w:spacing w:after="180"/>
        <w:rPr>
          <w:rFonts w:eastAsia="Calibri"/>
          <w:lang w:val="en-US"/>
        </w:rPr>
      </w:pPr>
      <w:r w:rsidRPr="00A746D8">
        <w:rPr>
          <w:rFonts w:eastAsia="Calibri"/>
          <w:lang w:val="en-US"/>
        </w:rPr>
        <w:t xml:space="preserve">Additionally, the Ministry of Migration and Asylum plans to implement the </w:t>
      </w:r>
      <w:r w:rsidRPr="00A746D8">
        <w:rPr>
          <w:rFonts w:eastAsia="Calibri"/>
          <w:b/>
          <w:bCs/>
          <w:lang w:val="en-US"/>
        </w:rPr>
        <w:t>HELIOS+ project</w:t>
      </w:r>
      <w:r w:rsidRPr="00A746D8">
        <w:rPr>
          <w:rFonts w:eastAsia="Calibri"/>
          <w:lang w:val="en-US"/>
        </w:rPr>
        <w:t xml:space="preserve"> which addresses both “social protection and inclusion” and “equal opportunities and access to the labour market”. In January 2025, the HELIOS+ program was incorporated into the National Strategic Reference Framework (NSRF) co-funded by the European Social Fund Plus (ESF+) under the Regional Program (RPs) 2021-2027. It embodies a portfolio of thirteen regional Integration Projects, one in each region of Greece, targeted to foster the effective integration of third-country nationals into the labour market and wider society, in line with Greece’s National Integration Strategy. At present, the programme is being implemented in twelve of the thirteen regions. By the end of February 2026, a total of 2.258 unique beneficiaries (including family members), corresponding to 1.635 households, were registered. Furthermore, 21.129 services were provided to 1.761 unique beneficiaries, while 1.134 beneficiaries, corresponding to 722 households, received support through the housing allowance scheme. Furthermore, with a view to support labor market integration, the project has developed 1.274 employability profiles and 1.268 career action plans.</w:t>
      </w:r>
    </w:p>
    <w:p w14:paraId="6F40792F" w14:textId="77777777" w:rsidR="00AF4CDD" w:rsidRPr="00353C6F" w:rsidRDefault="00451CC2" w:rsidP="00353C6F">
      <w:pPr>
        <w:spacing w:after="180"/>
        <w:rPr>
          <w:rFonts w:eastAsia="Calibri"/>
          <w:lang w:val="en-US"/>
        </w:rPr>
      </w:pPr>
      <w:r w:rsidRPr="00A746D8">
        <w:rPr>
          <w:rFonts w:eastAsia="Calibri"/>
          <w:lang w:val="en-US"/>
        </w:rPr>
        <w:t xml:space="preserve">The RRF investment </w:t>
      </w:r>
      <w:r w:rsidRPr="00A746D8">
        <w:rPr>
          <w:rFonts w:eastAsia="Calibri"/>
          <w:b/>
          <w:bCs/>
          <w:lang w:val="en-US"/>
        </w:rPr>
        <w:t>“Digital Transformation of the Immigration and Asylum System”</w:t>
      </w:r>
      <w:r w:rsidRPr="00A746D8">
        <w:rPr>
          <w:rFonts w:eastAsia="Calibri"/>
          <w:lang w:val="en-US"/>
        </w:rPr>
        <w:t xml:space="preserve"> including </w:t>
      </w:r>
      <w:r w:rsidRPr="00A746D8">
        <w:rPr>
          <w:rFonts w:eastAsia="Calibri"/>
          <w:b/>
          <w:bCs/>
          <w:lang w:val="en-US"/>
        </w:rPr>
        <w:t>the digitization of archives</w:t>
      </w:r>
      <w:r w:rsidRPr="00A746D8">
        <w:rPr>
          <w:rFonts w:eastAsia="Calibri"/>
          <w:lang w:val="en-US"/>
        </w:rPr>
        <w:t xml:space="preserve"> results in significantly better quality of services. To that end, the Ministry of Migration and Asylum has successfully enhanced digital migration services, cybersecurity, and facility management through multiple projects. Three core systems (OPS Migration, ALKYONI II, HYPERION) were integrated, processes were streamlined and automated, while advanced security measures were also implemented.  Furthermore, the </w:t>
      </w:r>
      <w:r w:rsidRPr="00A746D8">
        <w:rPr>
          <w:rFonts w:eastAsia="Calibri"/>
          <w:lang w:val="en-US"/>
        </w:rPr>
        <w:lastRenderedPageBreak/>
        <w:t>digitization of the physical documents contained in the individual files of Third Country Nationals is being successfully implemented, with 102 million pages already processed, exceeding the initial target. The HYPERION entry–exit control system for 21 refugee facilities and the KENTAVROS II physical security system for 18 refugee facilities respectively, were completed in December 2025. The REA project, providing Wi-Fi to 26 refugee structures and the Ministry of Migration and Asylum’s central office, is expected to be completed by April 2026. Moreover, additional initiatives, such as the mobile application for monitoring and managing reception facility residents, the management of residents’ provisions and benefits (cash assistance, meal distribution, medical provisions), and the integration of the National Registry for the Protection of Unaccompanied Minors, have been successfully delivered and operating. Finally, the “KERVEROS” project ensures Greece’s compliance with the EU Migration and Asylum Pact and Regulation 2024/1358 on the establishment of “</w:t>
      </w:r>
      <w:proofErr w:type="spellStart"/>
      <w:r w:rsidRPr="00A746D8">
        <w:rPr>
          <w:rFonts w:eastAsia="Calibri"/>
          <w:lang w:val="en-US"/>
        </w:rPr>
        <w:t>Eurodac</w:t>
      </w:r>
      <w:proofErr w:type="spellEnd"/>
      <w:r w:rsidRPr="00A746D8">
        <w:rPr>
          <w:rFonts w:eastAsia="Calibri"/>
          <w:lang w:val="en-US"/>
        </w:rPr>
        <w:t>” for the comparison of biometric data. Key deliverables included the finalization of technical specifications and cost estimation for the “</w:t>
      </w:r>
      <w:proofErr w:type="spellStart"/>
      <w:r w:rsidRPr="00A746D8">
        <w:rPr>
          <w:rFonts w:eastAsia="Calibri"/>
          <w:lang w:val="en-US"/>
        </w:rPr>
        <w:t>Eurodac</w:t>
      </w:r>
      <w:proofErr w:type="spellEnd"/>
      <w:r w:rsidRPr="00A746D8">
        <w:rPr>
          <w:rFonts w:eastAsia="Calibri"/>
          <w:lang w:val="en-US"/>
        </w:rPr>
        <w:t xml:space="preserve">” central infrastructure by the second quarter of 2025, followed by the commencement of network connectivity testing with </w:t>
      </w:r>
      <w:proofErr w:type="spellStart"/>
      <w:r w:rsidRPr="00A746D8">
        <w:rPr>
          <w:rFonts w:eastAsia="Calibri"/>
          <w:lang w:val="en-US"/>
        </w:rPr>
        <w:t>eu</w:t>
      </w:r>
      <w:proofErr w:type="spellEnd"/>
      <w:r w:rsidRPr="00A746D8">
        <w:rPr>
          <w:rFonts w:eastAsia="Calibri"/>
          <w:lang w:val="en-US"/>
        </w:rPr>
        <w:t xml:space="preserve">-LISA by the third quarter of 2025. In the forthcoming period, Greece will complete national, technical, and administrative arrangements according to the operational timeline, aligned with the National Implementation Plan. Finally, the RRF investment </w:t>
      </w:r>
      <w:r w:rsidRPr="00A746D8">
        <w:rPr>
          <w:rFonts w:eastAsia="Calibri"/>
          <w:b/>
          <w:bCs/>
          <w:lang w:val="en-US"/>
        </w:rPr>
        <w:t>“</w:t>
      </w:r>
      <w:r w:rsidRPr="00A746D8">
        <w:rPr>
          <w:rFonts w:eastAsia="Calibri"/>
          <w:b/>
          <w:lang w:val="en-US"/>
        </w:rPr>
        <w:t xml:space="preserve">Creation of an integrated fire detection and warning system in the forest area of </w:t>
      </w:r>
      <w:proofErr w:type="spellStart"/>
      <w:r w:rsidRPr="00A746D8">
        <w:rPr>
          <w:rFonts w:eastAsia="Calibri"/>
          <w:b/>
          <w:lang w:val="en-US"/>
        </w:rPr>
        <w:t>Vastria</w:t>
      </w:r>
      <w:proofErr w:type="spellEnd"/>
      <w:r w:rsidRPr="00A746D8">
        <w:rPr>
          <w:rFonts w:eastAsia="Calibri"/>
          <w:b/>
          <w:lang w:val="en-US"/>
        </w:rPr>
        <w:t xml:space="preserve"> Lesvos</w:t>
      </w:r>
      <w:r w:rsidRPr="00A746D8">
        <w:rPr>
          <w:rFonts w:eastAsia="Calibri"/>
          <w:lang w:val="en-US"/>
        </w:rPr>
        <w:t>”, is a sub-project of the greater investment “</w:t>
      </w:r>
      <w:r w:rsidRPr="00A746D8">
        <w:rPr>
          <w:rFonts w:eastAsia="Calibri"/>
          <w:b/>
          <w:lang w:val="en-US"/>
        </w:rPr>
        <w:t>Digitalisation of the migration and asylum system</w:t>
      </w:r>
      <w:r w:rsidRPr="00A746D8">
        <w:rPr>
          <w:rFonts w:eastAsia="Calibri"/>
          <w:lang w:val="en-US"/>
        </w:rPr>
        <w:t xml:space="preserve">”. It addresses the critical need to establish an integrated fire detection and early warning system in the forest area of </w:t>
      </w:r>
      <w:proofErr w:type="spellStart"/>
      <w:r w:rsidRPr="00A746D8">
        <w:rPr>
          <w:rFonts w:eastAsia="Calibri"/>
          <w:lang w:val="en-US"/>
        </w:rPr>
        <w:t>Vastria</w:t>
      </w:r>
      <w:proofErr w:type="spellEnd"/>
      <w:r w:rsidRPr="00A746D8">
        <w:rPr>
          <w:rFonts w:eastAsia="Calibri"/>
          <w:lang w:val="en-US"/>
        </w:rPr>
        <w:t xml:space="preserve">, Lesvos, where a Reception and Identification Centre (Controlled Access Centre) for asylum seekers will be hosted. The system was installed at the </w:t>
      </w:r>
      <w:proofErr w:type="spellStart"/>
      <w:r w:rsidRPr="00A746D8">
        <w:rPr>
          <w:rFonts w:eastAsia="Calibri"/>
          <w:lang w:val="en-US"/>
        </w:rPr>
        <w:t>Vastria</w:t>
      </w:r>
      <w:proofErr w:type="spellEnd"/>
      <w:r w:rsidRPr="00A746D8">
        <w:rPr>
          <w:rFonts w:eastAsia="Calibri"/>
          <w:lang w:val="en-US"/>
        </w:rPr>
        <w:t xml:space="preserve"> facility in March 2026 and is now fully operational.</w:t>
      </w:r>
      <w:bookmarkStart w:id="74" w:name="_Toc227932507"/>
    </w:p>
    <w:p w14:paraId="1775E3F5" w14:textId="77777777" w:rsidR="00451CC2" w:rsidRPr="00C91BE7" w:rsidRDefault="00C91BE7" w:rsidP="00425017">
      <w:pPr>
        <w:pStyle w:val="Heading2"/>
        <w:pBdr>
          <w:bottom w:val="single" w:sz="4" w:space="1" w:color="4F81BD" w:themeColor="accent1"/>
        </w:pBdr>
        <w:spacing w:before="1200"/>
        <w:rPr>
          <w:rFonts w:eastAsia="Calibri"/>
          <w:sz w:val="36"/>
          <w:lang w:val="en-US"/>
        </w:rPr>
      </w:pPr>
      <w:bookmarkStart w:id="75" w:name="_Toc228279100"/>
      <w:r>
        <w:rPr>
          <w:rFonts w:eastAsia="Calibri"/>
          <w:sz w:val="36"/>
          <w:lang w:val="en-US"/>
        </w:rPr>
        <w:t>M</w:t>
      </w:r>
      <w:r w:rsidRPr="00C91BE7">
        <w:rPr>
          <w:rFonts w:eastAsia="Calibri"/>
          <w:sz w:val="36"/>
          <w:lang w:val="en-US"/>
        </w:rPr>
        <w:t xml:space="preserve">inistry of </w:t>
      </w:r>
      <w:r>
        <w:rPr>
          <w:rFonts w:eastAsia="Calibri"/>
          <w:sz w:val="36"/>
          <w:lang w:val="en-US"/>
        </w:rPr>
        <w:t>S</w:t>
      </w:r>
      <w:r w:rsidRPr="00C91BE7">
        <w:rPr>
          <w:rFonts w:eastAsia="Calibri"/>
          <w:sz w:val="36"/>
          <w:lang w:val="en-US"/>
        </w:rPr>
        <w:t xml:space="preserve">ocial </w:t>
      </w:r>
      <w:r>
        <w:rPr>
          <w:rFonts w:eastAsia="Calibri"/>
          <w:sz w:val="36"/>
          <w:lang w:val="en-US"/>
        </w:rPr>
        <w:t>C</w:t>
      </w:r>
      <w:r w:rsidRPr="00C91BE7">
        <w:rPr>
          <w:rFonts w:eastAsia="Calibri"/>
          <w:sz w:val="36"/>
          <w:lang w:val="en-US"/>
        </w:rPr>
        <w:t xml:space="preserve">ohesion and </w:t>
      </w:r>
      <w:r>
        <w:rPr>
          <w:rFonts w:eastAsia="Calibri"/>
          <w:sz w:val="36"/>
          <w:lang w:val="en-US"/>
        </w:rPr>
        <w:t>F</w:t>
      </w:r>
      <w:r w:rsidRPr="00C91BE7">
        <w:rPr>
          <w:rFonts w:eastAsia="Calibri"/>
          <w:sz w:val="36"/>
          <w:lang w:val="en-US"/>
        </w:rPr>
        <w:t xml:space="preserve">amily </w:t>
      </w:r>
      <w:r>
        <w:rPr>
          <w:rFonts w:eastAsia="Calibri"/>
          <w:sz w:val="36"/>
          <w:lang w:val="en-US"/>
        </w:rPr>
        <w:t>A</w:t>
      </w:r>
      <w:r w:rsidRPr="00C91BE7">
        <w:rPr>
          <w:rFonts w:eastAsia="Calibri"/>
          <w:sz w:val="36"/>
          <w:lang w:val="en-US"/>
        </w:rPr>
        <w:t>ffairs</w:t>
      </w:r>
      <w:bookmarkEnd w:id="74"/>
      <w:bookmarkEnd w:id="75"/>
      <w:r w:rsidRPr="00C91BE7">
        <w:rPr>
          <w:rFonts w:eastAsia="Calibri"/>
          <w:sz w:val="36"/>
          <w:lang w:val="en-US"/>
        </w:rPr>
        <w:t xml:space="preserve"> </w:t>
      </w:r>
    </w:p>
    <w:tbl>
      <w:tblPr>
        <w:tblW w:w="8923" w:type="dxa"/>
        <w:jc w:val="center"/>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Layout w:type="fixed"/>
        <w:tblLook w:val="0600" w:firstRow="0" w:lastRow="0" w:firstColumn="0" w:lastColumn="0" w:noHBand="1" w:noVBand="1"/>
      </w:tblPr>
      <w:tblGrid>
        <w:gridCol w:w="2969"/>
        <w:gridCol w:w="1450"/>
        <w:gridCol w:w="1664"/>
        <w:gridCol w:w="1692"/>
        <w:gridCol w:w="1148"/>
      </w:tblGrid>
      <w:tr w:rsidR="00451CC2" w:rsidRPr="00C91BE7" w14:paraId="1B3847B4" w14:textId="77777777" w:rsidTr="00425017">
        <w:trPr>
          <w:trHeight w:val="170"/>
          <w:jc w:val="center"/>
        </w:trPr>
        <w:tc>
          <w:tcPr>
            <w:tcW w:w="2969" w:type="dxa"/>
            <w:shd w:val="clear" w:color="auto" w:fill="CFE2F3"/>
            <w:tcMar>
              <w:top w:w="0" w:type="dxa"/>
              <w:bottom w:w="0" w:type="dxa"/>
            </w:tcMar>
            <w:vAlign w:val="center"/>
          </w:tcPr>
          <w:p w14:paraId="20B6E66D" w14:textId="77777777" w:rsidR="00451CC2" w:rsidRPr="00C91BE7" w:rsidRDefault="00451CC2" w:rsidP="00353C6F">
            <w:pPr>
              <w:pStyle w:val="Tabletext"/>
              <w:spacing w:line="230" w:lineRule="exact"/>
              <w:rPr>
                <w:rFonts w:eastAsia="Calibri"/>
                <w:b/>
              </w:rPr>
            </w:pPr>
            <w:r w:rsidRPr="00C91BE7">
              <w:rPr>
                <w:rFonts w:eastAsia="Calibri"/>
                <w:b/>
              </w:rPr>
              <w:t>REFORM / INVESTMENT</w:t>
            </w:r>
          </w:p>
        </w:tc>
        <w:tc>
          <w:tcPr>
            <w:tcW w:w="1450" w:type="dxa"/>
            <w:shd w:val="clear" w:color="auto" w:fill="CFE2F3"/>
            <w:tcMar>
              <w:top w:w="0" w:type="dxa"/>
              <w:bottom w:w="0" w:type="dxa"/>
            </w:tcMar>
            <w:vAlign w:val="center"/>
          </w:tcPr>
          <w:p w14:paraId="23B2B4D2" w14:textId="77777777" w:rsidR="00451CC2" w:rsidRPr="00C91BE7" w:rsidRDefault="00451CC2" w:rsidP="00353C6F">
            <w:pPr>
              <w:pStyle w:val="Tabletext"/>
              <w:spacing w:line="230" w:lineRule="exact"/>
              <w:rPr>
                <w:rFonts w:eastAsia="Calibri"/>
                <w:b/>
              </w:rPr>
            </w:pPr>
            <w:r w:rsidRPr="00C91BE7">
              <w:rPr>
                <w:rFonts w:eastAsia="Calibri"/>
                <w:b/>
              </w:rPr>
              <w:t>RRF / MFF</w:t>
            </w:r>
          </w:p>
        </w:tc>
        <w:tc>
          <w:tcPr>
            <w:tcW w:w="1664" w:type="dxa"/>
            <w:shd w:val="clear" w:color="auto" w:fill="CFE2F3"/>
            <w:tcMar>
              <w:top w:w="0" w:type="dxa"/>
              <w:bottom w:w="0" w:type="dxa"/>
            </w:tcMar>
            <w:vAlign w:val="center"/>
          </w:tcPr>
          <w:p w14:paraId="19CFB23C" w14:textId="77777777" w:rsidR="00451CC2" w:rsidRPr="00C91BE7" w:rsidRDefault="00451CC2" w:rsidP="00353C6F">
            <w:pPr>
              <w:pStyle w:val="Tabletext"/>
              <w:spacing w:line="230" w:lineRule="exact"/>
              <w:rPr>
                <w:rFonts w:eastAsia="Calibri"/>
                <w:b/>
              </w:rPr>
            </w:pPr>
            <w:r w:rsidRPr="00C91BE7">
              <w:rPr>
                <w:rFonts w:eastAsia="Calibri"/>
                <w:b/>
              </w:rPr>
              <w:t>CSR</w:t>
            </w:r>
          </w:p>
        </w:tc>
        <w:tc>
          <w:tcPr>
            <w:tcW w:w="1692" w:type="dxa"/>
            <w:shd w:val="clear" w:color="auto" w:fill="CFE2F3"/>
            <w:tcMar>
              <w:top w:w="0" w:type="dxa"/>
              <w:bottom w:w="0" w:type="dxa"/>
            </w:tcMar>
            <w:vAlign w:val="center"/>
          </w:tcPr>
          <w:p w14:paraId="4FF56862" w14:textId="77777777" w:rsidR="00451CC2" w:rsidRPr="00C91BE7" w:rsidRDefault="00451CC2" w:rsidP="00353C6F">
            <w:pPr>
              <w:pStyle w:val="Tabletext"/>
              <w:spacing w:line="230" w:lineRule="exact"/>
              <w:rPr>
                <w:rFonts w:eastAsia="Calibri"/>
                <w:b/>
              </w:rPr>
            </w:pPr>
            <w:r w:rsidRPr="00C91BE7">
              <w:rPr>
                <w:rFonts w:eastAsia="Calibri"/>
                <w:b/>
              </w:rPr>
              <w:t>COMMON PRIORITIES</w:t>
            </w:r>
          </w:p>
        </w:tc>
        <w:tc>
          <w:tcPr>
            <w:tcW w:w="1148" w:type="dxa"/>
            <w:shd w:val="clear" w:color="auto" w:fill="CFE2F3"/>
            <w:tcMar>
              <w:top w:w="0" w:type="dxa"/>
              <w:bottom w:w="0" w:type="dxa"/>
            </w:tcMar>
            <w:vAlign w:val="center"/>
          </w:tcPr>
          <w:p w14:paraId="14B26779" w14:textId="77777777" w:rsidR="00451CC2" w:rsidRPr="00C91BE7" w:rsidRDefault="00451CC2" w:rsidP="00353C6F">
            <w:pPr>
              <w:pStyle w:val="Tabletext"/>
              <w:spacing w:line="230" w:lineRule="exact"/>
              <w:rPr>
                <w:rFonts w:eastAsia="Calibri"/>
                <w:b/>
              </w:rPr>
            </w:pPr>
            <w:r w:rsidRPr="00C91BE7">
              <w:rPr>
                <w:rFonts w:eastAsia="Calibri"/>
                <w:b/>
              </w:rPr>
              <w:t>On-track status</w:t>
            </w:r>
          </w:p>
        </w:tc>
      </w:tr>
      <w:tr w:rsidR="00451CC2" w14:paraId="25CCE25B" w14:textId="77777777" w:rsidTr="00425017">
        <w:trPr>
          <w:trHeight w:val="170"/>
          <w:jc w:val="center"/>
        </w:trPr>
        <w:tc>
          <w:tcPr>
            <w:tcW w:w="2969" w:type="dxa"/>
            <w:tcMar>
              <w:top w:w="0" w:type="dxa"/>
              <w:left w:w="40" w:type="dxa"/>
              <w:bottom w:w="0" w:type="dxa"/>
              <w:right w:w="40" w:type="dxa"/>
            </w:tcMar>
            <w:vAlign w:val="center"/>
          </w:tcPr>
          <w:p w14:paraId="59238773" w14:textId="77777777" w:rsidR="00451CC2" w:rsidRDefault="00540671" w:rsidP="00353C6F">
            <w:pPr>
              <w:pStyle w:val="Tabletext"/>
              <w:spacing w:line="230" w:lineRule="exact"/>
              <w:rPr>
                <w:rFonts w:eastAsia="Calibri"/>
              </w:rPr>
            </w:pPr>
            <w:r w:rsidRPr="00540671">
              <w:rPr>
                <w:rFonts w:eastAsia="Calibri"/>
                <w:b/>
              </w:rPr>
              <w:t>REFORM 1:</w:t>
            </w:r>
            <w:r w:rsidR="00451CC2">
              <w:rPr>
                <w:rFonts w:eastAsia="Calibri"/>
              </w:rPr>
              <w:t xml:space="preserve"> Child Protection</w:t>
            </w:r>
          </w:p>
        </w:tc>
        <w:tc>
          <w:tcPr>
            <w:tcW w:w="1450" w:type="dxa"/>
            <w:tcMar>
              <w:top w:w="0" w:type="dxa"/>
              <w:left w:w="40" w:type="dxa"/>
              <w:bottom w:w="0" w:type="dxa"/>
              <w:right w:w="40" w:type="dxa"/>
            </w:tcMar>
            <w:vAlign w:val="center"/>
          </w:tcPr>
          <w:p w14:paraId="4310366C" w14:textId="77777777" w:rsidR="00451CC2" w:rsidRDefault="00451CC2" w:rsidP="00353C6F">
            <w:pPr>
              <w:pStyle w:val="Tabletext"/>
              <w:spacing w:line="230" w:lineRule="exact"/>
              <w:rPr>
                <w:rFonts w:eastAsia="Calibri"/>
              </w:rPr>
            </w:pPr>
            <w:r>
              <w:rPr>
                <w:rFonts w:eastAsia="Calibri"/>
              </w:rPr>
              <w:t>RRF 16919</w:t>
            </w:r>
          </w:p>
        </w:tc>
        <w:tc>
          <w:tcPr>
            <w:tcW w:w="1664" w:type="dxa"/>
            <w:tcMar>
              <w:top w:w="0" w:type="dxa"/>
              <w:left w:w="40" w:type="dxa"/>
              <w:bottom w:w="0" w:type="dxa"/>
              <w:right w:w="40" w:type="dxa"/>
            </w:tcMar>
            <w:vAlign w:val="center"/>
          </w:tcPr>
          <w:p w14:paraId="6004996F" w14:textId="77777777" w:rsidR="00451CC2" w:rsidRPr="00A746D8" w:rsidRDefault="00451CC2" w:rsidP="00353C6F">
            <w:pPr>
              <w:pStyle w:val="Tabletext"/>
              <w:spacing w:line="230" w:lineRule="exact"/>
              <w:rPr>
                <w:rFonts w:eastAsia="Calibri"/>
              </w:rPr>
            </w:pPr>
            <w:r w:rsidRPr="00A746D8">
              <w:rPr>
                <w:rFonts w:eastAsia="Calibri"/>
              </w:rPr>
              <w:t>2025.CSR5.7</w:t>
            </w:r>
          </w:p>
          <w:p w14:paraId="2B7F2D1D" w14:textId="77777777" w:rsidR="00451CC2" w:rsidRPr="00A746D8" w:rsidRDefault="00451CC2" w:rsidP="00353C6F">
            <w:pPr>
              <w:pStyle w:val="Tabletext"/>
              <w:spacing w:line="230" w:lineRule="exact"/>
              <w:rPr>
                <w:rFonts w:eastAsia="Calibri"/>
              </w:rPr>
            </w:pPr>
            <w:r w:rsidRPr="00A746D8">
              <w:rPr>
                <w:rFonts w:eastAsia="Calibri"/>
              </w:rPr>
              <w:t>2025.CSR5.2</w:t>
            </w:r>
          </w:p>
          <w:p w14:paraId="48F279B1" w14:textId="77777777" w:rsidR="00451CC2" w:rsidRPr="00A746D8" w:rsidRDefault="00451CC2" w:rsidP="00353C6F">
            <w:pPr>
              <w:pStyle w:val="Tabletext"/>
              <w:spacing w:line="230" w:lineRule="exact"/>
              <w:rPr>
                <w:rFonts w:eastAsia="Calibri"/>
              </w:rPr>
            </w:pPr>
            <w:r w:rsidRPr="00A746D8">
              <w:rPr>
                <w:rFonts w:eastAsia="Calibri"/>
              </w:rPr>
              <w:t>2024.CSR2.1</w:t>
            </w:r>
          </w:p>
          <w:p w14:paraId="19335212" w14:textId="77777777" w:rsidR="00451CC2" w:rsidRPr="00A746D8" w:rsidRDefault="00451CC2" w:rsidP="00353C6F">
            <w:pPr>
              <w:pStyle w:val="Tabletext"/>
              <w:spacing w:line="230" w:lineRule="exact"/>
              <w:rPr>
                <w:rFonts w:eastAsia="Calibri"/>
              </w:rPr>
            </w:pPr>
            <w:r w:rsidRPr="00A746D8">
              <w:rPr>
                <w:rFonts w:eastAsia="Calibri"/>
              </w:rPr>
              <w:t>2024.CSR3.1</w:t>
            </w:r>
          </w:p>
          <w:p w14:paraId="60E03D0D" w14:textId="77777777" w:rsidR="00451CC2" w:rsidRPr="00A746D8" w:rsidRDefault="00451CC2" w:rsidP="00353C6F">
            <w:pPr>
              <w:pStyle w:val="Tabletext"/>
              <w:spacing w:line="230" w:lineRule="exact"/>
              <w:rPr>
                <w:rFonts w:eastAsia="Calibri"/>
              </w:rPr>
            </w:pPr>
            <w:r w:rsidRPr="00A746D8">
              <w:rPr>
                <w:rFonts w:eastAsia="Calibri"/>
              </w:rPr>
              <w:t>2020.CSR2.1</w:t>
            </w:r>
          </w:p>
          <w:p w14:paraId="159304A0" w14:textId="77777777" w:rsidR="00451CC2" w:rsidRDefault="00451CC2" w:rsidP="00353C6F">
            <w:pPr>
              <w:pStyle w:val="Tabletext"/>
              <w:spacing w:line="230" w:lineRule="exact"/>
              <w:rPr>
                <w:rFonts w:eastAsia="Calibri"/>
              </w:rPr>
            </w:pPr>
            <w:r>
              <w:rPr>
                <w:rFonts w:eastAsia="Calibri"/>
              </w:rPr>
              <w:t>2020.CSR2.2</w:t>
            </w:r>
          </w:p>
          <w:p w14:paraId="44252CFD" w14:textId="77777777" w:rsidR="00451CC2" w:rsidRDefault="00451CC2" w:rsidP="00353C6F">
            <w:pPr>
              <w:pStyle w:val="Tabletext"/>
              <w:spacing w:line="230" w:lineRule="exact"/>
              <w:rPr>
                <w:rFonts w:eastAsia="Calibri"/>
              </w:rPr>
            </w:pPr>
            <w:r>
              <w:rPr>
                <w:rFonts w:eastAsia="Calibri"/>
              </w:rPr>
              <w:t>2020.CSR3.3</w:t>
            </w:r>
          </w:p>
          <w:p w14:paraId="613BCEF5" w14:textId="77777777" w:rsidR="00451CC2" w:rsidRDefault="00451CC2" w:rsidP="00353C6F">
            <w:pPr>
              <w:pStyle w:val="Tabletext"/>
              <w:spacing w:line="230" w:lineRule="exact"/>
              <w:rPr>
                <w:rFonts w:eastAsia="Calibri"/>
              </w:rPr>
            </w:pPr>
            <w:r>
              <w:rPr>
                <w:rFonts w:eastAsia="Calibri"/>
              </w:rPr>
              <w:t>2019.CSR2.5</w:t>
            </w:r>
          </w:p>
          <w:p w14:paraId="4E7F802B" w14:textId="77777777" w:rsidR="00451CC2" w:rsidRDefault="00451CC2" w:rsidP="00353C6F">
            <w:pPr>
              <w:pStyle w:val="Tabletext"/>
              <w:spacing w:line="230" w:lineRule="exact"/>
              <w:rPr>
                <w:rFonts w:eastAsia="Calibri"/>
              </w:rPr>
            </w:pPr>
            <w:r>
              <w:rPr>
                <w:rFonts w:eastAsia="Calibri"/>
              </w:rPr>
              <w:t>2019.CSR2.7</w:t>
            </w:r>
          </w:p>
        </w:tc>
        <w:tc>
          <w:tcPr>
            <w:tcW w:w="1692" w:type="dxa"/>
            <w:tcMar>
              <w:top w:w="0" w:type="dxa"/>
              <w:left w:w="40" w:type="dxa"/>
              <w:bottom w:w="0" w:type="dxa"/>
              <w:right w:w="40" w:type="dxa"/>
            </w:tcMar>
            <w:vAlign w:val="center"/>
          </w:tcPr>
          <w:p w14:paraId="0C64D26F" w14:textId="77777777" w:rsidR="00451CC2" w:rsidRDefault="00451CC2" w:rsidP="00353C6F">
            <w:pPr>
              <w:pStyle w:val="Tabletext"/>
              <w:spacing w:line="230" w:lineRule="exact"/>
              <w:rPr>
                <w:rFonts w:eastAsia="Calibri"/>
              </w:rPr>
            </w:pPr>
            <w:r>
              <w:rPr>
                <w:rFonts w:eastAsia="Calibri"/>
              </w:rPr>
              <w:t>Social and Economic resilience</w:t>
            </w:r>
          </w:p>
        </w:tc>
        <w:tc>
          <w:tcPr>
            <w:tcW w:w="1148" w:type="dxa"/>
            <w:tcMar>
              <w:top w:w="40" w:type="dxa"/>
              <w:left w:w="40" w:type="dxa"/>
              <w:bottom w:w="40" w:type="dxa"/>
              <w:right w:w="40" w:type="dxa"/>
            </w:tcMar>
            <w:vAlign w:val="center"/>
          </w:tcPr>
          <w:p w14:paraId="12E99384" w14:textId="77777777" w:rsidR="00451CC2" w:rsidRDefault="00451CC2" w:rsidP="00353C6F">
            <w:pPr>
              <w:pStyle w:val="Tabletext"/>
              <w:spacing w:line="230" w:lineRule="exact"/>
              <w:rPr>
                <w:rFonts w:eastAsia="Calibri"/>
              </w:rPr>
            </w:pPr>
            <w:r>
              <w:rPr>
                <w:rFonts w:eastAsia="Calibri"/>
              </w:rPr>
              <w:t>Delayed</w:t>
            </w:r>
          </w:p>
        </w:tc>
      </w:tr>
      <w:tr w:rsidR="00451CC2" w14:paraId="5C1D5799" w14:textId="77777777" w:rsidTr="00425017">
        <w:trPr>
          <w:trHeight w:val="170"/>
          <w:jc w:val="center"/>
        </w:trPr>
        <w:tc>
          <w:tcPr>
            <w:tcW w:w="2969" w:type="dxa"/>
            <w:tcMar>
              <w:top w:w="0" w:type="dxa"/>
              <w:left w:w="40" w:type="dxa"/>
              <w:bottom w:w="0" w:type="dxa"/>
              <w:right w:w="40" w:type="dxa"/>
            </w:tcMar>
            <w:vAlign w:val="center"/>
          </w:tcPr>
          <w:p w14:paraId="401487C3" w14:textId="77777777" w:rsidR="00451CC2" w:rsidRDefault="00540671" w:rsidP="00353C6F">
            <w:pPr>
              <w:pStyle w:val="Tabletext"/>
              <w:spacing w:line="230" w:lineRule="exact"/>
              <w:rPr>
                <w:rFonts w:eastAsia="Calibri"/>
              </w:rPr>
            </w:pPr>
            <w:r w:rsidRPr="00540671">
              <w:rPr>
                <w:rFonts w:eastAsia="Calibri"/>
                <w:b/>
              </w:rPr>
              <w:t>REFORM 2:</w:t>
            </w:r>
            <w:r w:rsidR="00451CC2">
              <w:rPr>
                <w:rFonts w:eastAsia="Calibri"/>
              </w:rPr>
              <w:t xml:space="preserve"> Disability</w:t>
            </w:r>
          </w:p>
        </w:tc>
        <w:tc>
          <w:tcPr>
            <w:tcW w:w="1450" w:type="dxa"/>
            <w:tcMar>
              <w:top w:w="0" w:type="dxa"/>
              <w:left w:w="40" w:type="dxa"/>
              <w:bottom w:w="0" w:type="dxa"/>
              <w:right w:w="40" w:type="dxa"/>
            </w:tcMar>
            <w:vAlign w:val="center"/>
          </w:tcPr>
          <w:p w14:paraId="6EA92159" w14:textId="77777777" w:rsidR="00451CC2" w:rsidRDefault="00451CC2" w:rsidP="00353C6F">
            <w:pPr>
              <w:pStyle w:val="Tabletext"/>
              <w:spacing w:line="230" w:lineRule="exact"/>
              <w:rPr>
                <w:rFonts w:eastAsia="Calibri"/>
              </w:rPr>
            </w:pPr>
            <w:r>
              <w:rPr>
                <w:rFonts w:eastAsia="Calibri"/>
              </w:rPr>
              <w:t>RRF 16904</w:t>
            </w:r>
          </w:p>
        </w:tc>
        <w:tc>
          <w:tcPr>
            <w:tcW w:w="1664" w:type="dxa"/>
            <w:tcMar>
              <w:top w:w="0" w:type="dxa"/>
              <w:left w:w="40" w:type="dxa"/>
              <w:bottom w:w="0" w:type="dxa"/>
              <w:right w:w="40" w:type="dxa"/>
            </w:tcMar>
            <w:vAlign w:val="center"/>
          </w:tcPr>
          <w:p w14:paraId="6971478B" w14:textId="77777777" w:rsidR="00451CC2" w:rsidRPr="00A746D8" w:rsidRDefault="00451CC2" w:rsidP="00353C6F">
            <w:pPr>
              <w:pStyle w:val="Tabletext"/>
              <w:spacing w:line="230" w:lineRule="exact"/>
              <w:rPr>
                <w:rFonts w:eastAsia="Calibri"/>
              </w:rPr>
            </w:pPr>
            <w:r w:rsidRPr="00A746D8">
              <w:rPr>
                <w:rFonts w:eastAsia="Calibri"/>
              </w:rPr>
              <w:t>2025.CSR5.7</w:t>
            </w:r>
          </w:p>
          <w:p w14:paraId="39D29536" w14:textId="77777777" w:rsidR="00451CC2" w:rsidRPr="00A746D8" w:rsidRDefault="00451CC2" w:rsidP="00353C6F">
            <w:pPr>
              <w:pStyle w:val="Tabletext"/>
              <w:spacing w:line="230" w:lineRule="exact"/>
              <w:rPr>
                <w:rFonts w:eastAsia="Calibri"/>
              </w:rPr>
            </w:pPr>
            <w:r w:rsidRPr="00A746D8">
              <w:rPr>
                <w:rFonts w:eastAsia="Calibri"/>
              </w:rPr>
              <w:t>2025.CSR5.3</w:t>
            </w:r>
          </w:p>
          <w:p w14:paraId="5EB2F9CE" w14:textId="77777777" w:rsidR="00451CC2" w:rsidRPr="00A746D8" w:rsidRDefault="00451CC2" w:rsidP="00353C6F">
            <w:pPr>
              <w:pStyle w:val="Tabletext"/>
              <w:spacing w:line="230" w:lineRule="exact"/>
              <w:rPr>
                <w:rFonts w:eastAsia="Calibri"/>
              </w:rPr>
            </w:pPr>
            <w:r w:rsidRPr="00A746D8">
              <w:rPr>
                <w:rFonts w:eastAsia="Calibri"/>
              </w:rPr>
              <w:t>2024.CSR2.1</w:t>
            </w:r>
          </w:p>
          <w:p w14:paraId="13262EBA" w14:textId="77777777" w:rsidR="00451CC2" w:rsidRPr="00A746D8" w:rsidRDefault="00451CC2" w:rsidP="00353C6F">
            <w:pPr>
              <w:pStyle w:val="Tabletext"/>
              <w:spacing w:line="230" w:lineRule="exact"/>
              <w:rPr>
                <w:rFonts w:eastAsia="Calibri"/>
              </w:rPr>
            </w:pPr>
            <w:r w:rsidRPr="00A746D8">
              <w:rPr>
                <w:rFonts w:eastAsia="Calibri"/>
              </w:rPr>
              <w:t>2020.CSR2.2</w:t>
            </w:r>
          </w:p>
          <w:p w14:paraId="3ADB55B6" w14:textId="77777777" w:rsidR="00451CC2" w:rsidRPr="00A746D8" w:rsidRDefault="00451CC2" w:rsidP="00353C6F">
            <w:pPr>
              <w:pStyle w:val="Tabletext"/>
              <w:spacing w:line="230" w:lineRule="exact"/>
              <w:rPr>
                <w:rFonts w:eastAsia="Calibri"/>
              </w:rPr>
            </w:pPr>
            <w:r w:rsidRPr="00A746D8">
              <w:rPr>
                <w:rFonts w:eastAsia="Calibri"/>
              </w:rPr>
              <w:t>2020.CSR3.3</w:t>
            </w:r>
          </w:p>
          <w:p w14:paraId="0B73ED2E" w14:textId="77777777" w:rsidR="00451CC2" w:rsidRDefault="00451CC2" w:rsidP="00353C6F">
            <w:pPr>
              <w:pStyle w:val="Tabletext"/>
              <w:spacing w:line="230" w:lineRule="exact"/>
              <w:rPr>
                <w:rFonts w:eastAsia="Calibri"/>
              </w:rPr>
            </w:pPr>
            <w:r>
              <w:rPr>
                <w:rFonts w:eastAsia="Calibri"/>
              </w:rPr>
              <w:t>2020.CSR4.1</w:t>
            </w:r>
          </w:p>
          <w:p w14:paraId="795EAAD1" w14:textId="77777777" w:rsidR="00451CC2" w:rsidRDefault="00451CC2" w:rsidP="00353C6F">
            <w:pPr>
              <w:pStyle w:val="Tabletext"/>
              <w:spacing w:line="230" w:lineRule="exact"/>
              <w:rPr>
                <w:rFonts w:eastAsia="Calibri"/>
              </w:rPr>
            </w:pPr>
            <w:r>
              <w:rPr>
                <w:rFonts w:eastAsia="Calibri"/>
              </w:rPr>
              <w:t>2019.CSR1.1</w:t>
            </w:r>
          </w:p>
          <w:p w14:paraId="3FCBFB1A" w14:textId="77777777" w:rsidR="00451CC2" w:rsidRDefault="00451CC2" w:rsidP="00353C6F">
            <w:pPr>
              <w:pStyle w:val="Tabletext"/>
              <w:spacing w:line="230" w:lineRule="exact"/>
              <w:rPr>
                <w:rFonts w:eastAsia="Calibri"/>
              </w:rPr>
            </w:pPr>
            <w:r>
              <w:rPr>
                <w:rFonts w:eastAsia="Calibri"/>
              </w:rPr>
              <w:t>2019.CSR2.5</w:t>
            </w:r>
          </w:p>
          <w:p w14:paraId="0F6CF2EF" w14:textId="77777777" w:rsidR="00451CC2" w:rsidRDefault="00451CC2" w:rsidP="00353C6F">
            <w:pPr>
              <w:pStyle w:val="Tabletext"/>
              <w:spacing w:line="230" w:lineRule="exact"/>
              <w:rPr>
                <w:rFonts w:eastAsia="Calibri"/>
              </w:rPr>
            </w:pPr>
            <w:r>
              <w:rPr>
                <w:rFonts w:eastAsia="Calibri"/>
              </w:rPr>
              <w:t>2019.CSR2.7</w:t>
            </w:r>
          </w:p>
        </w:tc>
        <w:tc>
          <w:tcPr>
            <w:tcW w:w="1692" w:type="dxa"/>
            <w:tcMar>
              <w:top w:w="0" w:type="dxa"/>
              <w:left w:w="40" w:type="dxa"/>
              <w:bottom w:w="0" w:type="dxa"/>
              <w:right w:w="40" w:type="dxa"/>
            </w:tcMar>
            <w:vAlign w:val="center"/>
          </w:tcPr>
          <w:p w14:paraId="61B0702C" w14:textId="77777777" w:rsidR="00451CC2" w:rsidRDefault="00451CC2" w:rsidP="00353C6F">
            <w:pPr>
              <w:pStyle w:val="Tabletext"/>
              <w:spacing w:line="230" w:lineRule="exact"/>
              <w:rPr>
                <w:rFonts w:eastAsia="Calibri"/>
              </w:rPr>
            </w:pPr>
            <w:r>
              <w:rPr>
                <w:rFonts w:eastAsia="Calibri"/>
              </w:rPr>
              <w:t>Social and Economic resilience</w:t>
            </w:r>
          </w:p>
        </w:tc>
        <w:tc>
          <w:tcPr>
            <w:tcW w:w="1148" w:type="dxa"/>
            <w:tcMar>
              <w:top w:w="40" w:type="dxa"/>
              <w:left w:w="40" w:type="dxa"/>
              <w:bottom w:w="40" w:type="dxa"/>
              <w:right w:w="40" w:type="dxa"/>
            </w:tcMar>
            <w:vAlign w:val="center"/>
          </w:tcPr>
          <w:p w14:paraId="48CC2E69" w14:textId="77777777" w:rsidR="00451CC2" w:rsidRDefault="00451CC2" w:rsidP="00353C6F">
            <w:pPr>
              <w:pStyle w:val="Tabletext"/>
              <w:spacing w:line="230" w:lineRule="exact"/>
              <w:rPr>
                <w:rFonts w:eastAsia="Calibri"/>
              </w:rPr>
            </w:pPr>
            <w:r>
              <w:rPr>
                <w:rFonts w:eastAsia="Calibri"/>
              </w:rPr>
              <w:t>On track</w:t>
            </w:r>
          </w:p>
        </w:tc>
      </w:tr>
      <w:tr w:rsidR="00451CC2" w14:paraId="1BD4B3F1" w14:textId="77777777" w:rsidTr="00425017">
        <w:trPr>
          <w:trHeight w:val="170"/>
          <w:jc w:val="center"/>
        </w:trPr>
        <w:tc>
          <w:tcPr>
            <w:tcW w:w="2969" w:type="dxa"/>
            <w:tcMar>
              <w:top w:w="0" w:type="dxa"/>
              <w:left w:w="40" w:type="dxa"/>
              <w:bottom w:w="0" w:type="dxa"/>
              <w:right w:w="40" w:type="dxa"/>
            </w:tcMar>
            <w:vAlign w:val="center"/>
          </w:tcPr>
          <w:p w14:paraId="6CB6602C" w14:textId="77777777" w:rsidR="00451CC2" w:rsidRPr="00A746D8" w:rsidRDefault="00540671" w:rsidP="00353C6F">
            <w:pPr>
              <w:pStyle w:val="Tabletext"/>
              <w:spacing w:line="230" w:lineRule="exact"/>
              <w:rPr>
                <w:rFonts w:eastAsia="Calibri"/>
              </w:rPr>
            </w:pPr>
            <w:r w:rsidRPr="00540671">
              <w:rPr>
                <w:rFonts w:eastAsia="Calibri"/>
                <w:b/>
              </w:rPr>
              <w:lastRenderedPageBreak/>
              <w:t>REFORM 3:</w:t>
            </w:r>
            <w:r w:rsidR="00451CC2" w:rsidRPr="00A746D8">
              <w:rPr>
                <w:rFonts w:eastAsia="Calibri"/>
              </w:rPr>
              <w:t xml:space="preserve"> Social Benefits framework revision</w:t>
            </w:r>
          </w:p>
        </w:tc>
        <w:tc>
          <w:tcPr>
            <w:tcW w:w="1450" w:type="dxa"/>
            <w:tcMar>
              <w:top w:w="0" w:type="dxa"/>
              <w:left w:w="40" w:type="dxa"/>
              <w:bottom w:w="0" w:type="dxa"/>
              <w:right w:w="40" w:type="dxa"/>
            </w:tcMar>
            <w:vAlign w:val="center"/>
          </w:tcPr>
          <w:p w14:paraId="2B945ECA" w14:textId="77777777" w:rsidR="00451CC2" w:rsidRDefault="00451CC2" w:rsidP="00353C6F">
            <w:pPr>
              <w:pStyle w:val="Tabletext"/>
              <w:spacing w:line="230" w:lineRule="exact"/>
              <w:rPr>
                <w:rFonts w:eastAsia="Calibri"/>
              </w:rPr>
            </w:pPr>
            <w:r>
              <w:rPr>
                <w:rFonts w:eastAsia="Calibri"/>
              </w:rPr>
              <w:t>-</w:t>
            </w:r>
          </w:p>
        </w:tc>
        <w:tc>
          <w:tcPr>
            <w:tcW w:w="1664" w:type="dxa"/>
            <w:tcMar>
              <w:top w:w="0" w:type="dxa"/>
              <w:left w:w="40" w:type="dxa"/>
              <w:bottom w:w="0" w:type="dxa"/>
              <w:right w:w="40" w:type="dxa"/>
            </w:tcMar>
            <w:vAlign w:val="center"/>
          </w:tcPr>
          <w:p w14:paraId="760526F3" w14:textId="77777777" w:rsidR="00451CC2" w:rsidRDefault="00451CC2" w:rsidP="00353C6F">
            <w:pPr>
              <w:pStyle w:val="Tabletext"/>
              <w:spacing w:line="230" w:lineRule="exact"/>
              <w:rPr>
                <w:rFonts w:eastAsia="Calibri"/>
              </w:rPr>
            </w:pPr>
            <w:r>
              <w:rPr>
                <w:rFonts w:eastAsia="Calibri"/>
              </w:rPr>
              <w:t>2025.CSR5.7</w:t>
            </w:r>
          </w:p>
          <w:p w14:paraId="3EB421A0" w14:textId="77777777" w:rsidR="00451CC2" w:rsidRDefault="00451CC2" w:rsidP="00353C6F">
            <w:pPr>
              <w:pStyle w:val="Tabletext"/>
              <w:spacing w:line="230" w:lineRule="exact"/>
              <w:rPr>
                <w:rFonts w:eastAsia="Calibri"/>
              </w:rPr>
            </w:pPr>
            <w:r>
              <w:rPr>
                <w:rFonts w:eastAsia="Calibri"/>
              </w:rPr>
              <w:t>2024.CSR1.3</w:t>
            </w:r>
          </w:p>
        </w:tc>
        <w:tc>
          <w:tcPr>
            <w:tcW w:w="1692" w:type="dxa"/>
            <w:tcMar>
              <w:top w:w="0" w:type="dxa"/>
              <w:left w:w="40" w:type="dxa"/>
              <w:bottom w:w="0" w:type="dxa"/>
              <w:right w:w="40" w:type="dxa"/>
            </w:tcMar>
            <w:vAlign w:val="center"/>
          </w:tcPr>
          <w:p w14:paraId="1F7ADFF4" w14:textId="77777777" w:rsidR="00451CC2" w:rsidRDefault="00451CC2" w:rsidP="00353C6F">
            <w:pPr>
              <w:pStyle w:val="Tabletext"/>
              <w:spacing w:line="230" w:lineRule="exact"/>
              <w:rPr>
                <w:rFonts w:eastAsia="Calibri"/>
              </w:rPr>
            </w:pPr>
            <w:r>
              <w:rPr>
                <w:rFonts w:eastAsia="Calibri"/>
              </w:rPr>
              <w:t>Social and Economic resilience</w:t>
            </w:r>
          </w:p>
        </w:tc>
        <w:tc>
          <w:tcPr>
            <w:tcW w:w="1148" w:type="dxa"/>
            <w:tcMar>
              <w:top w:w="40" w:type="dxa"/>
              <w:left w:w="40" w:type="dxa"/>
              <w:bottom w:w="40" w:type="dxa"/>
              <w:right w:w="40" w:type="dxa"/>
            </w:tcMar>
            <w:vAlign w:val="center"/>
          </w:tcPr>
          <w:p w14:paraId="47EE4B89" w14:textId="77777777" w:rsidR="00451CC2" w:rsidRDefault="00451CC2" w:rsidP="00353C6F">
            <w:pPr>
              <w:pStyle w:val="Tabletext"/>
              <w:spacing w:line="230" w:lineRule="exact"/>
              <w:rPr>
                <w:rFonts w:eastAsia="Calibri"/>
              </w:rPr>
            </w:pPr>
            <w:r>
              <w:rPr>
                <w:rFonts w:eastAsia="Calibri"/>
              </w:rPr>
              <w:t>Not completed</w:t>
            </w:r>
          </w:p>
        </w:tc>
      </w:tr>
      <w:tr w:rsidR="00451CC2" w14:paraId="35BC6ECD" w14:textId="77777777" w:rsidTr="00425017">
        <w:trPr>
          <w:trHeight w:val="170"/>
          <w:jc w:val="center"/>
        </w:trPr>
        <w:tc>
          <w:tcPr>
            <w:tcW w:w="2969" w:type="dxa"/>
            <w:tcMar>
              <w:top w:w="0" w:type="dxa"/>
              <w:left w:w="40" w:type="dxa"/>
              <w:bottom w:w="0" w:type="dxa"/>
              <w:right w:w="40" w:type="dxa"/>
            </w:tcMar>
            <w:vAlign w:val="center"/>
          </w:tcPr>
          <w:p w14:paraId="4A07F0FA" w14:textId="77777777" w:rsidR="00451CC2" w:rsidRDefault="00540671" w:rsidP="00353C6F">
            <w:pPr>
              <w:pStyle w:val="Tabletext"/>
              <w:spacing w:line="230" w:lineRule="exact"/>
              <w:rPr>
                <w:rFonts w:eastAsia="Calibri"/>
              </w:rPr>
            </w:pPr>
            <w:r w:rsidRPr="00540671">
              <w:rPr>
                <w:rFonts w:eastAsia="Calibri"/>
                <w:b/>
              </w:rPr>
              <w:t>REFORM 4:</w:t>
            </w:r>
            <w:r w:rsidR="00451CC2">
              <w:rPr>
                <w:rFonts w:eastAsia="Calibri"/>
              </w:rPr>
              <w:t xml:space="preserve"> Social Benefits Optimization</w:t>
            </w:r>
          </w:p>
        </w:tc>
        <w:tc>
          <w:tcPr>
            <w:tcW w:w="1450" w:type="dxa"/>
            <w:tcMar>
              <w:top w:w="0" w:type="dxa"/>
              <w:left w:w="40" w:type="dxa"/>
              <w:bottom w:w="0" w:type="dxa"/>
              <w:right w:w="40" w:type="dxa"/>
            </w:tcMar>
            <w:vAlign w:val="center"/>
          </w:tcPr>
          <w:p w14:paraId="2DB48B27" w14:textId="77777777" w:rsidR="00451CC2" w:rsidRDefault="00451CC2" w:rsidP="00353C6F">
            <w:pPr>
              <w:pStyle w:val="Tabletext"/>
              <w:spacing w:line="230" w:lineRule="exact"/>
              <w:rPr>
                <w:rFonts w:eastAsia="Calibri"/>
              </w:rPr>
            </w:pPr>
            <w:r>
              <w:rPr>
                <w:rFonts w:eastAsia="Calibri"/>
              </w:rPr>
              <w:t>RRF 16726</w:t>
            </w:r>
          </w:p>
        </w:tc>
        <w:tc>
          <w:tcPr>
            <w:tcW w:w="1664" w:type="dxa"/>
            <w:tcMar>
              <w:top w:w="0" w:type="dxa"/>
              <w:left w:w="40" w:type="dxa"/>
              <w:bottom w:w="0" w:type="dxa"/>
              <w:right w:w="40" w:type="dxa"/>
            </w:tcMar>
            <w:vAlign w:val="center"/>
          </w:tcPr>
          <w:p w14:paraId="024B12F7" w14:textId="77777777" w:rsidR="00451CC2" w:rsidRPr="00A746D8" w:rsidRDefault="00451CC2" w:rsidP="00353C6F">
            <w:pPr>
              <w:pStyle w:val="Tabletext"/>
              <w:spacing w:line="230" w:lineRule="exact"/>
              <w:rPr>
                <w:rFonts w:eastAsia="Calibri"/>
              </w:rPr>
            </w:pPr>
            <w:r w:rsidRPr="00A746D8">
              <w:rPr>
                <w:rFonts w:eastAsia="Calibri"/>
              </w:rPr>
              <w:t>2025.CSR5.7</w:t>
            </w:r>
          </w:p>
          <w:p w14:paraId="15233F43" w14:textId="77777777" w:rsidR="00451CC2" w:rsidRPr="00A746D8" w:rsidRDefault="00451CC2" w:rsidP="00353C6F">
            <w:pPr>
              <w:pStyle w:val="Tabletext"/>
              <w:spacing w:line="230" w:lineRule="exact"/>
              <w:rPr>
                <w:rFonts w:eastAsia="Calibri"/>
              </w:rPr>
            </w:pPr>
            <w:r w:rsidRPr="00A746D8">
              <w:rPr>
                <w:rFonts w:eastAsia="Calibri"/>
              </w:rPr>
              <w:t>2024.CSR2.1</w:t>
            </w:r>
          </w:p>
          <w:p w14:paraId="043EA34B" w14:textId="77777777" w:rsidR="00451CC2" w:rsidRPr="00A746D8" w:rsidRDefault="00451CC2" w:rsidP="00353C6F">
            <w:pPr>
              <w:pStyle w:val="Tabletext"/>
              <w:spacing w:line="230" w:lineRule="exact"/>
              <w:rPr>
                <w:rFonts w:eastAsia="Calibri"/>
              </w:rPr>
            </w:pPr>
            <w:r w:rsidRPr="00A746D8">
              <w:rPr>
                <w:rFonts w:eastAsia="Calibri"/>
              </w:rPr>
              <w:t>2024.CSR1.7</w:t>
            </w:r>
          </w:p>
          <w:p w14:paraId="720B3655" w14:textId="77777777" w:rsidR="00451CC2" w:rsidRPr="00A746D8" w:rsidRDefault="00451CC2" w:rsidP="00353C6F">
            <w:pPr>
              <w:pStyle w:val="Tabletext"/>
              <w:spacing w:line="230" w:lineRule="exact"/>
              <w:rPr>
                <w:rFonts w:eastAsia="Calibri"/>
              </w:rPr>
            </w:pPr>
            <w:r w:rsidRPr="00A746D8">
              <w:rPr>
                <w:rFonts w:eastAsia="Calibri"/>
              </w:rPr>
              <w:t>2020.CSR2.1</w:t>
            </w:r>
          </w:p>
          <w:p w14:paraId="33303CA9" w14:textId="77777777" w:rsidR="00451CC2" w:rsidRPr="00A746D8" w:rsidRDefault="00451CC2" w:rsidP="00353C6F">
            <w:pPr>
              <w:pStyle w:val="Tabletext"/>
              <w:spacing w:line="230" w:lineRule="exact"/>
              <w:rPr>
                <w:rFonts w:eastAsia="Calibri"/>
              </w:rPr>
            </w:pPr>
            <w:r w:rsidRPr="00A746D8">
              <w:rPr>
                <w:rFonts w:eastAsia="Calibri"/>
              </w:rPr>
              <w:t>2020.CSR3.9</w:t>
            </w:r>
          </w:p>
          <w:p w14:paraId="5C93FAE1" w14:textId="77777777" w:rsidR="00451CC2" w:rsidRDefault="00451CC2" w:rsidP="00353C6F">
            <w:pPr>
              <w:pStyle w:val="Tabletext"/>
              <w:spacing w:line="230" w:lineRule="exact"/>
              <w:rPr>
                <w:rFonts w:eastAsia="Calibri"/>
              </w:rPr>
            </w:pPr>
            <w:r>
              <w:rPr>
                <w:rFonts w:eastAsia="Calibri"/>
              </w:rPr>
              <w:t>2019.CSR2.3</w:t>
            </w:r>
          </w:p>
        </w:tc>
        <w:tc>
          <w:tcPr>
            <w:tcW w:w="1692" w:type="dxa"/>
            <w:tcMar>
              <w:top w:w="0" w:type="dxa"/>
              <w:left w:w="40" w:type="dxa"/>
              <w:bottom w:w="0" w:type="dxa"/>
              <w:right w:w="40" w:type="dxa"/>
            </w:tcMar>
            <w:vAlign w:val="center"/>
          </w:tcPr>
          <w:p w14:paraId="340C81A0" w14:textId="77777777" w:rsidR="00451CC2" w:rsidRDefault="00451CC2" w:rsidP="00353C6F">
            <w:pPr>
              <w:pStyle w:val="Tabletext"/>
              <w:spacing w:line="230" w:lineRule="exact"/>
              <w:rPr>
                <w:rFonts w:eastAsia="Calibri"/>
              </w:rPr>
            </w:pPr>
            <w:r>
              <w:rPr>
                <w:rFonts w:eastAsia="Calibri"/>
              </w:rPr>
              <w:t>Social and Economic resilience</w:t>
            </w:r>
          </w:p>
        </w:tc>
        <w:tc>
          <w:tcPr>
            <w:tcW w:w="1148" w:type="dxa"/>
            <w:tcMar>
              <w:top w:w="40" w:type="dxa"/>
              <w:left w:w="40" w:type="dxa"/>
              <w:bottom w:w="40" w:type="dxa"/>
              <w:right w:w="40" w:type="dxa"/>
            </w:tcMar>
            <w:vAlign w:val="center"/>
          </w:tcPr>
          <w:p w14:paraId="5ED5A294" w14:textId="77777777" w:rsidR="00451CC2" w:rsidRDefault="00451CC2" w:rsidP="00353C6F">
            <w:pPr>
              <w:pStyle w:val="Tabletext"/>
              <w:spacing w:line="230" w:lineRule="exact"/>
              <w:rPr>
                <w:rFonts w:eastAsia="Calibri"/>
              </w:rPr>
            </w:pPr>
            <w:r>
              <w:rPr>
                <w:rFonts w:eastAsia="Calibri"/>
                <w:color w:val="0000FF"/>
              </w:rPr>
              <w:t xml:space="preserve"> </w:t>
            </w:r>
            <w:r>
              <w:rPr>
                <w:rFonts w:eastAsia="Calibri"/>
              </w:rPr>
              <w:t>Completed</w:t>
            </w:r>
          </w:p>
          <w:p w14:paraId="44CADE3C" w14:textId="77777777" w:rsidR="00451CC2" w:rsidRDefault="00451CC2" w:rsidP="00353C6F">
            <w:pPr>
              <w:pStyle w:val="Tabletext"/>
              <w:spacing w:line="230" w:lineRule="exact"/>
              <w:rPr>
                <w:rFonts w:eastAsia="Calibri"/>
              </w:rPr>
            </w:pPr>
          </w:p>
        </w:tc>
      </w:tr>
      <w:tr w:rsidR="00451CC2" w14:paraId="59DB0C43" w14:textId="77777777" w:rsidTr="00425017">
        <w:trPr>
          <w:trHeight w:val="170"/>
          <w:jc w:val="center"/>
        </w:trPr>
        <w:tc>
          <w:tcPr>
            <w:tcW w:w="2969" w:type="dxa"/>
            <w:tcMar>
              <w:top w:w="0" w:type="dxa"/>
              <w:left w:w="40" w:type="dxa"/>
              <w:bottom w:w="0" w:type="dxa"/>
              <w:right w:w="40" w:type="dxa"/>
            </w:tcMar>
            <w:vAlign w:val="center"/>
          </w:tcPr>
          <w:p w14:paraId="18F3817F" w14:textId="77777777" w:rsidR="00451CC2" w:rsidRDefault="00540671" w:rsidP="00353C6F">
            <w:pPr>
              <w:pStyle w:val="Tabletext"/>
              <w:spacing w:line="230" w:lineRule="exact"/>
              <w:rPr>
                <w:rFonts w:eastAsia="Calibri"/>
              </w:rPr>
            </w:pPr>
            <w:r w:rsidRPr="00540671">
              <w:rPr>
                <w:rFonts w:eastAsia="Calibri"/>
                <w:b/>
              </w:rPr>
              <w:t>REFORM 5:</w:t>
            </w:r>
            <w:r w:rsidR="00451CC2">
              <w:rPr>
                <w:rFonts w:eastAsia="Calibri"/>
              </w:rPr>
              <w:t xml:space="preserve"> New Housing policy</w:t>
            </w:r>
          </w:p>
        </w:tc>
        <w:tc>
          <w:tcPr>
            <w:tcW w:w="1450" w:type="dxa"/>
            <w:tcMar>
              <w:top w:w="0" w:type="dxa"/>
              <w:left w:w="40" w:type="dxa"/>
              <w:bottom w:w="0" w:type="dxa"/>
              <w:right w:w="40" w:type="dxa"/>
            </w:tcMar>
            <w:vAlign w:val="center"/>
          </w:tcPr>
          <w:p w14:paraId="50BBA281" w14:textId="77777777" w:rsidR="00451CC2" w:rsidRDefault="00451CC2" w:rsidP="00353C6F">
            <w:pPr>
              <w:pStyle w:val="Tabletext"/>
              <w:spacing w:line="230" w:lineRule="exact"/>
              <w:rPr>
                <w:rFonts w:eastAsia="Calibri"/>
              </w:rPr>
            </w:pPr>
            <w:r>
              <w:rPr>
                <w:rFonts w:eastAsia="Calibri"/>
              </w:rPr>
              <w:t>-</w:t>
            </w:r>
          </w:p>
        </w:tc>
        <w:tc>
          <w:tcPr>
            <w:tcW w:w="1664" w:type="dxa"/>
            <w:tcMar>
              <w:top w:w="0" w:type="dxa"/>
              <w:left w:w="40" w:type="dxa"/>
              <w:bottom w:w="0" w:type="dxa"/>
              <w:right w:w="40" w:type="dxa"/>
            </w:tcMar>
            <w:vAlign w:val="center"/>
          </w:tcPr>
          <w:p w14:paraId="4955FFA3" w14:textId="77777777" w:rsidR="00451CC2" w:rsidRDefault="00451CC2" w:rsidP="00353C6F">
            <w:pPr>
              <w:pStyle w:val="Tabletext"/>
              <w:spacing w:line="230" w:lineRule="exact"/>
              <w:rPr>
                <w:rFonts w:eastAsia="Calibri"/>
              </w:rPr>
            </w:pPr>
            <w:r>
              <w:rPr>
                <w:rFonts w:eastAsia="Calibri"/>
              </w:rPr>
              <w:t>2025.CSR5.7</w:t>
            </w:r>
          </w:p>
          <w:p w14:paraId="033CE2B7" w14:textId="77777777" w:rsidR="00451CC2" w:rsidRDefault="00451CC2" w:rsidP="00353C6F">
            <w:pPr>
              <w:pStyle w:val="Tabletext"/>
              <w:spacing w:line="230" w:lineRule="exact"/>
              <w:rPr>
                <w:rFonts w:eastAsia="Calibri"/>
              </w:rPr>
            </w:pPr>
            <w:r>
              <w:rPr>
                <w:rFonts w:eastAsia="Calibri"/>
              </w:rPr>
              <w:t>2023.CSR4</w:t>
            </w:r>
          </w:p>
          <w:p w14:paraId="51D2396E" w14:textId="77777777" w:rsidR="00451CC2" w:rsidRDefault="00451CC2" w:rsidP="00353C6F">
            <w:pPr>
              <w:pStyle w:val="Tabletext"/>
              <w:spacing w:line="230" w:lineRule="exact"/>
              <w:rPr>
                <w:rFonts w:eastAsia="Calibri"/>
              </w:rPr>
            </w:pPr>
            <w:r>
              <w:rPr>
                <w:rFonts w:eastAsia="Calibri"/>
              </w:rPr>
              <w:t>2019.CSR2.9</w:t>
            </w:r>
          </w:p>
        </w:tc>
        <w:tc>
          <w:tcPr>
            <w:tcW w:w="1692" w:type="dxa"/>
            <w:tcMar>
              <w:top w:w="0" w:type="dxa"/>
              <w:left w:w="40" w:type="dxa"/>
              <w:bottom w:w="0" w:type="dxa"/>
              <w:right w:w="40" w:type="dxa"/>
            </w:tcMar>
            <w:vAlign w:val="center"/>
          </w:tcPr>
          <w:p w14:paraId="08F21E96" w14:textId="77777777" w:rsidR="00451CC2" w:rsidRDefault="00451CC2" w:rsidP="00353C6F">
            <w:pPr>
              <w:pStyle w:val="Tabletext"/>
              <w:spacing w:line="230" w:lineRule="exact"/>
              <w:rPr>
                <w:rFonts w:eastAsia="Calibri"/>
              </w:rPr>
            </w:pPr>
            <w:r>
              <w:rPr>
                <w:rFonts w:eastAsia="Calibri"/>
              </w:rPr>
              <w:t>Social and Economic resilience</w:t>
            </w:r>
          </w:p>
        </w:tc>
        <w:tc>
          <w:tcPr>
            <w:tcW w:w="1148" w:type="dxa"/>
            <w:tcMar>
              <w:top w:w="40" w:type="dxa"/>
              <w:left w:w="40" w:type="dxa"/>
              <w:bottom w:w="40" w:type="dxa"/>
              <w:right w:w="40" w:type="dxa"/>
            </w:tcMar>
            <w:vAlign w:val="center"/>
          </w:tcPr>
          <w:p w14:paraId="4B8C2101" w14:textId="77777777" w:rsidR="00451CC2" w:rsidRDefault="00451CC2" w:rsidP="00353C6F">
            <w:pPr>
              <w:pStyle w:val="Tabletext"/>
              <w:spacing w:line="230" w:lineRule="exact"/>
              <w:rPr>
                <w:rFonts w:eastAsia="Calibri"/>
              </w:rPr>
            </w:pPr>
            <w:r>
              <w:rPr>
                <w:rFonts w:eastAsia="Calibri"/>
              </w:rPr>
              <w:t>On track</w:t>
            </w:r>
          </w:p>
        </w:tc>
      </w:tr>
      <w:tr w:rsidR="00451CC2" w14:paraId="432C0E8D" w14:textId="77777777" w:rsidTr="00425017">
        <w:trPr>
          <w:trHeight w:val="170"/>
          <w:jc w:val="center"/>
        </w:trPr>
        <w:tc>
          <w:tcPr>
            <w:tcW w:w="2969" w:type="dxa"/>
            <w:tcMar>
              <w:top w:w="0" w:type="dxa"/>
              <w:left w:w="40" w:type="dxa"/>
              <w:bottom w:w="0" w:type="dxa"/>
              <w:right w:w="40" w:type="dxa"/>
            </w:tcMar>
            <w:vAlign w:val="center"/>
          </w:tcPr>
          <w:p w14:paraId="43724B91" w14:textId="77777777" w:rsidR="00451CC2" w:rsidRPr="00A746D8" w:rsidRDefault="00540671" w:rsidP="00353C6F">
            <w:pPr>
              <w:pStyle w:val="Tabletext"/>
              <w:spacing w:line="230" w:lineRule="exact"/>
              <w:rPr>
                <w:rFonts w:eastAsia="Calibri"/>
              </w:rPr>
            </w:pPr>
            <w:r w:rsidRPr="00540671">
              <w:rPr>
                <w:rFonts w:eastAsia="Calibri"/>
                <w:b/>
              </w:rPr>
              <w:t>REFORM 6:</w:t>
            </w:r>
            <w:r w:rsidR="00451CC2" w:rsidRPr="00A746D8">
              <w:rPr>
                <w:rFonts w:eastAsia="Calibri"/>
              </w:rPr>
              <w:t xml:space="preserve"> Social Housing/ </w:t>
            </w:r>
            <w:proofErr w:type="spellStart"/>
            <w:r w:rsidR="00451CC2" w:rsidRPr="00A746D8">
              <w:rPr>
                <w:rFonts w:eastAsia="Calibri"/>
              </w:rPr>
              <w:t>Antiparochi</w:t>
            </w:r>
            <w:proofErr w:type="spellEnd"/>
            <w:r w:rsidR="00451CC2" w:rsidRPr="00A746D8">
              <w:rPr>
                <w:rFonts w:eastAsia="Calibri"/>
              </w:rPr>
              <w:t xml:space="preserve"> Program</w:t>
            </w:r>
          </w:p>
        </w:tc>
        <w:tc>
          <w:tcPr>
            <w:tcW w:w="1450" w:type="dxa"/>
            <w:tcMar>
              <w:top w:w="0" w:type="dxa"/>
              <w:left w:w="40" w:type="dxa"/>
              <w:bottom w:w="0" w:type="dxa"/>
              <w:right w:w="40" w:type="dxa"/>
            </w:tcMar>
            <w:vAlign w:val="center"/>
          </w:tcPr>
          <w:p w14:paraId="12C9E2BA" w14:textId="77777777" w:rsidR="00451CC2" w:rsidRDefault="00451CC2" w:rsidP="00353C6F">
            <w:pPr>
              <w:pStyle w:val="Tabletext"/>
              <w:spacing w:line="230" w:lineRule="exact"/>
              <w:rPr>
                <w:rFonts w:eastAsia="Calibri"/>
              </w:rPr>
            </w:pPr>
            <w:r>
              <w:rPr>
                <w:rFonts w:eastAsia="Calibri"/>
              </w:rPr>
              <w:t>-</w:t>
            </w:r>
          </w:p>
        </w:tc>
        <w:tc>
          <w:tcPr>
            <w:tcW w:w="1664" w:type="dxa"/>
            <w:tcMar>
              <w:top w:w="0" w:type="dxa"/>
              <w:left w:w="40" w:type="dxa"/>
              <w:bottom w:w="0" w:type="dxa"/>
              <w:right w:w="40" w:type="dxa"/>
            </w:tcMar>
            <w:vAlign w:val="center"/>
          </w:tcPr>
          <w:p w14:paraId="660BC65F" w14:textId="77777777" w:rsidR="00451CC2" w:rsidRPr="00A746D8" w:rsidRDefault="00451CC2" w:rsidP="00353C6F">
            <w:pPr>
              <w:pStyle w:val="Tabletext"/>
              <w:spacing w:line="230" w:lineRule="exact"/>
              <w:rPr>
                <w:rFonts w:eastAsia="Calibri"/>
              </w:rPr>
            </w:pPr>
            <w:r w:rsidRPr="00A746D8">
              <w:rPr>
                <w:rFonts w:eastAsia="Calibri"/>
              </w:rPr>
              <w:t>2025.CSR5.7</w:t>
            </w:r>
          </w:p>
          <w:p w14:paraId="6CC60B51" w14:textId="77777777" w:rsidR="00451CC2" w:rsidRPr="00A746D8" w:rsidRDefault="00451CC2" w:rsidP="00353C6F">
            <w:pPr>
              <w:pStyle w:val="Tabletext"/>
              <w:spacing w:line="230" w:lineRule="exact"/>
              <w:rPr>
                <w:rFonts w:eastAsia="Calibri"/>
              </w:rPr>
            </w:pPr>
            <w:r w:rsidRPr="00A746D8">
              <w:rPr>
                <w:rFonts w:eastAsia="Calibri"/>
              </w:rPr>
              <w:t>2024.CSR1.7</w:t>
            </w:r>
          </w:p>
          <w:p w14:paraId="04AD1658" w14:textId="77777777" w:rsidR="00451CC2" w:rsidRPr="00A746D8" w:rsidRDefault="00451CC2" w:rsidP="00353C6F">
            <w:pPr>
              <w:pStyle w:val="Tabletext"/>
              <w:spacing w:line="230" w:lineRule="exact"/>
              <w:rPr>
                <w:rFonts w:eastAsia="Calibri"/>
                <w:strike/>
              </w:rPr>
            </w:pPr>
            <w:r w:rsidRPr="00A746D8">
              <w:rPr>
                <w:rFonts w:eastAsia="Calibri"/>
              </w:rPr>
              <w:t>2024.CSR3.2.</w:t>
            </w:r>
          </w:p>
          <w:p w14:paraId="7F3EE171" w14:textId="77777777" w:rsidR="00451CC2" w:rsidRPr="00A746D8" w:rsidRDefault="00451CC2" w:rsidP="00353C6F">
            <w:pPr>
              <w:pStyle w:val="Tabletext"/>
              <w:spacing w:line="230" w:lineRule="exact"/>
              <w:rPr>
                <w:rFonts w:eastAsia="Calibri"/>
              </w:rPr>
            </w:pPr>
            <w:r w:rsidRPr="00A746D8">
              <w:rPr>
                <w:rFonts w:eastAsia="Calibri"/>
              </w:rPr>
              <w:t>2020.CSR3.3</w:t>
            </w:r>
          </w:p>
          <w:p w14:paraId="2A5BA416" w14:textId="77777777" w:rsidR="00451CC2" w:rsidRPr="00A746D8" w:rsidRDefault="00451CC2" w:rsidP="00353C6F">
            <w:pPr>
              <w:pStyle w:val="Tabletext"/>
              <w:spacing w:line="230" w:lineRule="exact"/>
              <w:rPr>
                <w:rFonts w:eastAsia="Calibri"/>
              </w:rPr>
            </w:pPr>
            <w:r w:rsidRPr="00A746D8">
              <w:rPr>
                <w:rFonts w:eastAsia="Calibri"/>
              </w:rPr>
              <w:t>2019.CSR2.9</w:t>
            </w:r>
          </w:p>
        </w:tc>
        <w:tc>
          <w:tcPr>
            <w:tcW w:w="1692" w:type="dxa"/>
            <w:tcMar>
              <w:top w:w="0" w:type="dxa"/>
              <w:left w:w="40" w:type="dxa"/>
              <w:bottom w:w="0" w:type="dxa"/>
              <w:right w:w="40" w:type="dxa"/>
            </w:tcMar>
            <w:vAlign w:val="center"/>
          </w:tcPr>
          <w:p w14:paraId="18B2B989" w14:textId="77777777" w:rsidR="00451CC2" w:rsidRDefault="00451CC2" w:rsidP="00353C6F">
            <w:pPr>
              <w:pStyle w:val="Tabletext"/>
              <w:spacing w:line="230" w:lineRule="exact"/>
              <w:rPr>
                <w:rFonts w:eastAsia="Calibri"/>
              </w:rPr>
            </w:pPr>
            <w:r>
              <w:rPr>
                <w:rFonts w:eastAsia="Calibri"/>
              </w:rPr>
              <w:t>Social and Economic resilience</w:t>
            </w:r>
          </w:p>
        </w:tc>
        <w:tc>
          <w:tcPr>
            <w:tcW w:w="1148" w:type="dxa"/>
            <w:tcMar>
              <w:top w:w="40" w:type="dxa"/>
              <w:left w:w="40" w:type="dxa"/>
              <w:bottom w:w="40" w:type="dxa"/>
              <w:right w:w="40" w:type="dxa"/>
            </w:tcMar>
            <w:vAlign w:val="center"/>
          </w:tcPr>
          <w:p w14:paraId="1B847292" w14:textId="77777777" w:rsidR="00451CC2" w:rsidRDefault="00451CC2" w:rsidP="00353C6F">
            <w:pPr>
              <w:pStyle w:val="Tabletext"/>
              <w:spacing w:line="230" w:lineRule="exact"/>
              <w:rPr>
                <w:rFonts w:eastAsia="Calibri"/>
              </w:rPr>
            </w:pPr>
            <w:r>
              <w:rPr>
                <w:rFonts w:eastAsia="Calibri"/>
              </w:rPr>
              <w:t>On track</w:t>
            </w:r>
          </w:p>
        </w:tc>
      </w:tr>
      <w:tr w:rsidR="00451CC2" w14:paraId="153157C8" w14:textId="77777777" w:rsidTr="00425017">
        <w:trPr>
          <w:trHeight w:val="170"/>
          <w:jc w:val="center"/>
        </w:trPr>
        <w:tc>
          <w:tcPr>
            <w:tcW w:w="2969" w:type="dxa"/>
            <w:tcMar>
              <w:top w:w="0" w:type="dxa"/>
              <w:left w:w="40" w:type="dxa"/>
              <w:bottom w:w="0" w:type="dxa"/>
              <w:right w:w="40" w:type="dxa"/>
            </w:tcMar>
            <w:vAlign w:val="center"/>
          </w:tcPr>
          <w:p w14:paraId="0C3703F4" w14:textId="77777777" w:rsidR="00451CC2" w:rsidRDefault="00540671" w:rsidP="00353C6F">
            <w:pPr>
              <w:pStyle w:val="Tabletext"/>
              <w:spacing w:line="230" w:lineRule="exact"/>
              <w:rPr>
                <w:rFonts w:eastAsia="Calibri"/>
              </w:rPr>
            </w:pPr>
            <w:r w:rsidRPr="00540671">
              <w:rPr>
                <w:rFonts w:eastAsia="Calibri"/>
                <w:b/>
              </w:rPr>
              <w:t>REFORM 7:</w:t>
            </w:r>
            <w:r w:rsidR="00451CC2">
              <w:rPr>
                <w:rFonts w:eastAsia="Calibri"/>
              </w:rPr>
              <w:t xml:space="preserve"> National Demographic Strategy</w:t>
            </w:r>
          </w:p>
        </w:tc>
        <w:tc>
          <w:tcPr>
            <w:tcW w:w="1450" w:type="dxa"/>
            <w:tcMar>
              <w:top w:w="0" w:type="dxa"/>
              <w:left w:w="40" w:type="dxa"/>
              <w:bottom w:w="0" w:type="dxa"/>
              <w:right w:w="40" w:type="dxa"/>
            </w:tcMar>
            <w:vAlign w:val="center"/>
          </w:tcPr>
          <w:p w14:paraId="359F5B1E" w14:textId="77777777" w:rsidR="00451CC2" w:rsidRDefault="00451CC2" w:rsidP="00353C6F">
            <w:pPr>
              <w:pStyle w:val="Tabletext"/>
              <w:spacing w:line="230" w:lineRule="exact"/>
              <w:rPr>
                <w:rFonts w:eastAsia="Calibri"/>
              </w:rPr>
            </w:pPr>
            <w:r>
              <w:rPr>
                <w:rFonts w:eastAsia="Calibri"/>
              </w:rPr>
              <w:t>-</w:t>
            </w:r>
          </w:p>
        </w:tc>
        <w:tc>
          <w:tcPr>
            <w:tcW w:w="1664" w:type="dxa"/>
            <w:tcMar>
              <w:top w:w="0" w:type="dxa"/>
              <w:left w:w="40" w:type="dxa"/>
              <w:bottom w:w="0" w:type="dxa"/>
              <w:right w:w="40" w:type="dxa"/>
            </w:tcMar>
            <w:vAlign w:val="center"/>
          </w:tcPr>
          <w:p w14:paraId="3D775F92" w14:textId="77777777" w:rsidR="00451CC2" w:rsidRDefault="00451CC2" w:rsidP="00353C6F">
            <w:pPr>
              <w:pStyle w:val="Tabletext"/>
              <w:spacing w:line="230" w:lineRule="exact"/>
              <w:rPr>
                <w:rFonts w:eastAsia="Calibri"/>
                <w:strike/>
              </w:rPr>
            </w:pPr>
            <w:r>
              <w:rPr>
                <w:rFonts w:eastAsia="Calibri"/>
              </w:rPr>
              <w:t>2025.CSR5.1</w:t>
            </w:r>
          </w:p>
          <w:p w14:paraId="279A3D6E" w14:textId="77777777" w:rsidR="00451CC2" w:rsidRDefault="00451CC2" w:rsidP="00353C6F">
            <w:pPr>
              <w:pStyle w:val="Tabletext"/>
              <w:spacing w:line="230" w:lineRule="exact"/>
              <w:rPr>
                <w:rFonts w:eastAsia="Calibri"/>
              </w:rPr>
            </w:pPr>
            <w:r>
              <w:rPr>
                <w:rFonts w:eastAsia="Calibri"/>
              </w:rPr>
              <w:t>2019.CSR2.9</w:t>
            </w:r>
          </w:p>
        </w:tc>
        <w:tc>
          <w:tcPr>
            <w:tcW w:w="1692" w:type="dxa"/>
            <w:tcMar>
              <w:top w:w="0" w:type="dxa"/>
              <w:left w:w="40" w:type="dxa"/>
              <w:bottom w:w="0" w:type="dxa"/>
              <w:right w:w="40" w:type="dxa"/>
            </w:tcMar>
            <w:vAlign w:val="center"/>
          </w:tcPr>
          <w:p w14:paraId="6333732F" w14:textId="77777777" w:rsidR="00451CC2" w:rsidRDefault="00451CC2" w:rsidP="00353C6F">
            <w:pPr>
              <w:pStyle w:val="Tabletext"/>
              <w:spacing w:line="230" w:lineRule="exact"/>
              <w:rPr>
                <w:rFonts w:eastAsia="Calibri"/>
              </w:rPr>
            </w:pPr>
            <w:r>
              <w:rPr>
                <w:rFonts w:eastAsia="Calibri"/>
              </w:rPr>
              <w:t>Social and Economic resilience</w:t>
            </w:r>
          </w:p>
        </w:tc>
        <w:tc>
          <w:tcPr>
            <w:tcW w:w="1148" w:type="dxa"/>
            <w:tcMar>
              <w:top w:w="40" w:type="dxa"/>
              <w:left w:w="40" w:type="dxa"/>
              <w:bottom w:w="40" w:type="dxa"/>
              <w:right w:w="40" w:type="dxa"/>
            </w:tcMar>
            <w:vAlign w:val="center"/>
          </w:tcPr>
          <w:p w14:paraId="47D6C431" w14:textId="77777777" w:rsidR="00451CC2" w:rsidRDefault="00451CC2" w:rsidP="00353C6F">
            <w:pPr>
              <w:pStyle w:val="Tabletext"/>
              <w:spacing w:line="230" w:lineRule="exact"/>
              <w:rPr>
                <w:rFonts w:eastAsia="Calibri"/>
              </w:rPr>
            </w:pPr>
            <w:r>
              <w:rPr>
                <w:rFonts w:eastAsia="Calibri"/>
              </w:rPr>
              <w:t>On track</w:t>
            </w:r>
          </w:p>
        </w:tc>
      </w:tr>
      <w:tr w:rsidR="00451CC2" w14:paraId="0993FCDF" w14:textId="77777777" w:rsidTr="00425017">
        <w:trPr>
          <w:trHeight w:val="170"/>
          <w:jc w:val="center"/>
        </w:trPr>
        <w:tc>
          <w:tcPr>
            <w:tcW w:w="2969" w:type="dxa"/>
            <w:tcMar>
              <w:top w:w="0" w:type="dxa"/>
              <w:left w:w="40" w:type="dxa"/>
              <w:bottom w:w="0" w:type="dxa"/>
              <w:right w:w="40" w:type="dxa"/>
            </w:tcMar>
            <w:vAlign w:val="center"/>
          </w:tcPr>
          <w:p w14:paraId="21014E2D" w14:textId="77777777" w:rsidR="00451CC2" w:rsidRDefault="00540671" w:rsidP="00353C6F">
            <w:pPr>
              <w:pStyle w:val="Tabletext"/>
              <w:spacing w:line="230" w:lineRule="exact"/>
              <w:rPr>
                <w:rFonts w:eastAsia="Calibri"/>
              </w:rPr>
            </w:pPr>
            <w:r w:rsidRPr="00540671">
              <w:rPr>
                <w:rFonts w:eastAsia="Calibri"/>
                <w:b/>
              </w:rPr>
              <w:t>REFORM 8:</w:t>
            </w:r>
            <w:r w:rsidR="00451CC2">
              <w:rPr>
                <w:rFonts w:eastAsia="Calibri"/>
              </w:rPr>
              <w:t xml:space="preserve"> </w:t>
            </w:r>
            <w:proofErr w:type="spellStart"/>
            <w:r w:rsidR="00353C6F">
              <w:rPr>
                <w:rFonts w:eastAsia="Calibri"/>
              </w:rPr>
              <w:t>Neighbourhood</w:t>
            </w:r>
            <w:proofErr w:type="spellEnd"/>
            <w:r w:rsidR="00451CC2">
              <w:rPr>
                <w:rFonts w:eastAsia="Calibri"/>
              </w:rPr>
              <w:t xml:space="preserve"> Nannies</w:t>
            </w:r>
          </w:p>
        </w:tc>
        <w:tc>
          <w:tcPr>
            <w:tcW w:w="1450" w:type="dxa"/>
            <w:tcMar>
              <w:top w:w="0" w:type="dxa"/>
              <w:left w:w="40" w:type="dxa"/>
              <w:bottom w:w="0" w:type="dxa"/>
              <w:right w:w="40" w:type="dxa"/>
            </w:tcMar>
            <w:vAlign w:val="center"/>
          </w:tcPr>
          <w:p w14:paraId="4A20E8DE" w14:textId="77777777" w:rsidR="00451CC2" w:rsidRDefault="00451CC2" w:rsidP="00353C6F">
            <w:pPr>
              <w:pStyle w:val="Tabletext"/>
              <w:spacing w:line="230" w:lineRule="exact"/>
              <w:rPr>
                <w:rFonts w:eastAsia="Calibri"/>
              </w:rPr>
            </w:pPr>
            <w:r>
              <w:rPr>
                <w:rFonts w:eastAsia="Calibri"/>
              </w:rPr>
              <w:t>MFF</w:t>
            </w:r>
          </w:p>
        </w:tc>
        <w:tc>
          <w:tcPr>
            <w:tcW w:w="1664" w:type="dxa"/>
            <w:tcMar>
              <w:top w:w="0" w:type="dxa"/>
              <w:left w:w="40" w:type="dxa"/>
              <w:bottom w:w="0" w:type="dxa"/>
              <w:right w:w="40" w:type="dxa"/>
            </w:tcMar>
            <w:vAlign w:val="center"/>
          </w:tcPr>
          <w:p w14:paraId="6B92624A" w14:textId="77777777" w:rsidR="00451CC2" w:rsidRDefault="00451CC2" w:rsidP="00353C6F">
            <w:pPr>
              <w:pStyle w:val="Tabletext"/>
              <w:spacing w:line="230" w:lineRule="exact"/>
              <w:rPr>
                <w:rFonts w:eastAsia="Calibri"/>
              </w:rPr>
            </w:pPr>
            <w:r>
              <w:rPr>
                <w:rFonts w:eastAsia="Calibri"/>
              </w:rPr>
              <w:t>2025.CSR5.1</w:t>
            </w:r>
          </w:p>
          <w:p w14:paraId="69D1A252" w14:textId="77777777" w:rsidR="00451CC2" w:rsidRDefault="00451CC2" w:rsidP="00353C6F">
            <w:pPr>
              <w:pStyle w:val="Tabletext"/>
              <w:spacing w:line="230" w:lineRule="exact"/>
              <w:rPr>
                <w:rFonts w:eastAsia="Calibri"/>
              </w:rPr>
            </w:pPr>
            <w:r>
              <w:rPr>
                <w:rFonts w:eastAsia="Calibri"/>
              </w:rPr>
              <w:t>2019.CSR2.7</w:t>
            </w:r>
          </w:p>
        </w:tc>
        <w:tc>
          <w:tcPr>
            <w:tcW w:w="1692" w:type="dxa"/>
            <w:tcMar>
              <w:top w:w="0" w:type="dxa"/>
              <w:left w:w="40" w:type="dxa"/>
              <w:bottom w:w="0" w:type="dxa"/>
              <w:right w:w="40" w:type="dxa"/>
            </w:tcMar>
            <w:vAlign w:val="center"/>
          </w:tcPr>
          <w:p w14:paraId="2A4D244B" w14:textId="77777777" w:rsidR="00451CC2" w:rsidRDefault="00451CC2" w:rsidP="00353C6F">
            <w:pPr>
              <w:pStyle w:val="Tabletext"/>
              <w:spacing w:line="230" w:lineRule="exact"/>
              <w:rPr>
                <w:rFonts w:eastAsia="Calibri"/>
              </w:rPr>
            </w:pPr>
            <w:r>
              <w:rPr>
                <w:rFonts w:eastAsia="Calibri"/>
              </w:rPr>
              <w:t>Social and Economic resilience</w:t>
            </w:r>
          </w:p>
        </w:tc>
        <w:tc>
          <w:tcPr>
            <w:tcW w:w="1148" w:type="dxa"/>
            <w:tcMar>
              <w:top w:w="40" w:type="dxa"/>
              <w:left w:w="40" w:type="dxa"/>
              <w:bottom w:w="40" w:type="dxa"/>
              <w:right w:w="40" w:type="dxa"/>
            </w:tcMar>
            <w:vAlign w:val="center"/>
          </w:tcPr>
          <w:p w14:paraId="6C76186D" w14:textId="77777777" w:rsidR="00451CC2" w:rsidRDefault="00451CC2" w:rsidP="00353C6F">
            <w:pPr>
              <w:pStyle w:val="Tabletext"/>
              <w:spacing w:line="230" w:lineRule="exact"/>
              <w:rPr>
                <w:rFonts w:eastAsia="Calibri"/>
              </w:rPr>
            </w:pPr>
            <w:r>
              <w:rPr>
                <w:rFonts w:eastAsia="Calibri"/>
              </w:rPr>
              <w:t>On track</w:t>
            </w:r>
          </w:p>
        </w:tc>
      </w:tr>
      <w:tr w:rsidR="00451CC2" w14:paraId="481E4755" w14:textId="77777777" w:rsidTr="00425017">
        <w:trPr>
          <w:trHeight w:val="170"/>
          <w:jc w:val="center"/>
        </w:trPr>
        <w:tc>
          <w:tcPr>
            <w:tcW w:w="2969" w:type="dxa"/>
            <w:tcMar>
              <w:top w:w="0" w:type="dxa"/>
              <w:left w:w="40" w:type="dxa"/>
              <w:bottom w:w="0" w:type="dxa"/>
              <w:right w:w="40" w:type="dxa"/>
            </w:tcMar>
            <w:vAlign w:val="center"/>
          </w:tcPr>
          <w:p w14:paraId="0D58A073" w14:textId="77777777" w:rsidR="00451CC2" w:rsidRPr="00A746D8" w:rsidRDefault="00540671" w:rsidP="00353C6F">
            <w:pPr>
              <w:pStyle w:val="Tabletext"/>
              <w:spacing w:line="230" w:lineRule="exact"/>
              <w:rPr>
                <w:rFonts w:eastAsia="Calibri"/>
              </w:rPr>
            </w:pPr>
            <w:r w:rsidRPr="00540671">
              <w:rPr>
                <w:rFonts w:eastAsia="Calibri"/>
                <w:b/>
              </w:rPr>
              <w:t>REFORM 9:</w:t>
            </w:r>
            <w:r w:rsidR="00451CC2" w:rsidRPr="00A746D8">
              <w:rPr>
                <w:rFonts w:eastAsia="Calibri"/>
              </w:rPr>
              <w:t xml:space="preserve"> Observatory for Demography and the Family</w:t>
            </w:r>
          </w:p>
        </w:tc>
        <w:tc>
          <w:tcPr>
            <w:tcW w:w="1450" w:type="dxa"/>
            <w:tcMar>
              <w:top w:w="0" w:type="dxa"/>
              <w:left w:w="40" w:type="dxa"/>
              <w:bottom w:w="0" w:type="dxa"/>
              <w:right w:w="40" w:type="dxa"/>
            </w:tcMar>
            <w:vAlign w:val="center"/>
          </w:tcPr>
          <w:p w14:paraId="1C10206A" w14:textId="77777777" w:rsidR="00451CC2" w:rsidRDefault="00451CC2" w:rsidP="00353C6F">
            <w:pPr>
              <w:pStyle w:val="Tabletext"/>
              <w:spacing w:line="230" w:lineRule="exact"/>
              <w:rPr>
                <w:rFonts w:eastAsia="Calibri"/>
              </w:rPr>
            </w:pPr>
            <w:r>
              <w:rPr>
                <w:rFonts w:eastAsia="Calibri"/>
              </w:rPr>
              <w:t>MFF</w:t>
            </w:r>
          </w:p>
        </w:tc>
        <w:tc>
          <w:tcPr>
            <w:tcW w:w="1664" w:type="dxa"/>
            <w:tcMar>
              <w:top w:w="0" w:type="dxa"/>
              <w:left w:w="40" w:type="dxa"/>
              <w:bottom w:w="0" w:type="dxa"/>
              <w:right w:w="40" w:type="dxa"/>
            </w:tcMar>
            <w:vAlign w:val="center"/>
          </w:tcPr>
          <w:p w14:paraId="31B844AC" w14:textId="77777777" w:rsidR="00451CC2" w:rsidRDefault="00451CC2" w:rsidP="00353C6F">
            <w:pPr>
              <w:pStyle w:val="Tabletext"/>
              <w:spacing w:line="230" w:lineRule="exact"/>
              <w:rPr>
                <w:rFonts w:eastAsia="Calibri"/>
              </w:rPr>
            </w:pPr>
            <w:r>
              <w:rPr>
                <w:rFonts w:eastAsia="Calibri"/>
              </w:rPr>
              <w:t>2025.CSR5.1 2024.CSR 1.3</w:t>
            </w:r>
          </w:p>
          <w:p w14:paraId="052F3CE0" w14:textId="77777777" w:rsidR="00451CC2" w:rsidRDefault="00451CC2" w:rsidP="00353C6F">
            <w:pPr>
              <w:pStyle w:val="Tabletext"/>
              <w:spacing w:line="230" w:lineRule="exact"/>
              <w:rPr>
                <w:rFonts w:eastAsia="Calibri"/>
              </w:rPr>
            </w:pPr>
            <w:r>
              <w:rPr>
                <w:rFonts w:eastAsia="Calibri"/>
              </w:rPr>
              <w:t>2020.CSR 2.2</w:t>
            </w:r>
          </w:p>
          <w:p w14:paraId="003F0E4F" w14:textId="77777777" w:rsidR="00451CC2" w:rsidRDefault="00451CC2" w:rsidP="00353C6F">
            <w:pPr>
              <w:pStyle w:val="Tabletext"/>
              <w:spacing w:line="230" w:lineRule="exact"/>
              <w:rPr>
                <w:rFonts w:eastAsia="Calibri"/>
              </w:rPr>
            </w:pPr>
            <w:r>
              <w:rPr>
                <w:rFonts w:eastAsia="Calibri"/>
              </w:rPr>
              <w:t>2019.CSR 2.9</w:t>
            </w:r>
          </w:p>
        </w:tc>
        <w:tc>
          <w:tcPr>
            <w:tcW w:w="1692" w:type="dxa"/>
            <w:tcMar>
              <w:top w:w="0" w:type="dxa"/>
              <w:left w:w="40" w:type="dxa"/>
              <w:bottom w:w="0" w:type="dxa"/>
              <w:right w:w="40" w:type="dxa"/>
            </w:tcMar>
            <w:vAlign w:val="center"/>
          </w:tcPr>
          <w:p w14:paraId="0E149145" w14:textId="77777777" w:rsidR="00451CC2" w:rsidRDefault="00451CC2" w:rsidP="00353C6F">
            <w:pPr>
              <w:pStyle w:val="Tabletext"/>
              <w:spacing w:line="230" w:lineRule="exact"/>
              <w:rPr>
                <w:rFonts w:eastAsia="Calibri"/>
              </w:rPr>
            </w:pPr>
            <w:r>
              <w:rPr>
                <w:rFonts w:eastAsia="Calibri"/>
              </w:rPr>
              <w:t>Social and Economic resilience</w:t>
            </w:r>
          </w:p>
        </w:tc>
        <w:tc>
          <w:tcPr>
            <w:tcW w:w="1148" w:type="dxa"/>
            <w:tcMar>
              <w:top w:w="40" w:type="dxa"/>
              <w:left w:w="40" w:type="dxa"/>
              <w:bottom w:w="40" w:type="dxa"/>
              <w:right w:w="40" w:type="dxa"/>
            </w:tcMar>
            <w:vAlign w:val="center"/>
          </w:tcPr>
          <w:p w14:paraId="4615A9C2" w14:textId="77777777" w:rsidR="00451CC2" w:rsidRDefault="00451CC2" w:rsidP="00353C6F">
            <w:pPr>
              <w:pStyle w:val="Tabletext"/>
              <w:spacing w:line="230" w:lineRule="exact"/>
              <w:rPr>
                <w:rFonts w:eastAsia="Calibri"/>
              </w:rPr>
            </w:pPr>
            <w:r>
              <w:rPr>
                <w:rFonts w:eastAsia="Calibri"/>
              </w:rPr>
              <w:t>On track</w:t>
            </w:r>
          </w:p>
        </w:tc>
      </w:tr>
      <w:tr w:rsidR="00451CC2" w14:paraId="58E4C38B" w14:textId="77777777" w:rsidTr="00425017">
        <w:trPr>
          <w:trHeight w:val="170"/>
          <w:jc w:val="center"/>
        </w:trPr>
        <w:tc>
          <w:tcPr>
            <w:tcW w:w="2969" w:type="dxa"/>
            <w:tcMar>
              <w:top w:w="0" w:type="dxa"/>
              <w:left w:w="40" w:type="dxa"/>
              <w:bottom w:w="0" w:type="dxa"/>
              <w:right w:w="40" w:type="dxa"/>
            </w:tcMar>
            <w:vAlign w:val="center"/>
          </w:tcPr>
          <w:p w14:paraId="4CA35B59" w14:textId="77777777" w:rsidR="00451CC2" w:rsidRDefault="00540671" w:rsidP="00353C6F">
            <w:pPr>
              <w:pStyle w:val="Tabletext"/>
              <w:spacing w:line="230" w:lineRule="exact"/>
              <w:rPr>
                <w:rFonts w:eastAsia="Calibri"/>
              </w:rPr>
            </w:pPr>
            <w:r w:rsidRPr="00540671">
              <w:rPr>
                <w:rFonts w:eastAsia="Calibri"/>
                <w:b/>
              </w:rPr>
              <w:t>INVESTMENT 1:</w:t>
            </w:r>
            <w:r w:rsidR="00451CC2">
              <w:rPr>
                <w:rFonts w:eastAsia="Calibri"/>
              </w:rPr>
              <w:t xml:space="preserve"> Diversity Awareness</w:t>
            </w:r>
          </w:p>
        </w:tc>
        <w:tc>
          <w:tcPr>
            <w:tcW w:w="1450" w:type="dxa"/>
            <w:tcMar>
              <w:top w:w="0" w:type="dxa"/>
              <w:left w:w="40" w:type="dxa"/>
              <w:bottom w:w="0" w:type="dxa"/>
              <w:right w:w="40" w:type="dxa"/>
            </w:tcMar>
            <w:vAlign w:val="center"/>
          </w:tcPr>
          <w:p w14:paraId="31F44C82" w14:textId="77777777" w:rsidR="00451CC2" w:rsidRDefault="00451CC2" w:rsidP="00353C6F">
            <w:pPr>
              <w:pStyle w:val="Tabletext"/>
              <w:spacing w:line="230" w:lineRule="exact"/>
              <w:rPr>
                <w:rFonts w:eastAsia="Calibri"/>
              </w:rPr>
            </w:pPr>
            <w:r>
              <w:rPr>
                <w:rFonts w:eastAsia="Calibri"/>
              </w:rPr>
              <w:t>RRF 16685</w:t>
            </w:r>
          </w:p>
        </w:tc>
        <w:tc>
          <w:tcPr>
            <w:tcW w:w="1664" w:type="dxa"/>
            <w:tcMar>
              <w:top w:w="0" w:type="dxa"/>
              <w:left w:w="40" w:type="dxa"/>
              <w:bottom w:w="0" w:type="dxa"/>
              <w:right w:w="40" w:type="dxa"/>
            </w:tcMar>
            <w:vAlign w:val="center"/>
          </w:tcPr>
          <w:p w14:paraId="0427F5A4" w14:textId="77777777" w:rsidR="00451CC2" w:rsidRPr="00A746D8" w:rsidRDefault="00451CC2" w:rsidP="00353C6F">
            <w:pPr>
              <w:pStyle w:val="Tabletext"/>
              <w:spacing w:line="230" w:lineRule="exact"/>
              <w:rPr>
                <w:rFonts w:eastAsia="Calibri"/>
              </w:rPr>
            </w:pPr>
            <w:r w:rsidRPr="00A746D8">
              <w:rPr>
                <w:rFonts w:eastAsia="Calibri"/>
              </w:rPr>
              <w:t>2024.CSR2.1</w:t>
            </w:r>
          </w:p>
          <w:p w14:paraId="0C0742F6" w14:textId="77777777" w:rsidR="00451CC2" w:rsidRPr="00A746D8" w:rsidRDefault="00451CC2" w:rsidP="00353C6F">
            <w:pPr>
              <w:pStyle w:val="Tabletext"/>
              <w:spacing w:line="230" w:lineRule="exact"/>
              <w:rPr>
                <w:rFonts w:eastAsia="Calibri"/>
              </w:rPr>
            </w:pPr>
            <w:r w:rsidRPr="00A746D8">
              <w:rPr>
                <w:rFonts w:eastAsia="Calibri"/>
              </w:rPr>
              <w:t>2020.CSR3.9</w:t>
            </w:r>
          </w:p>
          <w:p w14:paraId="0DA09B8E" w14:textId="77777777" w:rsidR="00451CC2" w:rsidRPr="00A746D8" w:rsidRDefault="00451CC2" w:rsidP="00353C6F">
            <w:pPr>
              <w:pStyle w:val="Tabletext"/>
              <w:spacing w:line="230" w:lineRule="exact"/>
              <w:rPr>
                <w:rFonts w:eastAsia="Calibri"/>
              </w:rPr>
            </w:pPr>
            <w:r w:rsidRPr="00A746D8">
              <w:rPr>
                <w:rFonts w:eastAsia="Calibri"/>
              </w:rPr>
              <w:t>2020.CSR2.2</w:t>
            </w:r>
          </w:p>
          <w:p w14:paraId="657C554D" w14:textId="77777777" w:rsidR="00451CC2" w:rsidRPr="00A746D8" w:rsidRDefault="00451CC2" w:rsidP="00353C6F">
            <w:pPr>
              <w:pStyle w:val="Tabletext"/>
              <w:spacing w:line="230" w:lineRule="exact"/>
              <w:rPr>
                <w:rFonts w:eastAsia="Calibri"/>
              </w:rPr>
            </w:pPr>
            <w:r w:rsidRPr="00A746D8">
              <w:rPr>
                <w:rFonts w:eastAsia="Calibri"/>
              </w:rPr>
              <w:t>2020.CSR3.8</w:t>
            </w:r>
          </w:p>
          <w:p w14:paraId="6DE14615" w14:textId="77777777" w:rsidR="00451CC2" w:rsidRPr="00A746D8" w:rsidRDefault="00451CC2" w:rsidP="00353C6F">
            <w:pPr>
              <w:pStyle w:val="Tabletext"/>
              <w:spacing w:line="230" w:lineRule="exact"/>
              <w:rPr>
                <w:rFonts w:eastAsia="Calibri"/>
              </w:rPr>
            </w:pPr>
            <w:r w:rsidRPr="00A746D8">
              <w:rPr>
                <w:rFonts w:eastAsia="Calibri"/>
              </w:rPr>
              <w:t>2019.CSR2.6</w:t>
            </w:r>
          </w:p>
          <w:p w14:paraId="764A8F08" w14:textId="77777777" w:rsidR="00451CC2" w:rsidRDefault="00451CC2" w:rsidP="00353C6F">
            <w:pPr>
              <w:pStyle w:val="Tabletext"/>
              <w:spacing w:line="230" w:lineRule="exact"/>
              <w:rPr>
                <w:rFonts w:eastAsia="Calibri"/>
              </w:rPr>
            </w:pPr>
            <w:r>
              <w:rPr>
                <w:rFonts w:eastAsia="Calibri"/>
              </w:rPr>
              <w:t>2019.CSR2.7</w:t>
            </w:r>
          </w:p>
        </w:tc>
        <w:tc>
          <w:tcPr>
            <w:tcW w:w="1692" w:type="dxa"/>
            <w:tcMar>
              <w:top w:w="0" w:type="dxa"/>
              <w:left w:w="40" w:type="dxa"/>
              <w:bottom w:w="0" w:type="dxa"/>
              <w:right w:w="40" w:type="dxa"/>
            </w:tcMar>
            <w:vAlign w:val="center"/>
          </w:tcPr>
          <w:p w14:paraId="255E2C68" w14:textId="77777777" w:rsidR="00451CC2" w:rsidRDefault="00451CC2" w:rsidP="00353C6F">
            <w:pPr>
              <w:pStyle w:val="Tabletext"/>
              <w:spacing w:line="230" w:lineRule="exact"/>
              <w:rPr>
                <w:rFonts w:eastAsia="Calibri"/>
              </w:rPr>
            </w:pPr>
            <w:r>
              <w:rPr>
                <w:rFonts w:eastAsia="Calibri"/>
              </w:rPr>
              <w:t>Social and Economic resilience</w:t>
            </w:r>
          </w:p>
        </w:tc>
        <w:tc>
          <w:tcPr>
            <w:tcW w:w="1148" w:type="dxa"/>
            <w:tcMar>
              <w:top w:w="40" w:type="dxa"/>
              <w:left w:w="40" w:type="dxa"/>
              <w:bottom w:w="40" w:type="dxa"/>
              <w:right w:w="40" w:type="dxa"/>
            </w:tcMar>
            <w:vAlign w:val="center"/>
          </w:tcPr>
          <w:p w14:paraId="28DA470F" w14:textId="77777777" w:rsidR="00451CC2" w:rsidRDefault="00451CC2" w:rsidP="00353C6F">
            <w:pPr>
              <w:pStyle w:val="Tabletext"/>
              <w:spacing w:line="230" w:lineRule="exact"/>
              <w:rPr>
                <w:rFonts w:eastAsia="Calibri"/>
              </w:rPr>
            </w:pPr>
            <w:r>
              <w:rPr>
                <w:rFonts w:eastAsia="Calibri"/>
              </w:rPr>
              <w:t>On track</w:t>
            </w:r>
          </w:p>
        </w:tc>
      </w:tr>
      <w:tr w:rsidR="00451CC2" w14:paraId="2A602744" w14:textId="77777777" w:rsidTr="00425017">
        <w:trPr>
          <w:trHeight w:val="170"/>
          <w:jc w:val="center"/>
        </w:trPr>
        <w:tc>
          <w:tcPr>
            <w:tcW w:w="2969" w:type="dxa"/>
            <w:tcMar>
              <w:top w:w="0" w:type="dxa"/>
              <w:left w:w="40" w:type="dxa"/>
              <w:bottom w:w="0" w:type="dxa"/>
              <w:right w:w="40" w:type="dxa"/>
            </w:tcMar>
            <w:vAlign w:val="center"/>
          </w:tcPr>
          <w:p w14:paraId="5B2E9512" w14:textId="77777777" w:rsidR="00451CC2" w:rsidRPr="00A746D8" w:rsidRDefault="00540671" w:rsidP="00353C6F">
            <w:pPr>
              <w:pStyle w:val="Tabletext"/>
              <w:spacing w:line="230" w:lineRule="exact"/>
              <w:rPr>
                <w:rFonts w:eastAsia="Calibri"/>
              </w:rPr>
            </w:pPr>
            <w:r w:rsidRPr="00540671">
              <w:rPr>
                <w:rFonts w:eastAsia="Calibri"/>
                <w:b/>
              </w:rPr>
              <w:t>INVESTMENT 2:</w:t>
            </w:r>
            <w:r w:rsidR="00451CC2" w:rsidRPr="00A746D8">
              <w:rPr>
                <w:rFonts w:eastAsia="Calibri"/>
              </w:rPr>
              <w:t xml:space="preserve"> Digital Transformation of the social support system</w:t>
            </w:r>
          </w:p>
        </w:tc>
        <w:tc>
          <w:tcPr>
            <w:tcW w:w="1450" w:type="dxa"/>
            <w:tcMar>
              <w:top w:w="0" w:type="dxa"/>
              <w:left w:w="40" w:type="dxa"/>
              <w:bottom w:w="0" w:type="dxa"/>
              <w:right w:w="40" w:type="dxa"/>
            </w:tcMar>
            <w:vAlign w:val="center"/>
          </w:tcPr>
          <w:p w14:paraId="2519AAC2" w14:textId="77777777" w:rsidR="00451CC2" w:rsidRDefault="00451CC2" w:rsidP="00353C6F">
            <w:pPr>
              <w:pStyle w:val="Tabletext"/>
              <w:spacing w:line="230" w:lineRule="exact"/>
              <w:rPr>
                <w:rFonts w:eastAsia="Calibri"/>
              </w:rPr>
            </w:pPr>
            <w:r>
              <w:rPr>
                <w:rFonts w:eastAsia="Calibri"/>
              </w:rPr>
              <w:t>RRF 16925</w:t>
            </w:r>
          </w:p>
        </w:tc>
        <w:tc>
          <w:tcPr>
            <w:tcW w:w="1664" w:type="dxa"/>
            <w:tcMar>
              <w:top w:w="0" w:type="dxa"/>
              <w:left w:w="40" w:type="dxa"/>
              <w:bottom w:w="0" w:type="dxa"/>
              <w:right w:w="40" w:type="dxa"/>
            </w:tcMar>
            <w:vAlign w:val="center"/>
          </w:tcPr>
          <w:p w14:paraId="64B8986F" w14:textId="77777777" w:rsidR="00451CC2" w:rsidRPr="00A746D8" w:rsidRDefault="00451CC2" w:rsidP="00353C6F">
            <w:pPr>
              <w:pStyle w:val="Tabletext"/>
              <w:spacing w:line="230" w:lineRule="exact"/>
              <w:rPr>
                <w:rFonts w:eastAsia="Calibri"/>
              </w:rPr>
            </w:pPr>
            <w:r w:rsidRPr="00A746D8">
              <w:rPr>
                <w:rFonts w:eastAsia="Calibri"/>
              </w:rPr>
              <w:t>2025.CSR5.7</w:t>
            </w:r>
          </w:p>
          <w:p w14:paraId="18BCD0DD" w14:textId="77777777" w:rsidR="00451CC2" w:rsidRPr="00A746D8" w:rsidRDefault="00451CC2" w:rsidP="00353C6F">
            <w:pPr>
              <w:pStyle w:val="Tabletext"/>
              <w:spacing w:line="230" w:lineRule="exact"/>
              <w:rPr>
                <w:rFonts w:eastAsia="Calibri"/>
              </w:rPr>
            </w:pPr>
            <w:r w:rsidRPr="00A746D8">
              <w:rPr>
                <w:rFonts w:eastAsia="Calibri"/>
              </w:rPr>
              <w:t>2024.CSR2.1</w:t>
            </w:r>
          </w:p>
          <w:p w14:paraId="1EA56F66" w14:textId="77777777" w:rsidR="00451CC2" w:rsidRPr="00A746D8" w:rsidRDefault="00451CC2" w:rsidP="00353C6F">
            <w:pPr>
              <w:pStyle w:val="Tabletext"/>
              <w:spacing w:line="230" w:lineRule="exact"/>
              <w:rPr>
                <w:rFonts w:eastAsia="Calibri"/>
              </w:rPr>
            </w:pPr>
            <w:r w:rsidRPr="00A746D8">
              <w:rPr>
                <w:rFonts w:eastAsia="Calibri"/>
              </w:rPr>
              <w:t>2024.CSR1.7</w:t>
            </w:r>
          </w:p>
          <w:p w14:paraId="4BAF6FF9" w14:textId="77777777" w:rsidR="00451CC2" w:rsidRPr="00A746D8" w:rsidRDefault="00451CC2" w:rsidP="00353C6F">
            <w:pPr>
              <w:pStyle w:val="Tabletext"/>
              <w:spacing w:line="230" w:lineRule="exact"/>
              <w:rPr>
                <w:rFonts w:eastAsia="Calibri"/>
              </w:rPr>
            </w:pPr>
            <w:r w:rsidRPr="00A746D8">
              <w:rPr>
                <w:rFonts w:eastAsia="Calibri"/>
              </w:rPr>
              <w:t>2020.CSR2.1</w:t>
            </w:r>
          </w:p>
          <w:p w14:paraId="24678E15" w14:textId="77777777" w:rsidR="00451CC2" w:rsidRPr="00A746D8" w:rsidRDefault="00451CC2" w:rsidP="00353C6F">
            <w:pPr>
              <w:pStyle w:val="Tabletext"/>
              <w:spacing w:line="230" w:lineRule="exact"/>
              <w:rPr>
                <w:rFonts w:eastAsia="Calibri"/>
              </w:rPr>
            </w:pPr>
            <w:r w:rsidRPr="00A746D8">
              <w:rPr>
                <w:rFonts w:eastAsia="Calibri"/>
              </w:rPr>
              <w:t>2020.CSR3.8</w:t>
            </w:r>
          </w:p>
          <w:p w14:paraId="33C28150" w14:textId="77777777" w:rsidR="00451CC2" w:rsidRDefault="00451CC2" w:rsidP="00353C6F">
            <w:pPr>
              <w:pStyle w:val="Tabletext"/>
              <w:spacing w:line="230" w:lineRule="exact"/>
              <w:rPr>
                <w:rFonts w:eastAsia="Calibri"/>
              </w:rPr>
            </w:pPr>
            <w:r>
              <w:rPr>
                <w:rFonts w:eastAsia="Calibri"/>
              </w:rPr>
              <w:t>2020.CSR3.9</w:t>
            </w:r>
          </w:p>
          <w:p w14:paraId="47E7B10E" w14:textId="77777777" w:rsidR="00451CC2" w:rsidRDefault="00451CC2" w:rsidP="00353C6F">
            <w:pPr>
              <w:pStyle w:val="Tabletext"/>
              <w:spacing w:line="230" w:lineRule="exact"/>
              <w:rPr>
                <w:rFonts w:eastAsia="Calibri"/>
              </w:rPr>
            </w:pPr>
            <w:r>
              <w:rPr>
                <w:rFonts w:eastAsia="Calibri"/>
              </w:rPr>
              <w:t>2019.CSR2.3</w:t>
            </w:r>
          </w:p>
          <w:p w14:paraId="1E803B82" w14:textId="77777777" w:rsidR="00451CC2" w:rsidRDefault="00451CC2" w:rsidP="00353C6F">
            <w:pPr>
              <w:pStyle w:val="Tabletext"/>
              <w:spacing w:line="230" w:lineRule="exact"/>
              <w:rPr>
                <w:rFonts w:eastAsia="Calibri"/>
              </w:rPr>
            </w:pPr>
            <w:r>
              <w:rPr>
                <w:rFonts w:eastAsia="Calibri"/>
              </w:rPr>
              <w:t>2019.CSR2.6</w:t>
            </w:r>
          </w:p>
        </w:tc>
        <w:tc>
          <w:tcPr>
            <w:tcW w:w="1692" w:type="dxa"/>
            <w:tcMar>
              <w:top w:w="0" w:type="dxa"/>
              <w:left w:w="40" w:type="dxa"/>
              <w:bottom w:w="0" w:type="dxa"/>
              <w:right w:w="40" w:type="dxa"/>
            </w:tcMar>
            <w:vAlign w:val="center"/>
          </w:tcPr>
          <w:p w14:paraId="3877A067" w14:textId="77777777" w:rsidR="00451CC2" w:rsidRDefault="00451CC2" w:rsidP="00353C6F">
            <w:pPr>
              <w:pStyle w:val="Tabletext"/>
              <w:spacing w:line="230" w:lineRule="exact"/>
              <w:rPr>
                <w:rFonts w:eastAsia="Calibri"/>
              </w:rPr>
            </w:pPr>
            <w:r>
              <w:rPr>
                <w:rFonts w:eastAsia="Calibri"/>
              </w:rPr>
              <w:t>Social and Economic resilience</w:t>
            </w:r>
          </w:p>
        </w:tc>
        <w:tc>
          <w:tcPr>
            <w:tcW w:w="1148" w:type="dxa"/>
            <w:tcMar>
              <w:top w:w="40" w:type="dxa"/>
              <w:left w:w="40" w:type="dxa"/>
              <w:bottom w:w="40" w:type="dxa"/>
              <w:right w:w="40" w:type="dxa"/>
            </w:tcMar>
            <w:vAlign w:val="center"/>
          </w:tcPr>
          <w:p w14:paraId="60514F68" w14:textId="77777777" w:rsidR="00451CC2" w:rsidRDefault="00451CC2" w:rsidP="00353C6F">
            <w:pPr>
              <w:pStyle w:val="Tabletext"/>
              <w:spacing w:line="230" w:lineRule="exact"/>
              <w:rPr>
                <w:rFonts w:eastAsia="Calibri"/>
              </w:rPr>
            </w:pPr>
            <w:r>
              <w:rPr>
                <w:rFonts w:eastAsia="Calibri"/>
              </w:rPr>
              <w:t>Not completed</w:t>
            </w:r>
          </w:p>
        </w:tc>
      </w:tr>
      <w:tr w:rsidR="00451CC2" w14:paraId="67FFEEB7" w14:textId="77777777" w:rsidTr="00425017">
        <w:trPr>
          <w:trHeight w:val="170"/>
          <w:jc w:val="center"/>
        </w:trPr>
        <w:tc>
          <w:tcPr>
            <w:tcW w:w="2969" w:type="dxa"/>
            <w:tcMar>
              <w:top w:w="0" w:type="dxa"/>
              <w:left w:w="40" w:type="dxa"/>
              <w:bottom w:w="0" w:type="dxa"/>
              <w:right w:w="40" w:type="dxa"/>
            </w:tcMar>
            <w:vAlign w:val="center"/>
          </w:tcPr>
          <w:p w14:paraId="45CF376A" w14:textId="77777777" w:rsidR="00451CC2" w:rsidRDefault="00540671" w:rsidP="00353C6F">
            <w:pPr>
              <w:pStyle w:val="Tabletext"/>
              <w:spacing w:line="230" w:lineRule="exact"/>
              <w:rPr>
                <w:rFonts w:eastAsia="Calibri"/>
              </w:rPr>
            </w:pPr>
            <w:r w:rsidRPr="00540671">
              <w:rPr>
                <w:rFonts w:eastAsia="Calibri"/>
                <w:b/>
              </w:rPr>
              <w:t>INVESTMENT 3:</w:t>
            </w:r>
            <w:r w:rsidR="00451CC2">
              <w:rPr>
                <w:rFonts w:eastAsia="Calibri"/>
              </w:rPr>
              <w:t xml:space="preserve"> Social Integration</w:t>
            </w:r>
          </w:p>
        </w:tc>
        <w:tc>
          <w:tcPr>
            <w:tcW w:w="1450" w:type="dxa"/>
            <w:tcMar>
              <w:top w:w="0" w:type="dxa"/>
              <w:left w:w="40" w:type="dxa"/>
              <w:bottom w:w="0" w:type="dxa"/>
              <w:right w:w="40" w:type="dxa"/>
            </w:tcMar>
            <w:vAlign w:val="center"/>
          </w:tcPr>
          <w:p w14:paraId="398DC3EF" w14:textId="77777777" w:rsidR="00451CC2" w:rsidRDefault="00451CC2" w:rsidP="00353C6F">
            <w:pPr>
              <w:pStyle w:val="Tabletext"/>
              <w:spacing w:line="230" w:lineRule="exact"/>
              <w:rPr>
                <w:rFonts w:eastAsia="Calibri"/>
              </w:rPr>
            </w:pPr>
            <w:r>
              <w:rPr>
                <w:rFonts w:eastAsia="Calibri"/>
              </w:rPr>
              <w:t>RRF 16922</w:t>
            </w:r>
          </w:p>
        </w:tc>
        <w:tc>
          <w:tcPr>
            <w:tcW w:w="1664" w:type="dxa"/>
            <w:tcMar>
              <w:top w:w="0" w:type="dxa"/>
              <w:left w:w="40" w:type="dxa"/>
              <w:bottom w:w="0" w:type="dxa"/>
              <w:right w:w="40" w:type="dxa"/>
            </w:tcMar>
            <w:vAlign w:val="center"/>
          </w:tcPr>
          <w:p w14:paraId="0EA28D48" w14:textId="77777777" w:rsidR="00451CC2" w:rsidRPr="00A746D8" w:rsidRDefault="00451CC2" w:rsidP="00353C6F">
            <w:pPr>
              <w:pStyle w:val="Tabletext"/>
              <w:spacing w:line="230" w:lineRule="exact"/>
              <w:rPr>
                <w:rFonts w:eastAsia="Calibri"/>
              </w:rPr>
            </w:pPr>
            <w:r w:rsidRPr="00A746D8">
              <w:rPr>
                <w:rFonts w:eastAsia="Calibri"/>
              </w:rPr>
              <w:t>2025.CSR5.1</w:t>
            </w:r>
          </w:p>
          <w:p w14:paraId="0D12B463" w14:textId="77777777" w:rsidR="00451CC2" w:rsidRPr="00A746D8" w:rsidRDefault="00451CC2" w:rsidP="00353C6F">
            <w:pPr>
              <w:pStyle w:val="Tabletext"/>
              <w:spacing w:line="230" w:lineRule="exact"/>
              <w:rPr>
                <w:rFonts w:eastAsia="Calibri"/>
              </w:rPr>
            </w:pPr>
            <w:r w:rsidRPr="00A746D8">
              <w:rPr>
                <w:rFonts w:eastAsia="Calibri"/>
              </w:rPr>
              <w:t>2025.CSR5.7</w:t>
            </w:r>
          </w:p>
          <w:p w14:paraId="219EFA68" w14:textId="77777777" w:rsidR="00451CC2" w:rsidRPr="00A746D8" w:rsidRDefault="00451CC2" w:rsidP="00353C6F">
            <w:pPr>
              <w:pStyle w:val="Tabletext"/>
              <w:spacing w:line="230" w:lineRule="exact"/>
              <w:rPr>
                <w:rFonts w:eastAsia="Calibri"/>
              </w:rPr>
            </w:pPr>
            <w:r w:rsidRPr="00A746D8">
              <w:rPr>
                <w:rFonts w:eastAsia="Calibri"/>
              </w:rPr>
              <w:t>2025.CSR5.4</w:t>
            </w:r>
          </w:p>
          <w:p w14:paraId="6AF92359" w14:textId="77777777" w:rsidR="00451CC2" w:rsidRPr="00A746D8" w:rsidRDefault="00451CC2" w:rsidP="00353C6F">
            <w:pPr>
              <w:pStyle w:val="Tabletext"/>
              <w:spacing w:line="230" w:lineRule="exact"/>
              <w:rPr>
                <w:rFonts w:eastAsia="Calibri"/>
              </w:rPr>
            </w:pPr>
            <w:r w:rsidRPr="00A746D8">
              <w:rPr>
                <w:rFonts w:eastAsia="Calibri"/>
              </w:rPr>
              <w:t>2024.CSR2.1</w:t>
            </w:r>
          </w:p>
          <w:p w14:paraId="72CDF6AE" w14:textId="77777777" w:rsidR="00451CC2" w:rsidRPr="00A746D8" w:rsidRDefault="00451CC2" w:rsidP="00353C6F">
            <w:pPr>
              <w:pStyle w:val="Tabletext"/>
              <w:spacing w:line="230" w:lineRule="exact"/>
              <w:rPr>
                <w:rFonts w:eastAsia="Calibri"/>
              </w:rPr>
            </w:pPr>
            <w:r w:rsidRPr="00A746D8">
              <w:rPr>
                <w:rFonts w:eastAsia="Calibri"/>
              </w:rPr>
              <w:t>2020.CSR2.1</w:t>
            </w:r>
          </w:p>
          <w:p w14:paraId="627D5A09" w14:textId="77777777" w:rsidR="00451CC2" w:rsidRDefault="00451CC2" w:rsidP="00353C6F">
            <w:pPr>
              <w:pStyle w:val="Tabletext"/>
              <w:spacing w:line="230" w:lineRule="exact"/>
              <w:rPr>
                <w:rFonts w:eastAsia="Calibri"/>
              </w:rPr>
            </w:pPr>
            <w:r>
              <w:rPr>
                <w:rFonts w:eastAsia="Calibri"/>
              </w:rPr>
              <w:t>2020.CSR3.8</w:t>
            </w:r>
          </w:p>
          <w:p w14:paraId="7DF3E99A" w14:textId="77777777" w:rsidR="00451CC2" w:rsidRDefault="00451CC2" w:rsidP="00353C6F">
            <w:pPr>
              <w:pStyle w:val="Tabletext"/>
              <w:spacing w:line="230" w:lineRule="exact"/>
              <w:rPr>
                <w:rFonts w:eastAsia="Calibri"/>
              </w:rPr>
            </w:pPr>
            <w:r>
              <w:rPr>
                <w:rFonts w:eastAsia="Calibri"/>
              </w:rPr>
              <w:t>2020.CSR2.2</w:t>
            </w:r>
          </w:p>
          <w:p w14:paraId="1155AD16" w14:textId="77777777" w:rsidR="00451CC2" w:rsidRDefault="00451CC2" w:rsidP="00353C6F">
            <w:pPr>
              <w:pStyle w:val="Tabletext"/>
              <w:spacing w:line="230" w:lineRule="exact"/>
              <w:rPr>
                <w:rFonts w:eastAsia="Calibri"/>
              </w:rPr>
            </w:pPr>
            <w:r>
              <w:rPr>
                <w:rFonts w:eastAsia="Calibri"/>
              </w:rPr>
              <w:t>2019.CSR2.6</w:t>
            </w:r>
          </w:p>
          <w:p w14:paraId="1EDDED73" w14:textId="77777777" w:rsidR="00451CC2" w:rsidRDefault="00451CC2" w:rsidP="00353C6F">
            <w:pPr>
              <w:pStyle w:val="Tabletext"/>
              <w:spacing w:line="230" w:lineRule="exact"/>
              <w:rPr>
                <w:rFonts w:eastAsia="Calibri"/>
              </w:rPr>
            </w:pPr>
            <w:r>
              <w:rPr>
                <w:rFonts w:eastAsia="Calibri"/>
              </w:rPr>
              <w:t>2019.CSR2.7</w:t>
            </w:r>
          </w:p>
        </w:tc>
        <w:tc>
          <w:tcPr>
            <w:tcW w:w="1692" w:type="dxa"/>
            <w:tcMar>
              <w:top w:w="0" w:type="dxa"/>
              <w:left w:w="40" w:type="dxa"/>
              <w:bottom w:w="0" w:type="dxa"/>
              <w:right w:w="40" w:type="dxa"/>
            </w:tcMar>
            <w:vAlign w:val="center"/>
          </w:tcPr>
          <w:p w14:paraId="42EB210E" w14:textId="77777777" w:rsidR="00451CC2" w:rsidRDefault="00451CC2" w:rsidP="00353C6F">
            <w:pPr>
              <w:pStyle w:val="Tabletext"/>
              <w:spacing w:line="230" w:lineRule="exact"/>
              <w:rPr>
                <w:rFonts w:eastAsia="Calibri"/>
              </w:rPr>
            </w:pPr>
            <w:r>
              <w:rPr>
                <w:rFonts w:eastAsia="Calibri"/>
              </w:rPr>
              <w:t>Social and Economic resilience</w:t>
            </w:r>
          </w:p>
        </w:tc>
        <w:tc>
          <w:tcPr>
            <w:tcW w:w="1148" w:type="dxa"/>
            <w:tcMar>
              <w:top w:w="40" w:type="dxa"/>
              <w:left w:w="40" w:type="dxa"/>
              <w:bottom w:w="40" w:type="dxa"/>
              <w:right w:w="40" w:type="dxa"/>
            </w:tcMar>
            <w:vAlign w:val="center"/>
          </w:tcPr>
          <w:p w14:paraId="515FEC7A" w14:textId="77777777" w:rsidR="00451CC2" w:rsidRDefault="00451CC2" w:rsidP="00353C6F">
            <w:pPr>
              <w:pStyle w:val="Tabletext"/>
              <w:spacing w:line="230" w:lineRule="exact"/>
              <w:rPr>
                <w:rFonts w:eastAsia="Calibri"/>
              </w:rPr>
            </w:pPr>
            <w:r>
              <w:rPr>
                <w:rFonts w:eastAsia="Calibri"/>
              </w:rPr>
              <w:t>Not completed</w:t>
            </w:r>
          </w:p>
        </w:tc>
      </w:tr>
    </w:tbl>
    <w:p w14:paraId="6075DFFC" w14:textId="77777777" w:rsidR="00853BDC" w:rsidRDefault="001A4BC7" w:rsidP="00425017">
      <w:pPr>
        <w:spacing w:before="240" w:after="180"/>
        <w:rPr>
          <w:rFonts w:eastAsia="Calibri"/>
          <w:lang w:val="en-US"/>
        </w:rPr>
      </w:pPr>
      <w:r w:rsidRPr="001A4BC7">
        <w:rPr>
          <w:rFonts w:eastAsia="Calibri"/>
          <w:lang w:val="en-US"/>
        </w:rPr>
        <w:t xml:space="preserve">The </w:t>
      </w:r>
      <w:r w:rsidRPr="00853BDC">
        <w:rPr>
          <w:rFonts w:eastAsia="Calibri"/>
          <w:b/>
          <w:lang w:val="en-US"/>
        </w:rPr>
        <w:t>RRF reform “Child Protection”</w:t>
      </w:r>
      <w:r w:rsidRPr="001A4BC7">
        <w:rPr>
          <w:rFonts w:eastAsia="Calibri"/>
          <w:lang w:val="en-US"/>
        </w:rPr>
        <w:t xml:space="preserve"> consists of investments allowing for the deinstitutionalization and improvement of the employability of teenagers and youth up to 26 years old, currently residing in child protection units. Regarding their social integration through placement in apartments and supported living arrangements, to date, more than 75 persons </w:t>
      </w:r>
      <w:r w:rsidRPr="001A4BC7">
        <w:rPr>
          <w:rFonts w:eastAsia="Calibri"/>
          <w:lang w:val="en-US"/>
        </w:rPr>
        <w:lastRenderedPageBreak/>
        <w:t>have already been placed in apartments (final target is under revision). The development of self-sustainability capacity and gradual autonomy is ongoing, with the aim of a smooth transition to adulthood and readiness for integration into the labour market.</w:t>
      </w:r>
    </w:p>
    <w:p w14:paraId="251EA9E7" w14:textId="77777777" w:rsidR="00451CC2" w:rsidRPr="00A746D8" w:rsidRDefault="00451CC2" w:rsidP="00353C6F">
      <w:pPr>
        <w:spacing w:after="180"/>
        <w:rPr>
          <w:rFonts w:eastAsia="Calibri"/>
          <w:lang w:val="en-US"/>
        </w:rPr>
      </w:pPr>
      <w:r w:rsidRPr="00A746D8">
        <w:rPr>
          <w:rFonts w:eastAsia="Calibri"/>
          <w:lang w:val="en-US"/>
        </w:rPr>
        <w:t xml:space="preserve">Regarding the </w:t>
      </w:r>
      <w:r w:rsidRPr="00A746D8">
        <w:rPr>
          <w:rFonts w:eastAsia="Calibri"/>
          <w:b/>
          <w:lang w:val="en-US"/>
        </w:rPr>
        <w:t>RRF reform “</w:t>
      </w:r>
      <w:r w:rsidRPr="00A746D8">
        <w:rPr>
          <w:rFonts w:eastAsia="Calibri"/>
          <w:b/>
          <w:bCs/>
          <w:lang w:val="en-US"/>
        </w:rPr>
        <w:t xml:space="preserve">Disability”, </w:t>
      </w:r>
      <w:r w:rsidRPr="00A746D8">
        <w:rPr>
          <w:rFonts w:eastAsia="Calibri"/>
          <w:lang w:val="en-US"/>
        </w:rPr>
        <w:t>under the Personal Assistance programme, as of 3 April 2026, a total of 5,012 trained Personal Assistants have been registered in the official Registry, while 1,807 persons with disabilities have benefited from the service.</w:t>
      </w:r>
      <w:r w:rsidRPr="00012B0E">
        <w:rPr>
          <w:rFonts w:eastAsia="Calibri"/>
          <w:lang w:val="en-US"/>
        </w:rPr>
        <w:t xml:space="preserve"> </w:t>
      </w:r>
      <w:r w:rsidRPr="00A746D8">
        <w:rPr>
          <w:rFonts w:eastAsia="Calibri"/>
          <w:lang w:val="en-US"/>
        </w:rPr>
        <w:t>The early childhood intervention programme for 2,500 children with disabilities and developmental disorders (aged 0–6 years) is experiencing delays in its implementation.</w:t>
      </w:r>
    </w:p>
    <w:p w14:paraId="2468D737" w14:textId="77777777" w:rsidR="00451CC2" w:rsidRPr="00A746D8" w:rsidRDefault="00451CC2" w:rsidP="00353C6F">
      <w:pPr>
        <w:spacing w:after="180"/>
        <w:rPr>
          <w:rFonts w:eastAsia="Calibri"/>
          <w:lang w:val="en-US"/>
        </w:rPr>
      </w:pPr>
      <w:r w:rsidRPr="00A746D8">
        <w:rPr>
          <w:rFonts w:eastAsia="Calibri"/>
          <w:lang w:val="en-US"/>
        </w:rPr>
        <w:t xml:space="preserve">The revision of the </w:t>
      </w:r>
      <w:r w:rsidRPr="00A746D8">
        <w:rPr>
          <w:rFonts w:eastAsia="Calibri"/>
          <w:b/>
          <w:bCs/>
          <w:lang w:val="en-US"/>
        </w:rPr>
        <w:t>Social Benefits framework</w:t>
      </w:r>
      <w:r w:rsidRPr="00A746D8">
        <w:rPr>
          <w:rFonts w:eastAsia="Calibri"/>
          <w:lang w:val="en-US"/>
        </w:rPr>
        <w:t xml:space="preserve"> aims to establish a fairer and more effective social protection system.</w:t>
      </w:r>
      <w:r w:rsidRPr="001D61B2">
        <w:rPr>
          <w:rFonts w:eastAsia="Calibri"/>
          <w:lang w:val="en-US"/>
        </w:rPr>
        <w:t xml:space="preserve"> This reform </w:t>
      </w:r>
      <w:r w:rsidRPr="00A746D8">
        <w:rPr>
          <w:rFonts w:eastAsia="Calibri"/>
          <w:lang w:val="en-US"/>
        </w:rPr>
        <w:t>is expected to lead to a reassessment of the eligibility criteria (income, asset, and social), ensuring that support is directed to those with genuine need. The reform is currently under further consideration.</w:t>
      </w:r>
    </w:p>
    <w:p w14:paraId="651519B7" w14:textId="77777777" w:rsidR="00451CC2" w:rsidRPr="00A746D8" w:rsidRDefault="00451CC2" w:rsidP="00353C6F">
      <w:pPr>
        <w:spacing w:after="180"/>
        <w:rPr>
          <w:rFonts w:eastAsia="Calibri"/>
          <w:lang w:val="en-US"/>
        </w:rPr>
      </w:pPr>
      <w:r w:rsidRPr="00A746D8">
        <w:rPr>
          <w:rFonts w:eastAsia="Calibri"/>
          <w:lang w:val="en-US"/>
        </w:rPr>
        <w:t>The</w:t>
      </w:r>
      <w:r w:rsidRPr="00A746D8">
        <w:rPr>
          <w:rFonts w:eastAsia="Calibri"/>
          <w:b/>
          <w:bCs/>
          <w:lang w:val="en-US"/>
        </w:rPr>
        <w:t xml:space="preserve"> RRF reform “Optimization of social benefit</w:t>
      </w:r>
      <w:r w:rsidRPr="00A746D8">
        <w:rPr>
          <w:rFonts w:eastAsia="Calibri"/>
          <w:b/>
          <w:lang w:val="en-US"/>
        </w:rPr>
        <w:t>s”</w:t>
      </w:r>
      <w:r w:rsidRPr="00A746D8">
        <w:rPr>
          <w:rFonts w:eastAsia="Calibri"/>
          <w:lang w:val="en-US"/>
        </w:rPr>
        <w:t xml:space="preserve"> delivery using prepaid cards is currently under implementation. The information system of the Ministry of Social Cohesion and Family Affairs is in full and continuous operation. Furthermore, in December 2025, the public draw was successfully conducted, during which 8,500 winning tickets were selected, corresponding to an equal number of prepaid card holders, each of whom received €1,000.</w:t>
      </w:r>
    </w:p>
    <w:p w14:paraId="75887F48" w14:textId="77777777" w:rsidR="00451CC2" w:rsidRPr="00A746D8" w:rsidRDefault="00451CC2" w:rsidP="00353C6F">
      <w:pPr>
        <w:spacing w:after="180"/>
        <w:rPr>
          <w:rFonts w:eastAsia="Calibri"/>
          <w:lang w:val="en-US"/>
        </w:rPr>
      </w:pPr>
      <w:r w:rsidRPr="00A746D8">
        <w:rPr>
          <w:rFonts w:eastAsia="Calibri"/>
          <w:lang w:val="en-US"/>
        </w:rPr>
        <w:t xml:space="preserve">Under the </w:t>
      </w:r>
      <w:r w:rsidRPr="00A746D8">
        <w:rPr>
          <w:rFonts w:eastAsia="Calibri"/>
          <w:b/>
          <w:bCs/>
          <w:lang w:val="en-US"/>
        </w:rPr>
        <w:t>New Housing Policy</w:t>
      </w:r>
      <w:r w:rsidRPr="00A746D8">
        <w:rPr>
          <w:rFonts w:eastAsia="Calibri"/>
          <w:lang w:val="en-US"/>
        </w:rPr>
        <w:t xml:space="preserve">, the “My Home” Programme which was established under Law 5006/2022, aims to support young individuals and couples aged 25 to 39 in purchasing their first home through the provision of low-interest or interest-free housing loans via credit institutions. The loans are funded at a rate of 75% by the Public Employment Service (DYPA) and bear no interest. In cases where the borrower is, or becomes, a parent of three or more children after concluding the loan agreement, the interest is fully covered by DYPA. According to data from March 2026, under the My Home I programme, with a total budget of €1 billion, the uptake rate reached 87.4%, while 8,978 beneficiaries had benefited from the scheme. The measure continues through the My Home II programme, with a total budget of €2 billion and 13,422 approved applications. A related initiative is the subproject “Social Housing for the Most Vulnerable Groups (Athens and Thessaloniki)” under Action 16922, which aims to address acute housing needs in major urban centres through the renovation and </w:t>
      </w:r>
      <w:proofErr w:type="spellStart"/>
      <w:r w:rsidRPr="00A746D8">
        <w:rPr>
          <w:rFonts w:eastAsia="Calibri"/>
          <w:lang w:val="en-US"/>
        </w:rPr>
        <w:t>utilisation</w:t>
      </w:r>
      <w:proofErr w:type="spellEnd"/>
      <w:r w:rsidRPr="00A746D8">
        <w:rPr>
          <w:rFonts w:eastAsia="Calibri"/>
          <w:lang w:val="en-US"/>
        </w:rPr>
        <w:t xml:space="preserve"> of vacant housing stock. The programme includes the renovation of 50 apartments and is expected to benefit approximately 125 individuals. It combines housing provision with social support services, contributing to the pilot development of a social housing model in Greece, while promoting the activation of </w:t>
      </w:r>
      <w:proofErr w:type="spellStart"/>
      <w:r w:rsidRPr="00A746D8">
        <w:rPr>
          <w:rFonts w:eastAsia="Calibri"/>
          <w:lang w:val="en-US"/>
        </w:rPr>
        <w:t>underutilised</w:t>
      </w:r>
      <w:proofErr w:type="spellEnd"/>
      <w:r w:rsidRPr="00A746D8">
        <w:rPr>
          <w:rFonts w:eastAsia="Calibri"/>
          <w:lang w:val="en-US"/>
        </w:rPr>
        <w:t xml:space="preserve"> urban assets and strengthening social inclusion at the local level.</w:t>
      </w:r>
    </w:p>
    <w:p w14:paraId="1087EC63" w14:textId="77777777" w:rsidR="00451CC2" w:rsidRPr="00A746D8" w:rsidRDefault="00451CC2" w:rsidP="00353C6F">
      <w:pPr>
        <w:spacing w:after="180"/>
        <w:rPr>
          <w:rFonts w:eastAsia="Calibri"/>
          <w:lang w:val="en-US"/>
        </w:rPr>
      </w:pPr>
      <w:r w:rsidRPr="00A746D8">
        <w:rPr>
          <w:rFonts w:eastAsia="Calibri"/>
          <w:lang w:val="en-US"/>
        </w:rPr>
        <w:t xml:space="preserve">The </w:t>
      </w:r>
      <w:r w:rsidRPr="00A746D8">
        <w:rPr>
          <w:rFonts w:eastAsia="Calibri"/>
          <w:b/>
          <w:bCs/>
          <w:lang w:val="en-US"/>
        </w:rPr>
        <w:t>social land-for-housing scheme (“social compensation”) (</w:t>
      </w:r>
      <w:proofErr w:type="spellStart"/>
      <w:r w:rsidRPr="00A746D8">
        <w:rPr>
          <w:rFonts w:eastAsia="Calibri"/>
          <w:b/>
          <w:bCs/>
          <w:lang w:val="en-US"/>
        </w:rPr>
        <w:t>Antiparochi</w:t>
      </w:r>
      <w:proofErr w:type="spellEnd"/>
      <w:r w:rsidRPr="00A746D8">
        <w:rPr>
          <w:rFonts w:eastAsia="Calibri"/>
          <w:b/>
          <w:bCs/>
          <w:lang w:val="en-US"/>
        </w:rPr>
        <w:t xml:space="preserve"> Program)</w:t>
      </w:r>
      <w:r w:rsidRPr="00A746D8">
        <w:rPr>
          <w:rFonts w:eastAsia="Calibri"/>
          <w:lang w:val="en-US"/>
        </w:rPr>
        <w:t xml:space="preserve"> was introduced by Law 5006/2022 and further strengthened by Law 5229/2025, which clarified and enhanced its implementation framework. Key progress includes the establishment of the legal basis and the definition of roles and procedures for public authorities and private developers. The effective rollout of the scheme depends on the issuance of four Joint Ministerial Decisions (JMDs). Two of these -concerning the transfer of property management and the contractual terms- are expected imminently and constitute a key milestone under the Recovery and Resilience Facility (RRF), with a deadline of 31 March 2026. The remaining two JMDs, addressing the eligibility criteria for social tenants and the methodology for determining affordable rents, </w:t>
      </w:r>
      <w:r w:rsidRPr="00A746D8">
        <w:rPr>
          <w:rFonts w:eastAsia="Calibri"/>
          <w:lang w:val="en-US"/>
        </w:rPr>
        <w:lastRenderedPageBreak/>
        <w:t xml:space="preserve">are currently under preparation and are expected to be finalized by Q2 2026. Furthermore, Greece is currently preparing a comprehensive National Housing Strategy Study, which is expected to be completed by 31 May 2026. As of 31 March 2026, three key deliverables have already been completed: (1) the mapping of the Greek housing market, (2) the assessment of the current housing situation, and (3) the identification and </w:t>
      </w:r>
      <w:proofErr w:type="spellStart"/>
      <w:r w:rsidRPr="00A746D8">
        <w:rPr>
          <w:rFonts w:eastAsia="Calibri"/>
          <w:lang w:val="en-US"/>
        </w:rPr>
        <w:t>prioritisation</w:t>
      </w:r>
      <w:proofErr w:type="spellEnd"/>
      <w:r w:rsidRPr="00A746D8">
        <w:rPr>
          <w:rFonts w:eastAsia="Calibri"/>
          <w:lang w:val="en-US"/>
        </w:rPr>
        <w:t xml:space="preserve"> of the main challenges to be addressed. The overall project is scheduled for completion by 31 May 2026. This will be followed by the formal approval of the National Housing Strategy, after the completion of a public consultation process.</w:t>
      </w:r>
    </w:p>
    <w:p w14:paraId="498455ED" w14:textId="77777777" w:rsidR="00451CC2" w:rsidRPr="00A746D8" w:rsidRDefault="00451CC2" w:rsidP="00353C6F">
      <w:pPr>
        <w:spacing w:after="180"/>
        <w:rPr>
          <w:rFonts w:eastAsia="Calibri"/>
          <w:lang w:val="en-US"/>
        </w:rPr>
      </w:pPr>
      <w:r w:rsidRPr="00A746D8">
        <w:rPr>
          <w:rFonts w:eastAsia="Calibri"/>
          <w:lang w:val="en-US"/>
        </w:rPr>
        <w:t xml:space="preserve">The reform of Greece's </w:t>
      </w:r>
      <w:r w:rsidRPr="00A746D8">
        <w:rPr>
          <w:rFonts w:eastAsia="Calibri"/>
          <w:b/>
          <w:bCs/>
          <w:lang w:val="en-US"/>
        </w:rPr>
        <w:t xml:space="preserve">National Demographic Strategy </w:t>
      </w:r>
      <w:r w:rsidRPr="00A746D8">
        <w:rPr>
          <w:rFonts w:eastAsia="Calibri"/>
          <w:lang w:val="en-US"/>
        </w:rPr>
        <w:t xml:space="preserve">is being implemented through </w:t>
      </w:r>
      <w:proofErr w:type="gramStart"/>
      <w:r w:rsidRPr="00A746D8">
        <w:rPr>
          <w:rFonts w:eastAsia="Calibri"/>
          <w:lang w:val="en-US"/>
        </w:rPr>
        <w:t>an</w:t>
      </w:r>
      <w:proofErr w:type="gramEnd"/>
      <w:r w:rsidRPr="00A746D8">
        <w:rPr>
          <w:rFonts w:eastAsia="Calibri"/>
          <w:lang w:val="en-US"/>
        </w:rPr>
        <w:t xml:space="preserve"> holistic and evidence-based framework, anchored by the National Action Plan on Demography led by the Ministry of Social Cohesion and Family Affairs. This strategic transition from fragmented actions to an integrated policy is reinforced by two key pillars, supported by the EU Technical Support Instrument (TSI) and the OECD: </w:t>
      </w:r>
      <w:proofErr w:type="gramStart"/>
      <w:r w:rsidRPr="00A746D8">
        <w:rPr>
          <w:rFonts w:eastAsia="Calibri"/>
          <w:lang w:val="en-US"/>
        </w:rPr>
        <w:t>the</w:t>
      </w:r>
      <w:proofErr w:type="gramEnd"/>
      <w:r w:rsidRPr="00A746D8">
        <w:rPr>
          <w:rFonts w:eastAsia="Calibri"/>
          <w:lang w:val="en-US"/>
        </w:rPr>
        <w:t xml:space="preserve"> Long-Term Care (LTC) Reform and the Economic Independence of Youth project. The Reform of Long-Term Care in Greece commenced in April 2024 and delivers five key outputs: an inception report, recommendations on support measures for family caregivers, a new person-</w:t>
      </w:r>
      <w:proofErr w:type="spellStart"/>
      <w:r w:rsidRPr="00A746D8">
        <w:rPr>
          <w:rFonts w:eastAsia="Calibri"/>
          <w:lang w:val="en-US"/>
        </w:rPr>
        <w:t>centred</w:t>
      </w:r>
      <w:proofErr w:type="spellEnd"/>
      <w:r w:rsidRPr="00A746D8">
        <w:rPr>
          <w:rFonts w:eastAsia="Calibri"/>
          <w:lang w:val="en-US"/>
        </w:rPr>
        <w:t xml:space="preserve"> care model, a pilot and evaluation framework and a roadmap for national rollout. The project is in an advanced stage of implementation with the first three outputs already completed. In parallel, an extension of the project until June 2026 was agreed to ensure its full completion. Furthermore, the National Strategic Framework for Long-Term Care was prepared and presented to the relevant stakeholders, as well as published on the website of the Ministry of Social Cohesion and Family Affairs in 2024. As a follow-up to the National Strategic Framework for Long-Term Care, a National Action Plan was carried out by the Ministry’s contractors under the NSRF 2021-2027. The Ministry is currently finalizing the National Action Plan through prioritization of the proposed actions according to the available means and resources, so that it will be implementable. The Economic Independence of Youth project develops evidence-based policy recommendations grounded in a diagnostic analysis and international good practices in order to facilitate the economic autonomy of younger generations. These pillars are further localized through Regional Demographic Action Plans (RDAPs) ensuring that the national strategy remains both territorially adapted and data-driven.</w:t>
      </w:r>
    </w:p>
    <w:p w14:paraId="74E13545" w14:textId="77777777" w:rsidR="00451CC2" w:rsidRPr="00A746D8" w:rsidRDefault="00853BDC" w:rsidP="00353C6F">
      <w:pPr>
        <w:spacing w:after="180"/>
        <w:rPr>
          <w:rFonts w:eastAsia="Calibri"/>
          <w:lang w:val="en-US"/>
        </w:rPr>
      </w:pPr>
      <w:r w:rsidRPr="00853BDC">
        <w:rPr>
          <w:rFonts w:eastAsia="Calibri"/>
          <w:lang w:val="en-US"/>
        </w:rPr>
        <w:t>The pilot phase of the “</w:t>
      </w:r>
      <w:proofErr w:type="spellStart"/>
      <w:r w:rsidRPr="00853BDC">
        <w:rPr>
          <w:rFonts w:eastAsia="Calibri"/>
          <w:lang w:val="en-US"/>
        </w:rPr>
        <w:t>Neighbourhood</w:t>
      </w:r>
      <w:proofErr w:type="spellEnd"/>
      <w:r w:rsidRPr="00853BDC">
        <w:rPr>
          <w:rFonts w:eastAsia="Calibri"/>
          <w:lang w:val="en-US"/>
        </w:rPr>
        <w:t xml:space="preserve"> Nannies” project was successfully completed on 31 July 2025 and covered 62 municipalities (925 contracts have been implemented between parents and nannies for babies aged between 2 months and 2.5 years old). The project is planned to cover all 332 municipalities in Greece, and the roll-out of the nationwide program kicked-off in April 27, 2026, with a budget of 57.000.000 euros. The new programme has expanded eligibility criteria, allowing beneficiaries with one child to participate with an individual income of up to €24,000, up to €27,000 for a beneficiary with two children, and no income limit for those with three or more children. Previously, the individual income threshold was set at €24,000 annually, regardless of the number of children.</w:t>
      </w:r>
    </w:p>
    <w:p w14:paraId="7EC57F8A" w14:textId="77777777" w:rsidR="00451CC2" w:rsidRPr="00A746D8" w:rsidRDefault="00451CC2" w:rsidP="00353C6F">
      <w:pPr>
        <w:spacing w:after="180"/>
        <w:rPr>
          <w:lang w:val="en-US"/>
        </w:rPr>
      </w:pPr>
      <w:r w:rsidRPr="00A746D8">
        <w:rPr>
          <w:rFonts w:eastAsia="Calibri"/>
          <w:lang w:val="en-US"/>
        </w:rPr>
        <w:t xml:space="preserve">Under the support of the TSI of the European Commission and the OECD, the Ministry of Social Cohesion and Family Affairs is putting in place the </w:t>
      </w:r>
      <w:r w:rsidRPr="00A746D8">
        <w:rPr>
          <w:rFonts w:eastAsia="Calibri"/>
          <w:b/>
          <w:bCs/>
          <w:lang w:val="en-US"/>
        </w:rPr>
        <w:t>Demographic Observatory,</w:t>
      </w:r>
      <w:r w:rsidRPr="00A746D8">
        <w:rPr>
          <w:rFonts w:eastAsia="Calibri"/>
          <w:lang w:val="en-US"/>
        </w:rPr>
        <w:t xml:space="preserve"> which will </w:t>
      </w:r>
      <w:proofErr w:type="spellStart"/>
      <w:r w:rsidRPr="00A746D8">
        <w:rPr>
          <w:rFonts w:eastAsia="Calibri"/>
          <w:lang w:val="en-US"/>
        </w:rPr>
        <w:t>centralise</w:t>
      </w:r>
      <w:proofErr w:type="spellEnd"/>
      <w:r w:rsidRPr="00A746D8">
        <w:rPr>
          <w:rFonts w:eastAsia="Calibri"/>
          <w:lang w:val="en-US"/>
        </w:rPr>
        <w:t xml:space="preserve"> data collection and analysis, support policy monitoring and evaluation, and strengthen coordination across national and regional levels. The Ministry expects it to play a </w:t>
      </w:r>
      <w:r w:rsidRPr="00A746D8">
        <w:rPr>
          <w:rFonts w:eastAsia="Calibri"/>
          <w:lang w:val="en-US"/>
        </w:rPr>
        <w:lastRenderedPageBreak/>
        <w:t>central role in delivering the strategic objectives of the National Action Plan on Demography. In practice, the Observatory will act as a core analytical and coordination hub, supporting the monitoring of demographic indicators, the evaluation of policy implementation, and the development of evidence-based policymaking more broadly. Furthermore, a call for proposals has been issued under the Operational Programme “Human Resources and Social Cohesion”, with a budget of €3.2 million, addressed to the Special Managing Authority of the NSRF of the Ministry of Social Cohesion and Family Affairs. The Demographic Policy Observatory is intended to serve as a key tool for monitoring and implementing demographic policy within the Ministry.</w:t>
      </w:r>
    </w:p>
    <w:p w14:paraId="79BACB7D" w14:textId="77777777" w:rsidR="00451CC2" w:rsidRPr="00A746D8" w:rsidRDefault="00451CC2" w:rsidP="00353C6F">
      <w:pPr>
        <w:spacing w:after="180"/>
        <w:rPr>
          <w:rFonts w:eastAsia="Calibri"/>
          <w:lang w:val="en-US"/>
        </w:rPr>
      </w:pPr>
      <w:r w:rsidRPr="00A746D8">
        <w:rPr>
          <w:rFonts w:eastAsia="Calibri"/>
          <w:lang w:val="en-US"/>
        </w:rPr>
        <w:t xml:space="preserve">The </w:t>
      </w:r>
      <w:r w:rsidRPr="00A746D8">
        <w:rPr>
          <w:rFonts w:eastAsia="Calibri"/>
          <w:b/>
          <w:lang w:val="en-US"/>
        </w:rPr>
        <w:t>RRF investment “</w:t>
      </w:r>
      <w:r w:rsidRPr="00A746D8">
        <w:rPr>
          <w:rFonts w:eastAsia="Calibri"/>
          <w:b/>
          <w:bCs/>
          <w:lang w:val="en-US"/>
        </w:rPr>
        <w:t>Diversity Awareness”</w:t>
      </w:r>
      <w:r w:rsidRPr="00A746D8">
        <w:rPr>
          <w:rFonts w:eastAsia="Calibri"/>
          <w:lang w:val="en-US"/>
        </w:rPr>
        <w:t xml:space="preserve"> consists of several closely linked components. The first subproject focuses on developing a methodology and guidance on good practices for promoting diversity within the working environment. In parallel, the second subproject involves the creation of educational material on diversity and the development of a digital platform where participants will complete a three-hour online course. 80,000 employees in the private sector joined the specialized training program on diversity issues in workplaces (July 2025). In March 2026, an official invitation was published for companies to participate in the “Diversity Award to 100 Companies”, initiated by the General Secretariat for Equality and Human Rights at the Ministry of Social Cohesion and Family Affairs. Furthermore, the data collection, analysis and reporting on diversity issues were assigned to the Equality Observatory through the amendment of Article 13 of Law 4604/2016.</w:t>
      </w:r>
    </w:p>
    <w:p w14:paraId="0E1D6C14" w14:textId="77777777" w:rsidR="00451CC2" w:rsidRPr="00A746D8" w:rsidRDefault="00451CC2" w:rsidP="00353C6F">
      <w:pPr>
        <w:spacing w:after="180"/>
        <w:rPr>
          <w:rFonts w:eastAsia="Calibri"/>
          <w:lang w:val="en-US"/>
        </w:rPr>
      </w:pPr>
      <w:r w:rsidRPr="00A746D8">
        <w:rPr>
          <w:rFonts w:eastAsia="Calibri"/>
          <w:lang w:val="en-US"/>
        </w:rPr>
        <w:t xml:space="preserve">Under the </w:t>
      </w:r>
      <w:r w:rsidRPr="00A746D8">
        <w:rPr>
          <w:rFonts w:eastAsia="Calibri"/>
          <w:b/>
          <w:lang w:val="en-US"/>
        </w:rPr>
        <w:t>RRF investment “</w:t>
      </w:r>
      <w:r w:rsidRPr="00A746D8">
        <w:rPr>
          <w:rFonts w:eastAsia="Calibri"/>
          <w:b/>
          <w:bCs/>
          <w:lang w:val="en-US"/>
        </w:rPr>
        <w:t>Digital Transformation of the Social Support System”</w:t>
      </w:r>
      <w:r w:rsidRPr="00A746D8">
        <w:rPr>
          <w:rFonts w:eastAsia="Calibri"/>
          <w:lang w:val="en-US"/>
        </w:rPr>
        <w:t xml:space="preserve">, progress has been made in the delivery of both disability cards to beneficiaries and the development of the National Portal of disability. However, Subs 1 and 3 of Investment 16925 regarding a Unified digital access portal for social protection </w:t>
      </w:r>
      <w:r w:rsidRPr="001D61B2">
        <w:rPr>
          <w:rFonts w:eastAsia="Calibri"/>
          <w:lang w:val="en-US"/>
        </w:rPr>
        <w:t xml:space="preserve">and the </w:t>
      </w:r>
      <w:r w:rsidRPr="00A746D8">
        <w:rPr>
          <w:rFonts w:eastAsia="Calibri"/>
          <w:lang w:val="en-US"/>
        </w:rPr>
        <w:t>Digital transformation of OPEKA are not expected to be completed within the projected timetable, so it was decided to withdraw them from the Greek RRF. As regards the delivery of disability cards, 118,983 cards have already been issued. The relevant milestone under the ninth payment request of the RRF currently foresees the issuance of 150,000 disability cards to beneficiaries; however, this target is expected to be revised to 120,000 disability cards issued to unique beneficiaries.</w:t>
      </w:r>
    </w:p>
    <w:p w14:paraId="19C803E0" w14:textId="77777777" w:rsidR="00451CC2" w:rsidRPr="00A746D8" w:rsidRDefault="00B40F10" w:rsidP="00353C6F">
      <w:pPr>
        <w:spacing w:after="180"/>
        <w:rPr>
          <w:rFonts w:eastAsia="Calibri"/>
          <w:lang w:val="en-US"/>
        </w:rPr>
      </w:pPr>
      <w:r w:rsidRPr="00B40F10">
        <w:rPr>
          <w:rFonts w:eastAsia="Calibri"/>
          <w:lang w:val="en-US"/>
        </w:rPr>
        <w:t>On the “Social Integration” measure, the project concerning Guaranteed Minimum Income (GMI) beneficiaries will be completed through national funding with an updated target. In this framework, the Ministry in cooperation implements a TSI project concerning Artificial Intelligence for GMI beneficiaries’ integration in the labor market in cooperation with the OECD and the European Commission. As regards the Digital Training and Equipment of elderly people and people with disabilities (RRP16922.2a), the beneficiaries have been selected, and the project kicked off in late March. The programme is expected to conclude by late June with a total number of 5,400 beneficiaries</w:t>
      </w:r>
      <w:r w:rsidR="00451CC2" w:rsidRPr="00A746D8">
        <w:rPr>
          <w:rFonts w:eastAsia="Calibri"/>
          <w:lang w:val="en-US"/>
        </w:rPr>
        <w:t>.</w:t>
      </w:r>
    </w:p>
    <w:p w14:paraId="29495C3A" w14:textId="06502D3B" w:rsidR="00451CC2" w:rsidRDefault="00451CC2" w:rsidP="00451CC2">
      <w:pPr>
        <w:spacing w:before="120" w:after="120"/>
        <w:rPr>
          <w:sz w:val="24"/>
          <w:szCs w:val="24"/>
          <w:lang w:val="en-US"/>
        </w:rPr>
      </w:pPr>
    </w:p>
    <w:p w14:paraId="4CE3F524" w14:textId="77777777" w:rsidR="001C39F7" w:rsidRPr="00A746D8" w:rsidRDefault="001C39F7" w:rsidP="00451CC2">
      <w:pPr>
        <w:spacing w:before="120" w:after="120"/>
        <w:rPr>
          <w:sz w:val="24"/>
          <w:szCs w:val="24"/>
          <w:lang w:val="en-US"/>
        </w:rPr>
      </w:pPr>
    </w:p>
    <w:p w14:paraId="7E63EB38" w14:textId="77777777" w:rsidR="00451CC2" w:rsidRPr="00FD4DF9" w:rsidRDefault="00FD4DF9" w:rsidP="00FD4DF9">
      <w:pPr>
        <w:pStyle w:val="Heading2"/>
        <w:pBdr>
          <w:bottom w:val="single" w:sz="4" w:space="1" w:color="4F81BD" w:themeColor="accent1"/>
        </w:pBdr>
        <w:rPr>
          <w:rFonts w:eastAsia="Calibri"/>
          <w:sz w:val="36"/>
          <w:lang w:val="en-US"/>
        </w:rPr>
      </w:pPr>
      <w:bookmarkStart w:id="76" w:name="_Toc227932508"/>
      <w:bookmarkStart w:id="77" w:name="_Toc228279101"/>
      <w:r>
        <w:rPr>
          <w:rFonts w:eastAsia="Calibri"/>
          <w:sz w:val="36"/>
          <w:lang w:val="en-US"/>
        </w:rPr>
        <w:lastRenderedPageBreak/>
        <w:t>M</w:t>
      </w:r>
      <w:r w:rsidRPr="00FD4DF9">
        <w:rPr>
          <w:rFonts w:eastAsia="Calibri"/>
          <w:sz w:val="36"/>
          <w:lang w:val="en-US"/>
        </w:rPr>
        <w:t xml:space="preserve">inistry of </w:t>
      </w:r>
      <w:r>
        <w:rPr>
          <w:rFonts w:eastAsia="Calibri"/>
          <w:sz w:val="36"/>
          <w:lang w:val="en-US"/>
        </w:rPr>
        <w:t>M</w:t>
      </w:r>
      <w:r w:rsidRPr="00FD4DF9">
        <w:rPr>
          <w:rFonts w:eastAsia="Calibri"/>
          <w:sz w:val="36"/>
          <w:lang w:val="en-US"/>
        </w:rPr>
        <w:t xml:space="preserve">aritime </w:t>
      </w:r>
      <w:r>
        <w:rPr>
          <w:rFonts w:eastAsia="Calibri"/>
          <w:sz w:val="36"/>
          <w:lang w:val="en-US"/>
        </w:rPr>
        <w:t>A</w:t>
      </w:r>
      <w:r w:rsidRPr="00FD4DF9">
        <w:rPr>
          <w:rFonts w:eastAsia="Calibri"/>
          <w:sz w:val="36"/>
          <w:lang w:val="en-US"/>
        </w:rPr>
        <w:t xml:space="preserve">ffairs and </w:t>
      </w:r>
      <w:r>
        <w:rPr>
          <w:rFonts w:eastAsia="Calibri"/>
          <w:sz w:val="36"/>
          <w:lang w:val="en-US"/>
        </w:rPr>
        <w:t>I</w:t>
      </w:r>
      <w:r w:rsidRPr="00FD4DF9">
        <w:rPr>
          <w:rFonts w:eastAsia="Calibri"/>
          <w:sz w:val="36"/>
          <w:lang w:val="en-US"/>
        </w:rPr>
        <w:t xml:space="preserve">nsular </w:t>
      </w:r>
      <w:r>
        <w:rPr>
          <w:rFonts w:eastAsia="Calibri"/>
          <w:sz w:val="36"/>
          <w:lang w:val="en-US"/>
        </w:rPr>
        <w:t>P</w:t>
      </w:r>
      <w:r w:rsidRPr="00FD4DF9">
        <w:rPr>
          <w:rFonts w:eastAsia="Calibri"/>
          <w:sz w:val="36"/>
          <w:lang w:val="en-US"/>
        </w:rPr>
        <w:t>olicy</w:t>
      </w:r>
      <w:bookmarkEnd w:id="76"/>
      <w:bookmarkEnd w:id="77"/>
      <w:r w:rsidRPr="00FD4DF9">
        <w:rPr>
          <w:rFonts w:eastAsia="Calibri"/>
          <w:sz w:val="36"/>
          <w:lang w:val="en-US"/>
        </w:rPr>
        <w:t xml:space="preserve"> </w:t>
      </w:r>
    </w:p>
    <w:tbl>
      <w:tblPr>
        <w:tblW w:w="8902" w:type="dxa"/>
        <w:jc w:val="center"/>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Layout w:type="fixed"/>
        <w:tblLook w:val="0600" w:firstRow="0" w:lastRow="0" w:firstColumn="0" w:lastColumn="0" w:noHBand="1" w:noVBand="1"/>
      </w:tblPr>
      <w:tblGrid>
        <w:gridCol w:w="2852"/>
        <w:gridCol w:w="1289"/>
        <w:gridCol w:w="1391"/>
        <w:gridCol w:w="1698"/>
        <w:gridCol w:w="1672"/>
      </w:tblGrid>
      <w:tr w:rsidR="00451CC2" w:rsidRPr="00FD4DF9" w14:paraId="1869DF6D" w14:textId="77777777" w:rsidTr="00425017">
        <w:trPr>
          <w:trHeight w:val="170"/>
          <w:jc w:val="center"/>
        </w:trPr>
        <w:tc>
          <w:tcPr>
            <w:tcW w:w="2925" w:type="dxa"/>
            <w:shd w:val="clear" w:color="auto" w:fill="CFE2F3"/>
            <w:tcMar>
              <w:top w:w="0" w:type="dxa"/>
              <w:left w:w="40" w:type="dxa"/>
              <w:bottom w:w="0" w:type="dxa"/>
              <w:right w:w="40" w:type="dxa"/>
            </w:tcMar>
            <w:vAlign w:val="center"/>
          </w:tcPr>
          <w:p w14:paraId="5A43AE7D" w14:textId="77777777" w:rsidR="00451CC2" w:rsidRPr="00FD4DF9" w:rsidRDefault="00451CC2" w:rsidP="00FD4DF9">
            <w:pPr>
              <w:pStyle w:val="Tabletext"/>
              <w:rPr>
                <w:rFonts w:eastAsia="Calibri"/>
                <w:b/>
              </w:rPr>
            </w:pPr>
            <w:r w:rsidRPr="00FD4DF9">
              <w:rPr>
                <w:rFonts w:eastAsia="Calibri"/>
                <w:b/>
              </w:rPr>
              <w:t>REFORM / INVESTMENT</w:t>
            </w:r>
          </w:p>
        </w:tc>
        <w:tc>
          <w:tcPr>
            <w:tcW w:w="1320" w:type="dxa"/>
            <w:shd w:val="clear" w:color="auto" w:fill="CFE2F3"/>
            <w:tcMar>
              <w:top w:w="0" w:type="dxa"/>
              <w:left w:w="40" w:type="dxa"/>
              <w:bottom w:w="0" w:type="dxa"/>
              <w:right w:w="40" w:type="dxa"/>
            </w:tcMar>
            <w:vAlign w:val="center"/>
          </w:tcPr>
          <w:p w14:paraId="7189E805" w14:textId="77777777" w:rsidR="00451CC2" w:rsidRPr="00FD4DF9" w:rsidRDefault="00451CC2" w:rsidP="00FD4DF9">
            <w:pPr>
              <w:pStyle w:val="Tabletext"/>
              <w:rPr>
                <w:rFonts w:eastAsia="Calibri"/>
                <w:b/>
              </w:rPr>
            </w:pPr>
            <w:r w:rsidRPr="00FD4DF9">
              <w:rPr>
                <w:rFonts w:eastAsia="Calibri"/>
                <w:b/>
              </w:rPr>
              <w:t>RRF / MFF</w:t>
            </w:r>
          </w:p>
        </w:tc>
        <w:tc>
          <w:tcPr>
            <w:tcW w:w="1425" w:type="dxa"/>
            <w:shd w:val="clear" w:color="auto" w:fill="CFE2F3"/>
            <w:tcMar>
              <w:top w:w="0" w:type="dxa"/>
              <w:left w:w="40" w:type="dxa"/>
              <w:bottom w:w="0" w:type="dxa"/>
              <w:right w:w="40" w:type="dxa"/>
            </w:tcMar>
            <w:vAlign w:val="center"/>
          </w:tcPr>
          <w:p w14:paraId="5296F643" w14:textId="77777777" w:rsidR="00451CC2" w:rsidRPr="00FD4DF9" w:rsidRDefault="00451CC2" w:rsidP="00FD4DF9">
            <w:pPr>
              <w:pStyle w:val="Tabletext"/>
              <w:rPr>
                <w:rFonts w:eastAsia="Calibri"/>
                <w:b/>
              </w:rPr>
            </w:pPr>
            <w:r w:rsidRPr="00FD4DF9">
              <w:rPr>
                <w:rFonts w:eastAsia="Calibri"/>
                <w:b/>
              </w:rPr>
              <w:t>CSR</w:t>
            </w:r>
          </w:p>
        </w:tc>
        <w:tc>
          <w:tcPr>
            <w:tcW w:w="1740" w:type="dxa"/>
            <w:shd w:val="clear" w:color="auto" w:fill="CFE2F3"/>
            <w:tcMar>
              <w:top w:w="0" w:type="dxa"/>
              <w:left w:w="40" w:type="dxa"/>
              <w:bottom w:w="0" w:type="dxa"/>
              <w:right w:w="40" w:type="dxa"/>
            </w:tcMar>
            <w:vAlign w:val="center"/>
          </w:tcPr>
          <w:p w14:paraId="0472384B" w14:textId="77777777" w:rsidR="00451CC2" w:rsidRPr="00FD4DF9" w:rsidRDefault="00451CC2" w:rsidP="00FD4DF9">
            <w:pPr>
              <w:pStyle w:val="Tabletext"/>
              <w:rPr>
                <w:rFonts w:eastAsia="Calibri"/>
                <w:b/>
              </w:rPr>
            </w:pPr>
            <w:r w:rsidRPr="00FD4DF9">
              <w:rPr>
                <w:rFonts w:eastAsia="Calibri"/>
                <w:b/>
              </w:rPr>
              <w:t>COMMON PRIORITIES</w:t>
            </w:r>
          </w:p>
        </w:tc>
        <w:tc>
          <w:tcPr>
            <w:tcW w:w="1710" w:type="dxa"/>
            <w:shd w:val="clear" w:color="auto" w:fill="CFE2F3"/>
            <w:tcMar>
              <w:top w:w="0" w:type="dxa"/>
              <w:left w:w="100" w:type="dxa"/>
              <w:bottom w:w="0" w:type="dxa"/>
              <w:right w:w="100" w:type="dxa"/>
            </w:tcMar>
            <w:vAlign w:val="center"/>
          </w:tcPr>
          <w:p w14:paraId="2CE64175" w14:textId="77777777" w:rsidR="00451CC2" w:rsidRPr="00FD4DF9" w:rsidRDefault="00451CC2" w:rsidP="00FD4DF9">
            <w:pPr>
              <w:pStyle w:val="Tabletext"/>
              <w:rPr>
                <w:rFonts w:eastAsia="Calibri"/>
                <w:b/>
              </w:rPr>
            </w:pPr>
            <w:r w:rsidRPr="00FD4DF9">
              <w:rPr>
                <w:rFonts w:eastAsia="Calibri"/>
                <w:b/>
              </w:rPr>
              <w:t>On track Status</w:t>
            </w:r>
          </w:p>
        </w:tc>
      </w:tr>
      <w:tr w:rsidR="00451CC2" w14:paraId="026189D3" w14:textId="77777777" w:rsidTr="00425017">
        <w:trPr>
          <w:trHeight w:val="170"/>
          <w:jc w:val="center"/>
        </w:trPr>
        <w:tc>
          <w:tcPr>
            <w:tcW w:w="2925" w:type="dxa"/>
            <w:tcMar>
              <w:top w:w="40" w:type="dxa"/>
              <w:left w:w="40" w:type="dxa"/>
              <w:bottom w:w="40" w:type="dxa"/>
              <w:right w:w="40" w:type="dxa"/>
            </w:tcMar>
            <w:vAlign w:val="center"/>
          </w:tcPr>
          <w:p w14:paraId="30AD1BBC" w14:textId="77777777" w:rsidR="00451CC2" w:rsidRPr="00A746D8" w:rsidRDefault="00540671" w:rsidP="00FD4DF9">
            <w:pPr>
              <w:pStyle w:val="Tabletext"/>
              <w:rPr>
                <w:rFonts w:eastAsia="Calibri"/>
              </w:rPr>
            </w:pPr>
            <w:r w:rsidRPr="00540671">
              <w:rPr>
                <w:rFonts w:eastAsia="Calibri"/>
                <w:b/>
              </w:rPr>
              <w:t>INVESTMENT 1:</w:t>
            </w:r>
            <w:r w:rsidR="00451CC2" w:rsidRPr="00A746D8">
              <w:rPr>
                <w:rFonts w:eastAsia="Calibri"/>
              </w:rPr>
              <w:t xml:space="preserve"> Master plan for the renewal of the Greek passenger shipping fleet</w:t>
            </w:r>
          </w:p>
        </w:tc>
        <w:tc>
          <w:tcPr>
            <w:tcW w:w="1320" w:type="dxa"/>
            <w:tcMar>
              <w:top w:w="40" w:type="dxa"/>
              <w:left w:w="40" w:type="dxa"/>
              <w:bottom w:w="40" w:type="dxa"/>
              <w:right w:w="40" w:type="dxa"/>
            </w:tcMar>
            <w:vAlign w:val="center"/>
          </w:tcPr>
          <w:p w14:paraId="7C0DCB8B" w14:textId="77777777" w:rsidR="00451CC2" w:rsidRDefault="00451CC2" w:rsidP="00FD4DF9">
            <w:pPr>
              <w:pStyle w:val="Tabletext"/>
              <w:rPr>
                <w:rFonts w:eastAsia="Calibri"/>
              </w:rPr>
            </w:pPr>
            <w:r>
              <w:rPr>
                <w:rFonts w:eastAsia="Calibri"/>
              </w:rPr>
              <w:t>RRF 16944</w:t>
            </w:r>
          </w:p>
        </w:tc>
        <w:tc>
          <w:tcPr>
            <w:tcW w:w="1425" w:type="dxa"/>
            <w:tcMar>
              <w:top w:w="40" w:type="dxa"/>
              <w:left w:w="40" w:type="dxa"/>
              <w:bottom w:w="40" w:type="dxa"/>
              <w:right w:w="40" w:type="dxa"/>
            </w:tcMar>
            <w:vAlign w:val="center"/>
          </w:tcPr>
          <w:p w14:paraId="384681F1" w14:textId="77777777" w:rsidR="00451CC2" w:rsidRPr="00A746D8" w:rsidRDefault="00451CC2" w:rsidP="00FD4DF9">
            <w:pPr>
              <w:pStyle w:val="Tabletext"/>
              <w:rPr>
                <w:rFonts w:eastAsia="Calibri"/>
              </w:rPr>
            </w:pPr>
            <w:r w:rsidRPr="00A746D8">
              <w:rPr>
                <w:rFonts w:eastAsia="Calibri"/>
              </w:rPr>
              <w:t>2025.CSR 4.1</w:t>
            </w:r>
            <w:r w:rsidRPr="00A746D8">
              <w:rPr>
                <w:rFonts w:eastAsia="Calibri"/>
              </w:rPr>
              <w:br/>
              <w:t>2024.CSR 4.1</w:t>
            </w:r>
            <w:r w:rsidRPr="00A746D8">
              <w:rPr>
                <w:rFonts w:eastAsia="Calibri"/>
              </w:rPr>
              <w:br/>
              <w:t>2023.CSR 4.6 2022.CSR 4.6 2020.CSR 3.4 2020.CSR 3.3 2019.CSR 2.1</w:t>
            </w:r>
          </w:p>
        </w:tc>
        <w:tc>
          <w:tcPr>
            <w:tcW w:w="1740" w:type="dxa"/>
            <w:tcMar>
              <w:top w:w="40" w:type="dxa"/>
              <w:left w:w="40" w:type="dxa"/>
              <w:bottom w:w="40" w:type="dxa"/>
              <w:right w:w="40" w:type="dxa"/>
            </w:tcMar>
            <w:vAlign w:val="center"/>
          </w:tcPr>
          <w:p w14:paraId="03F3CA81" w14:textId="77777777" w:rsidR="00451CC2" w:rsidRDefault="00451CC2" w:rsidP="00FD4DF9">
            <w:pPr>
              <w:pStyle w:val="Tabletext"/>
              <w:rPr>
                <w:rFonts w:eastAsia="Calibri"/>
              </w:rPr>
            </w:pPr>
            <w:r>
              <w:rPr>
                <w:rFonts w:eastAsia="Calibri"/>
              </w:rPr>
              <w:t>Fair green &amp; digital transition</w:t>
            </w:r>
          </w:p>
        </w:tc>
        <w:tc>
          <w:tcPr>
            <w:tcW w:w="1710" w:type="dxa"/>
            <w:tcMar>
              <w:top w:w="0" w:type="dxa"/>
              <w:left w:w="100" w:type="dxa"/>
              <w:bottom w:w="0" w:type="dxa"/>
              <w:right w:w="100" w:type="dxa"/>
            </w:tcMar>
            <w:vAlign w:val="center"/>
          </w:tcPr>
          <w:p w14:paraId="3AAC6312" w14:textId="77777777" w:rsidR="00451CC2" w:rsidRDefault="00451CC2" w:rsidP="00FD4DF9">
            <w:pPr>
              <w:pStyle w:val="Tabletext"/>
              <w:rPr>
                <w:rFonts w:eastAsia="Calibri"/>
              </w:rPr>
            </w:pPr>
            <w:r>
              <w:rPr>
                <w:rFonts w:eastAsia="Calibri"/>
              </w:rPr>
              <w:t>Delayed</w:t>
            </w:r>
          </w:p>
        </w:tc>
      </w:tr>
      <w:tr w:rsidR="00451CC2" w14:paraId="7CF973B6" w14:textId="77777777" w:rsidTr="00425017">
        <w:trPr>
          <w:trHeight w:val="170"/>
          <w:jc w:val="center"/>
        </w:trPr>
        <w:tc>
          <w:tcPr>
            <w:tcW w:w="2925" w:type="dxa"/>
            <w:tcMar>
              <w:top w:w="40" w:type="dxa"/>
              <w:left w:w="40" w:type="dxa"/>
              <w:bottom w:w="40" w:type="dxa"/>
              <w:right w:w="40" w:type="dxa"/>
            </w:tcMar>
            <w:vAlign w:val="center"/>
          </w:tcPr>
          <w:p w14:paraId="72F126C9" w14:textId="77777777" w:rsidR="00451CC2" w:rsidRPr="00A746D8" w:rsidRDefault="00540671" w:rsidP="00FD4DF9">
            <w:pPr>
              <w:pStyle w:val="Tabletext"/>
              <w:rPr>
                <w:rFonts w:eastAsia="Calibri"/>
              </w:rPr>
            </w:pPr>
            <w:r w:rsidRPr="00540671">
              <w:rPr>
                <w:rFonts w:eastAsia="Calibri"/>
                <w:b/>
              </w:rPr>
              <w:t>INVESTMENT 2:</w:t>
            </w:r>
            <w:r w:rsidR="00451CC2" w:rsidRPr="00A746D8">
              <w:rPr>
                <w:rFonts w:eastAsia="Calibri"/>
              </w:rPr>
              <w:t xml:space="preserve"> Upgrade Interventions for Regional Ports</w:t>
            </w:r>
          </w:p>
        </w:tc>
        <w:tc>
          <w:tcPr>
            <w:tcW w:w="1320" w:type="dxa"/>
            <w:tcMar>
              <w:top w:w="40" w:type="dxa"/>
              <w:left w:w="40" w:type="dxa"/>
              <w:bottom w:w="40" w:type="dxa"/>
              <w:right w:w="40" w:type="dxa"/>
            </w:tcMar>
            <w:vAlign w:val="center"/>
          </w:tcPr>
          <w:p w14:paraId="2869E3A3" w14:textId="77777777" w:rsidR="00451CC2" w:rsidRDefault="00451CC2" w:rsidP="00FD4DF9">
            <w:pPr>
              <w:pStyle w:val="Tabletext"/>
              <w:rPr>
                <w:rFonts w:eastAsia="Calibri"/>
              </w:rPr>
            </w:pPr>
            <w:r>
              <w:rPr>
                <w:rFonts w:eastAsia="Calibri"/>
              </w:rPr>
              <w:t>RRF 16975</w:t>
            </w:r>
          </w:p>
        </w:tc>
        <w:tc>
          <w:tcPr>
            <w:tcW w:w="1425" w:type="dxa"/>
            <w:tcMar>
              <w:top w:w="40" w:type="dxa"/>
              <w:left w:w="40" w:type="dxa"/>
              <w:bottom w:w="40" w:type="dxa"/>
              <w:right w:w="40" w:type="dxa"/>
            </w:tcMar>
            <w:vAlign w:val="center"/>
          </w:tcPr>
          <w:p w14:paraId="014E9CF1" w14:textId="77777777" w:rsidR="00451CC2" w:rsidRPr="00A746D8" w:rsidRDefault="00451CC2" w:rsidP="00FD4DF9">
            <w:pPr>
              <w:pStyle w:val="Tabletext"/>
              <w:rPr>
                <w:rFonts w:eastAsia="Calibri"/>
              </w:rPr>
            </w:pPr>
            <w:r w:rsidRPr="00A746D8">
              <w:rPr>
                <w:rFonts w:eastAsia="Calibri"/>
              </w:rPr>
              <w:t>2025.CSR 4.1</w:t>
            </w:r>
            <w:r w:rsidRPr="00A746D8">
              <w:rPr>
                <w:rFonts w:eastAsia="Calibri"/>
              </w:rPr>
              <w:br/>
              <w:t>2024.CSR 4.1</w:t>
            </w:r>
            <w:r w:rsidRPr="00A746D8">
              <w:rPr>
                <w:rFonts w:eastAsia="Calibri"/>
              </w:rPr>
              <w:br/>
              <w:t>2023.CSR 4.6 2022.CSR 4.6 2020.CSR 3.4 2019.CSR 2.1</w:t>
            </w:r>
          </w:p>
        </w:tc>
        <w:tc>
          <w:tcPr>
            <w:tcW w:w="1740" w:type="dxa"/>
            <w:tcMar>
              <w:top w:w="40" w:type="dxa"/>
              <w:left w:w="40" w:type="dxa"/>
              <w:bottom w:w="40" w:type="dxa"/>
              <w:right w:w="40" w:type="dxa"/>
            </w:tcMar>
            <w:vAlign w:val="center"/>
          </w:tcPr>
          <w:p w14:paraId="3FE769EC" w14:textId="77777777" w:rsidR="00451CC2" w:rsidRDefault="00451CC2" w:rsidP="00FD4DF9">
            <w:pPr>
              <w:pStyle w:val="Tabletext"/>
              <w:rPr>
                <w:rFonts w:eastAsia="Calibri"/>
              </w:rPr>
            </w:pPr>
            <w:r>
              <w:rPr>
                <w:rFonts w:eastAsia="Calibri"/>
              </w:rPr>
              <w:t>Fair green &amp; digital transition</w:t>
            </w:r>
          </w:p>
        </w:tc>
        <w:tc>
          <w:tcPr>
            <w:tcW w:w="1710" w:type="dxa"/>
            <w:tcMar>
              <w:top w:w="0" w:type="dxa"/>
              <w:left w:w="100" w:type="dxa"/>
              <w:bottom w:w="0" w:type="dxa"/>
              <w:right w:w="100" w:type="dxa"/>
            </w:tcMar>
            <w:vAlign w:val="center"/>
          </w:tcPr>
          <w:p w14:paraId="2BD74832" w14:textId="77777777" w:rsidR="00451CC2" w:rsidRDefault="00451CC2" w:rsidP="00FD4DF9">
            <w:pPr>
              <w:pStyle w:val="Tabletext"/>
              <w:rPr>
                <w:rFonts w:eastAsia="Calibri"/>
              </w:rPr>
            </w:pPr>
            <w:r>
              <w:rPr>
                <w:rFonts w:eastAsia="Calibri"/>
              </w:rPr>
              <w:t>On track</w:t>
            </w:r>
          </w:p>
        </w:tc>
      </w:tr>
      <w:tr w:rsidR="00451CC2" w14:paraId="18ACEDC1" w14:textId="77777777" w:rsidTr="00425017">
        <w:trPr>
          <w:trHeight w:val="170"/>
          <w:jc w:val="center"/>
        </w:trPr>
        <w:tc>
          <w:tcPr>
            <w:tcW w:w="2925" w:type="dxa"/>
            <w:tcMar>
              <w:top w:w="40" w:type="dxa"/>
              <w:left w:w="40" w:type="dxa"/>
              <w:bottom w:w="40" w:type="dxa"/>
              <w:right w:w="40" w:type="dxa"/>
            </w:tcMar>
            <w:vAlign w:val="center"/>
          </w:tcPr>
          <w:p w14:paraId="08D90D40" w14:textId="77777777" w:rsidR="00451CC2" w:rsidRPr="00A746D8" w:rsidRDefault="00540671" w:rsidP="00FD4DF9">
            <w:pPr>
              <w:pStyle w:val="Tabletext"/>
              <w:rPr>
                <w:rFonts w:eastAsia="Calibri"/>
              </w:rPr>
            </w:pPr>
            <w:r w:rsidRPr="00540671">
              <w:rPr>
                <w:rFonts w:eastAsia="Calibri"/>
                <w:b/>
              </w:rPr>
              <w:t>INVESTMENT 3:</w:t>
            </w:r>
            <w:r w:rsidR="00451CC2" w:rsidRPr="00A746D8">
              <w:rPr>
                <w:rFonts w:eastAsia="Calibri"/>
              </w:rPr>
              <w:t xml:space="preserve"> Improvement of the accessibility of the islands by developing a coastal transport system</w:t>
            </w:r>
          </w:p>
        </w:tc>
        <w:tc>
          <w:tcPr>
            <w:tcW w:w="1320" w:type="dxa"/>
            <w:tcMar>
              <w:top w:w="40" w:type="dxa"/>
              <w:left w:w="40" w:type="dxa"/>
              <w:bottom w:w="40" w:type="dxa"/>
              <w:right w:w="40" w:type="dxa"/>
            </w:tcMar>
            <w:vAlign w:val="center"/>
          </w:tcPr>
          <w:p w14:paraId="09DDF4BE" w14:textId="77777777" w:rsidR="00451CC2" w:rsidRDefault="00451CC2" w:rsidP="00FD4DF9">
            <w:pPr>
              <w:pStyle w:val="Tabletext"/>
              <w:rPr>
                <w:rFonts w:eastAsia="Calibri"/>
              </w:rPr>
            </w:pPr>
            <w:r>
              <w:rPr>
                <w:rFonts w:eastAsia="Calibri"/>
              </w:rPr>
              <w:t>MFF</w:t>
            </w:r>
          </w:p>
        </w:tc>
        <w:tc>
          <w:tcPr>
            <w:tcW w:w="1425" w:type="dxa"/>
            <w:tcMar>
              <w:top w:w="40" w:type="dxa"/>
              <w:left w:w="40" w:type="dxa"/>
              <w:bottom w:w="40" w:type="dxa"/>
              <w:right w:w="40" w:type="dxa"/>
            </w:tcMar>
            <w:vAlign w:val="center"/>
          </w:tcPr>
          <w:p w14:paraId="2302E21C" w14:textId="77777777" w:rsidR="00451CC2" w:rsidRDefault="00451CC2" w:rsidP="00FD4DF9">
            <w:pPr>
              <w:pStyle w:val="Tabletext"/>
              <w:rPr>
                <w:rFonts w:eastAsia="Calibri"/>
              </w:rPr>
            </w:pPr>
            <w:r>
              <w:rPr>
                <w:rFonts w:eastAsia="Calibri"/>
              </w:rPr>
              <w:t>2023 CSR 4.1</w:t>
            </w:r>
            <w:r>
              <w:rPr>
                <w:rFonts w:eastAsia="Calibri"/>
              </w:rPr>
              <w:br/>
              <w:t>2022 CSR 4.1</w:t>
            </w:r>
          </w:p>
        </w:tc>
        <w:tc>
          <w:tcPr>
            <w:tcW w:w="1740" w:type="dxa"/>
            <w:tcMar>
              <w:top w:w="40" w:type="dxa"/>
              <w:left w:w="40" w:type="dxa"/>
              <w:bottom w:w="40" w:type="dxa"/>
              <w:right w:w="40" w:type="dxa"/>
            </w:tcMar>
            <w:vAlign w:val="center"/>
          </w:tcPr>
          <w:p w14:paraId="40A911C8" w14:textId="77777777" w:rsidR="00451CC2" w:rsidRDefault="00451CC2" w:rsidP="00FD4DF9">
            <w:pPr>
              <w:pStyle w:val="Tabletext"/>
              <w:rPr>
                <w:rFonts w:eastAsia="Calibri"/>
              </w:rPr>
            </w:pPr>
            <w:r>
              <w:rPr>
                <w:rFonts w:eastAsia="Calibri"/>
              </w:rPr>
              <w:t>Fair green &amp; digital transition</w:t>
            </w:r>
          </w:p>
        </w:tc>
        <w:tc>
          <w:tcPr>
            <w:tcW w:w="1710" w:type="dxa"/>
            <w:tcMar>
              <w:top w:w="0" w:type="dxa"/>
              <w:left w:w="100" w:type="dxa"/>
              <w:bottom w:w="0" w:type="dxa"/>
              <w:right w:w="100" w:type="dxa"/>
            </w:tcMar>
            <w:vAlign w:val="center"/>
          </w:tcPr>
          <w:p w14:paraId="311BF5AE" w14:textId="77777777" w:rsidR="00451CC2" w:rsidRDefault="00451CC2" w:rsidP="00FD4DF9">
            <w:pPr>
              <w:pStyle w:val="Tabletext"/>
              <w:rPr>
                <w:rFonts w:eastAsia="Calibri"/>
              </w:rPr>
            </w:pPr>
            <w:r>
              <w:rPr>
                <w:rFonts w:eastAsia="Calibri"/>
              </w:rPr>
              <w:t>Not completed</w:t>
            </w:r>
          </w:p>
        </w:tc>
      </w:tr>
      <w:tr w:rsidR="00451CC2" w14:paraId="328ED6E6" w14:textId="77777777" w:rsidTr="00425017">
        <w:trPr>
          <w:trHeight w:val="170"/>
          <w:jc w:val="center"/>
        </w:trPr>
        <w:tc>
          <w:tcPr>
            <w:tcW w:w="2925" w:type="dxa"/>
            <w:tcMar>
              <w:top w:w="40" w:type="dxa"/>
              <w:left w:w="40" w:type="dxa"/>
              <w:bottom w:w="40" w:type="dxa"/>
              <w:right w:w="40" w:type="dxa"/>
            </w:tcMar>
            <w:vAlign w:val="center"/>
          </w:tcPr>
          <w:p w14:paraId="3D29BAEA" w14:textId="77777777" w:rsidR="00451CC2" w:rsidRPr="00A746D8" w:rsidRDefault="00540671" w:rsidP="00FD4DF9">
            <w:pPr>
              <w:pStyle w:val="Tabletext"/>
              <w:rPr>
                <w:rFonts w:eastAsia="Calibri"/>
              </w:rPr>
            </w:pPr>
            <w:r w:rsidRPr="00540671">
              <w:rPr>
                <w:rFonts w:eastAsia="Calibri"/>
                <w:b/>
              </w:rPr>
              <w:t>INVESTMENT 4:</w:t>
            </w:r>
            <w:r w:rsidR="00451CC2" w:rsidRPr="00A746D8">
              <w:rPr>
                <w:rFonts w:eastAsia="Calibri"/>
              </w:rPr>
              <w:t xml:space="preserve"> Upgrade of port infrastructures on islands</w:t>
            </w:r>
          </w:p>
        </w:tc>
        <w:tc>
          <w:tcPr>
            <w:tcW w:w="1320" w:type="dxa"/>
            <w:tcMar>
              <w:top w:w="40" w:type="dxa"/>
              <w:left w:w="40" w:type="dxa"/>
              <w:bottom w:w="40" w:type="dxa"/>
              <w:right w:w="40" w:type="dxa"/>
            </w:tcMar>
            <w:vAlign w:val="center"/>
          </w:tcPr>
          <w:p w14:paraId="04F46686" w14:textId="77777777" w:rsidR="00451CC2" w:rsidRDefault="00451CC2" w:rsidP="00FD4DF9">
            <w:pPr>
              <w:pStyle w:val="Tabletext"/>
              <w:rPr>
                <w:rFonts w:eastAsia="Calibri"/>
              </w:rPr>
            </w:pPr>
            <w:r>
              <w:rPr>
                <w:rFonts w:eastAsia="Calibri"/>
              </w:rPr>
              <w:t>MFF</w:t>
            </w:r>
          </w:p>
        </w:tc>
        <w:tc>
          <w:tcPr>
            <w:tcW w:w="1425" w:type="dxa"/>
            <w:tcMar>
              <w:top w:w="40" w:type="dxa"/>
              <w:left w:w="40" w:type="dxa"/>
              <w:bottom w:w="40" w:type="dxa"/>
              <w:right w:w="40" w:type="dxa"/>
            </w:tcMar>
            <w:vAlign w:val="center"/>
          </w:tcPr>
          <w:p w14:paraId="2F0DC90B" w14:textId="77777777" w:rsidR="00451CC2" w:rsidRDefault="00451CC2" w:rsidP="00FD4DF9">
            <w:pPr>
              <w:pStyle w:val="Tabletext"/>
              <w:rPr>
                <w:rFonts w:eastAsia="Calibri"/>
              </w:rPr>
            </w:pPr>
            <w:r>
              <w:rPr>
                <w:rFonts w:eastAsia="Calibri"/>
              </w:rPr>
              <w:t xml:space="preserve"> </w:t>
            </w:r>
          </w:p>
        </w:tc>
        <w:tc>
          <w:tcPr>
            <w:tcW w:w="1740" w:type="dxa"/>
            <w:tcMar>
              <w:top w:w="40" w:type="dxa"/>
              <w:left w:w="40" w:type="dxa"/>
              <w:bottom w:w="40" w:type="dxa"/>
              <w:right w:w="40" w:type="dxa"/>
            </w:tcMar>
            <w:vAlign w:val="center"/>
          </w:tcPr>
          <w:p w14:paraId="3EE684D6" w14:textId="77777777" w:rsidR="00451CC2" w:rsidRDefault="00451CC2" w:rsidP="00FD4DF9">
            <w:pPr>
              <w:pStyle w:val="Tabletext"/>
              <w:rPr>
                <w:rFonts w:eastAsia="Calibri"/>
              </w:rPr>
            </w:pPr>
            <w:r>
              <w:rPr>
                <w:rFonts w:eastAsia="Calibri"/>
              </w:rPr>
              <w:t>Fair green &amp; digital transition</w:t>
            </w:r>
          </w:p>
        </w:tc>
        <w:tc>
          <w:tcPr>
            <w:tcW w:w="1710" w:type="dxa"/>
            <w:tcMar>
              <w:top w:w="0" w:type="dxa"/>
              <w:left w:w="100" w:type="dxa"/>
              <w:bottom w:w="0" w:type="dxa"/>
              <w:right w:w="100" w:type="dxa"/>
            </w:tcMar>
            <w:vAlign w:val="center"/>
          </w:tcPr>
          <w:p w14:paraId="2C82D76A" w14:textId="77777777" w:rsidR="00451CC2" w:rsidRDefault="00451CC2" w:rsidP="00FD4DF9">
            <w:pPr>
              <w:pStyle w:val="Tabletext"/>
              <w:rPr>
                <w:rFonts w:eastAsia="Calibri"/>
              </w:rPr>
            </w:pPr>
            <w:r>
              <w:rPr>
                <w:rFonts w:eastAsia="Calibri"/>
              </w:rPr>
              <w:t>On track</w:t>
            </w:r>
          </w:p>
        </w:tc>
      </w:tr>
      <w:tr w:rsidR="00451CC2" w14:paraId="157EF604" w14:textId="77777777" w:rsidTr="00425017">
        <w:trPr>
          <w:trHeight w:val="170"/>
          <w:jc w:val="center"/>
        </w:trPr>
        <w:tc>
          <w:tcPr>
            <w:tcW w:w="2925" w:type="dxa"/>
            <w:tcMar>
              <w:top w:w="40" w:type="dxa"/>
              <w:left w:w="40" w:type="dxa"/>
              <w:bottom w:w="40" w:type="dxa"/>
              <w:right w:w="40" w:type="dxa"/>
            </w:tcMar>
            <w:vAlign w:val="center"/>
          </w:tcPr>
          <w:p w14:paraId="2CD703C8" w14:textId="77777777" w:rsidR="00451CC2" w:rsidRPr="00A746D8" w:rsidRDefault="00540671" w:rsidP="00FD4DF9">
            <w:pPr>
              <w:pStyle w:val="Tabletext"/>
              <w:rPr>
                <w:rFonts w:eastAsia="Calibri"/>
              </w:rPr>
            </w:pPr>
            <w:r w:rsidRPr="00540671">
              <w:rPr>
                <w:rFonts w:eastAsia="Calibri"/>
                <w:b/>
              </w:rPr>
              <w:t>INVESTMENT 5:</w:t>
            </w:r>
            <w:r w:rsidR="00451CC2" w:rsidRPr="00A746D8">
              <w:rPr>
                <w:rFonts w:eastAsia="Calibri"/>
              </w:rPr>
              <w:t xml:space="preserve"> Digital tools for monitoring arrivals and departures of ships at ports and facilitating passengers and vehicles transportation</w:t>
            </w:r>
          </w:p>
        </w:tc>
        <w:tc>
          <w:tcPr>
            <w:tcW w:w="1320" w:type="dxa"/>
            <w:tcMar>
              <w:top w:w="40" w:type="dxa"/>
              <w:left w:w="40" w:type="dxa"/>
              <w:bottom w:w="40" w:type="dxa"/>
              <w:right w:w="40" w:type="dxa"/>
            </w:tcMar>
            <w:vAlign w:val="center"/>
          </w:tcPr>
          <w:p w14:paraId="4FB8DB68" w14:textId="77777777" w:rsidR="00451CC2" w:rsidRDefault="00451CC2" w:rsidP="00FD4DF9">
            <w:pPr>
              <w:pStyle w:val="Tabletext"/>
              <w:rPr>
                <w:rFonts w:eastAsia="Calibri"/>
              </w:rPr>
            </w:pPr>
            <w:r>
              <w:rPr>
                <w:rFonts w:eastAsia="Calibri"/>
              </w:rPr>
              <w:t>MFF</w:t>
            </w:r>
          </w:p>
        </w:tc>
        <w:tc>
          <w:tcPr>
            <w:tcW w:w="1425" w:type="dxa"/>
            <w:tcMar>
              <w:top w:w="40" w:type="dxa"/>
              <w:left w:w="40" w:type="dxa"/>
              <w:bottom w:w="40" w:type="dxa"/>
              <w:right w:w="40" w:type="dxa"/>
            </w:tcMar>
            <w:vAlign w:val="center"/>
          </w:tcPr>
          <w:p w14:paraId="01C61720" w14:textId="77777777" w:rsidR="00451CC2" w:rsidRDefault="00451CC2" w:rsidP="00FD4DF9">
            <w:pPr>
              <w:pStyle w:val="Tabletext"/>
              <w:rPr>
                <w:rFonts w:eastAsia="Calibri"/>
              </w:rPr>
            </w:pPr>
            <w:r>
              <w:rPr>
                <w:rFonts w:eastAsia="Calibri"/>
              </w:rPr>
              <w:t xml:space="preserve"> </w:t>
            </w:r>
          </w:p>
        </w:tc>
        <w:tc>
          <w:tcPr>
            <w:tcW w:w="1740" w:type="dxa"/>
            <w:tcMar>
              <w:top w:w="40" w:type="dxa"/>
              <w:left w:w="40" w:type="dxa"/>
              <w:bottom w:w="40" w:type="dxa"/>
              <w:right w:w="40" w:type="dxa"/>
            </w:tcMar>
            <w:vAlign w:val="center"/>
          </w:tcPr>
          <w:p w14:paraId="2771E125" w14:textId="77777777" w:rsidR="00451CC2" w:rsidRDefault="00451CC2" w:rsidP="00FD4DF9">
            <w:pPr>
              <w:pStyle w:val="Tabletext"/>
              <w:rPr>
                <w:rFonts w:eastAsia="Calibri"/>
              </w:rPr>
            </w:pPr>
            <w:r>
              <w:rPr>
                <w:rFonts w:eastAsia="Calibri"/>
              </w:rPr>
              <w:t>Fair green &amp; digital transition</w:t>
            </w:r>
          </w:p>
        </w:tc>
        <w:tc>
          <w:tcPr>
            <w:tcW w:w="1710" w:type="dxa"/>
            <w:tcMar>
              <w:top w:w="0" w:type="dxa"/>
              <w:left w:w="100" w:type="dxa"/>
              <w:bottom w:w="0" w:type="dxa"/>
              <w:right w:w="100" w:type="dxa"/>
            </w:tcMar>
            <w:vAlign w:val="center"/>
          </w:tcPr>
          <w:p w14:paraId="56D71CF6" w14:textId="77777777" w:rsidR="00451CC2" w:rsidRDefault="00451CC2" w:rsidP="00FD4DF9">
            <w:pPr>
              <w:pStyle w:val="Tabletext"/>
              <w:rPr>
                <w:rFonts w:eastAsia="Calibri"/>
              </w:rPr>
            </w:pPr>
            <w:r>
              <w:rPr>
                <w:rFonts w:eastAsia="Calibri"/>
              </w:rPr>
              <w:t>On track</w:t>
            </w:r>
          </w:p>
        </w:tc>
      </w:tr>
    </w:tbl>
    <w:p w14:paraId="42B0B977" w14:textId="77777777" w:rsidR="00451CC2" w:rsidRPr="00B51BAB" w:rsidRDefault="00451CC2" w:rsidP="00425017">
      <w:pPr>
        <w:spacing w:before="240"/>
        <w:rPr>
          <w:rFonts w:eastAsia="Calibri"/>
          <w:lang w:val="en-US"/>
        </w:rPr>
      </w:pPr>
      <w:r w:rsidRPr="00A746D8">
        <w:rPr>
          <w:rFonts w:eastAsia="Calibri"/>
          <w:lang w:val="en-US"/>
        </w:rPr>
        <w:t xml:space="preserve">The </w:t>
      </w:r>
      <w:r w:rsidRPr="00A746D8">
        <w:rPr>
          <w:rFonts w:eastAsia="Calibri"/>
          <w:b/>
          <w:lang w:val="en-US"/>
        </w:rPr>
        <w:t>RRF investment</w:t>
      </w:r>
      <w:r w:rsidRPr="00A746D8">
        <w:rPr>
          <w:rFonts w:eastAsia="Calibri"/>
          <w:lang w:val="en-US"/>
        </w:rPr>
        <w:t xml:space="preserve"> </w:t>
      </w:r>
      <w:r w:rsidRPr="00A746D8">
        <w:rPr>
          <w:rFonts w:eastAsia="Calibri"/>
          <w:b/>
          <w:bCs/>
          <w:lang w:val="en-US"/>
        </w:rPr>
        <w:t>“Master Plan for the renewal of the Greek passenger shipping fleet”</w:t>
      </w:r>
      <w:r w:rsidRPr="00A746D8">
        <w:rPr>
          <w:rFonts w:eastAsia="Calibri"/>
          <w:lang w:val="en-US"/>
        </w:rPr>
        <w:t xml:space="preserve"> supports the preparation of a detailed study, along with a strategy and a financing mechanism for the gradual renewal of the country's passenger ship fleet, so that it can respond to the new environmental standards. The study is part of the Strategic Importance Contracts Development Program and is being implemented in accordance with Article 126 of Law 4799/2021 (OJ A’ 78/2021).</w:t>
      </w:r>
      <w:r w:rsidRPr="00B51BAB">
        <w:rPr>
          <w:lang w:val="en-US"/>
        </w:rPr>
        <w:t xml:space="preserve"> To date, the stakeholder consultation process for the Master Plan, launched on 6 March 2026 with the public presentation event, has been completed and the comments received were duly incorporated into an annex to the deliverables. The deliverables have now been </w:t>
      </w:r>
      <w:proofErr w:type="spellStart"/>
      <w:r w:rsidRPr="00B51BAB">
        <w:rPr>
          <w:lang w:val="en-US"/>
        </w:rPr>
        <w:t>finalised</w:t>
      </w:r>
      <w:proofErr w:type="spellEnd"/>
      <w:r w:rsidRPr="00B51BAB">
        <w:rPr>
          <w:lang w:val="en-US"/>
        </w:rPr>
        <w:t xml:space="preserve"> in full. In addition, the review by the Independent Auditor was completed on 21 April 2026. The only remaining procedural step is the publication of the Master Plan on the official websites of the Ministry and of the Executive Structure of the NSRF Unit of the Ministry of Maritime Affairs and Insular Policy.</w:t>
      </w:r>
      <w:r w:rsidRPr="00A746D8">
        <w:rPr>
          <w:rFonts w:eastAsia="Calibri"/>
          <w:lang w:val="en-US"/>
        </w:rPr>
        <w:t xml:space="preserve"> To date, all deliverables have been submitted and the final steps are expected to be completed by the end of April 2026.</w:t>
      </w:r>
    </w:p>
    <w:p w14:paraId="10C7E50C" w14:textId="77777777" w:rsidR="00451CC2" w:rsidRPr="00A746D8" w:rsidRDefault="00451CC2" w:rsidP="00F675AB">
      <w:pPr>
        <w:rPr>
          <w:rFonts w:eastAsia="Calibri"/>
          <w:color w:val="EE0000"/>
          <w:lang w:val="en-US"/>
        </w:rPr>
      </w:pPr>
      <w:r w:rsidRPr="00A746D8">
        <w:rPr>
          <w:rFonts w:eastAsia="Calibri"/>
          <w:lang w:val="en-US"/>
        </w:rPr>
        <w:t xml:space="preserve">The </w:t>
      </w:r>
      <w:r w:rsidRPr="00A746D8">
        <w:rPr>
          <w:rFonts w:eastAsia="Calibri"/>
          <w:b/>
          <w:bCs/>
          <w:lang w:val="en-US"/>
        </w:rPr>
        <w:t>RRF investment</w:t>
      </w:r>
      <w:r w:rsidRPr="00A746D8">
        <w:rPr>
          <w:rFonts w:eastAsia="Calibri"/>
          <w:lang w:val="en-US"/>
        </w:rPr>
        <w:t xml:space="preserve"> </w:t>
      </w:r>
      <w:r w:rsidRPr="00A746D8">
        <w:rPr>
          <w:rFonts w:eastAsia="Calibri"/>
          <w:b/>
          <w:bCs/>
          <w:lang w:val="en-US"/>
        </w:rPr>
        <w:t>“Upgrade Interventions for Regional Ports”</w:t>
      </w:r>
      <w:r w:rsidRPr="00A746D8">
        <w:rPr>
          <w:rFonts w:eastAsia="Calibri"/>
          <w:lang w:val="en-US"/>
        </w:rPr>
        <w:t xml:space="preserve"> supports economic development in regional ports. The measure consists in construction of infrastructure works in 13 ports.  So far, 14 contracts have been signed for equal number of port projects. Operations in four ports have been completed while the remaining is ongoing.</w:t>
      </w:r>
    </w:p>
    <w:p w14:paraId="5FAAB687" w14:textId="77777777" w:rsidR="00451CC2" w:rsidRPr="00A746D8" w:rsidRDefault="00451CC2" w:rsidP="00F675AB">
      <w:pPr>
        <w:rPr>
          <w:rFonts w:eastAsia="Calibri"/>
          <w:lang w:val="en-US"/>
        </w:rPr>
      </w:pPr>
      <w:r w:rsidRPr="00A746D8">
        <w:rPr>
          <w:rFonts w:eastAsia="Calibri"/>
          <w:lang w:val="en-US"/>
        </w:rPr>
        <w:t xml:space="preserve">Concerning the green transition of the passenger fleet, </w:t>
      </w:r>
      <w:r w:rsidRPr="00A746D8">
        <w:rPr>
          <w:rFonts w:eastAsia="Calibri"/>
          <w:b/>
          <w:bCs/>
          <w:lang w:val="en-US"/>
        </w:rPr>
        <w:t>“Improvement of the accessibility of the islands by developing a coastal transport system”</w:t>
      </w:r>
      <w:r w:rsidRPr="00A746D8">
        <w:rPr>
          <w:rFonts w:eastAsia="Calibri"/>
          <w:lang w:val="en-US"/>
        </w:rPr>
        <w:t>, is under further examination.</w:t>
      </w:r>
    </w:p>
    <w:p w14:paraId="33294996" w14:textId="77777777" w:rsidR="00451CC2" w:rsidRPr="00B51BAB" w:rsidRDefault="00451CC2" w:rsidP="00F675AB">
      <w:pPr>
        <w:rPr>
          <w:lang w:val="en-US"/>
        </w:rPr>
      </w:pPr>
      <w:r w:rsidRPr="00B51BAB">
        <w:rPr>
          <w:lang w:val="en-US"/>
        </w:rPr>
        <w:lastRenderedPageBreak/>
        <w:t xml:space="preserve">The “connectivity and accessibility of islands” an additional action regarding the </w:t>
      </w:r>
      <w:r w:rsidRPr="00B51BAB">
        <w:rPr>
          <w:b/>
          <w:lang w:val="en-US"/>
        </w:rPr>
        <w:t>“Upgrade of port infrastructures on islands”</w:t>
      </w:r>
      <w:r w:rsidRPr="00B51BAB">
        <w:rPr>
          <w:lang w:val="en-US"/>
        </w:rPr>
        <w:t xml:space="preserve"> is also co-funded under European Regional Development Fund (ERDF). This action includes multiple projects at over thirty island ports, not included in the TEN-T network, emphasizing on infrastructure safety issues, thus improving coastal passenger water transport. As of now, tender procurements have been launched for 2 port projects, while procurements for another 4 are expected to be launched soon. </w:t>
      </w:r>
    </w:p>
    <w:p w14:paraId="51F8D296" w14:textId="77777777" w:rsidR="00451CC2" w:rsidRPr="00B51BAB" w:rsidRDefault="00451CC2" w:rsidP="00F675AB">
      <w:pPr>
        <w:rPr>
          <w:lang w:val="en-US"/>
        </w:rPr>
      </w:pPr>
      <w:r w:rsidRPr="00B51BAB">
        <w:rPr>
          <w:lang w:val="en-US"/>
        </w:rPr>
        <w:t>Under the same priority of the “Transport 2021–2027” Programme, and in line with the objective of strengthening the connectivity and accessibility of islands, an additional action concerning the “Development of Island Port Infrastructures” is being supported under the European Regional Development Fund (ERDF). The action aims to improve the safety, adequacy and resilience of port infrastructures in island areas outside the TEN-T network, thereby enhancing coastal passenger water transport and territorial cohesion.</w:t>
      </w:r>
    </w:p>
    <w:p w14:paraId="51B3AF30" w14:textId="77777777" w:rsidR="00451CC2" w:rsidRPr="00B51BAB" w:rsidRDefault="00451CC2" w:rsidP="00F675AB">
      <w:pPr>
        <w:rPr>
          <w:lang w:val="en-US"/>
        </w:rPr>
      </w:pPr>
      <w:r w:rsidRPr="00B51BAB">
        <w:rPr>
          <w:lang w:val="en-US"/>
        </w:rPr>
        <w:t>In this context, the project entitled “Scientific and Technical Support for the project ‘Development of Island Port Infrastructures’” was formally approved for funding on 10 December 2025. Furthermore, on 5 March 2026, HCAP submitted through the OPS system the draft call for the sub-project “Preparation of studies for the project ‘Development of Island Port Infrastructures’ to the Managing Authority of the “Transport 2021–2027” Programme for prior opinion.</w:t>
      </w:r>
    </w:p>
    <w:p w14:paraId="7554B773" w14:textId="77777777" w:rsidR="00451CC2" w:rsidRPr="00B51BAB" w:rsidRDefault="00451CC2" w:rsidP="00F675AB">
      <w:pPr>
        <w:rPr>
          <w:lang w:val="en-US"/>
        </w:rPr>
      </w:pPr>
      <w:r w:rsidRPr="00B51BAB">
        <w:rPr>
          <w:lang w:val="en-US"/>
        </w:rPr>
        <w:t>At the same time, an inclusion decision is expected for the maturation of a further seven ports under the Sectoral Development Programme of the Ministry. In parallel, approval is also pending from the competent Government Committee for the inclusion and mapping of one additional coastal shipping port in Thasos.</w:t>
      </w:r>
    </w:p>
    <w:p w14:paraId="4E0EB003" w14:textId="77777777" w:rsidR="00451CC2" w:rsidRPr="00A746D8" w:rsidRDefault="00451CC2" w:rsidP="00F675AB">
      <w:pPr>
        <w:rPr>
          <w:rFonts w:eastAsia="Calibri"/>
          <w:lang w:val="en-US"/>
        </w:rPr>
      </w:pPr>
      <w:r w:rsidRPr="00A746D8">
        <w:rPr>
          <w:rFonts w:eastAsia="Calibri"/>
          <w:lang w:val="en-US"/>
        </w:rPr>
        <w:t>In the context of the upgrade of the coastal passenger water transport services, “</w:t>
      </w:r>
      <w:r w:rsidRPr="00A746D8">
        <w:rPr>
          <w:rFonts w:eastAsia="Calibri"/>
          <w:b/>
          <w:bCs/>
          <w:lang w:val="en-US"/>
        </w:rPr>
        <w:t xml:space="preserve">Digital tools for monitoring arrivals and departures </w:t>
      </w:r>
      <w:r w:rsidRPr="00B51BAB">
        <w:rPr>
          <w:rFonts w:eastAsia="Calibri"/>
          <w:b/>
          <w:bCs/>
        </w:rPr>
        <w:t>ο</w:t>
      </w:r>
      <w:r w:rsidRPr="00A746D8">
        <w:rPr>
          <w:rFonts w:eastAsia="Calibri"/>
          <w:b/>
          <w:bCs/>
          <w:lang w:val="en-US"/>
        </w:rPr>
        <w:t>f ships at ports and facilitating passengers and vehicles transportation</w:t>
      </w:r>
      <w:r w:rsidRPr="00A746D8">
        <w:rPr>
          <w:rFonts w:eastAsia="Calibri"/>
          <w:lang w:val="en-US"/>
        </w:rPr>
        <w:t>” is under way, co-funded by the Cohesion Fund (CF) through “Transport 2021-2027” program. The project has been incorporated into the flagship action “Digital Transformation of MMAIP” which currently is under maturation.</w:t>
      </w:r>
    </w:p>
    <w:p w14:paraId="24833909" w14:textId="77777777" w:rsidR="00451CC2" w:rsidRPr="00741BD7" w:rsidRDefault="00741BD7" w:rsidP="00495534">
      <w:pPr>
        <w:pStyle w:val="Heading2"/>
        <w:pBdr>
          <w:bottom w:val="single" w:sz="4" w:space="1" w:color="4F81BD" w:themeColor="accent1"/>
        </w:pBdr>
        <w:spacing w:before="1200"/>
        <w:rPr>
          <w:rFonts w:eastAsia="Calibri"/>
          <w:sz w:val="36"/>
          <w:lang w:val="en-US"/>
        </w:rPr>
      </w:pPr>
      <w:bookmarkStart w:id="78" w:name="_Toc227932509"/>
      <w:bookmarkStart w:id="79" w:name="_Toc228279102"/>
      <w:r>
        <w:rPr>
          <w:rFonts w:eastAsia="Calibri"/>
          <w:sz w:val="36"/>
          <w:lang w:val="en-US"/>
        </w:rPr>
        <w:t>M</w:t>
      </w:r>
      <w:r w:rsidRPr="00741BD7">
        <w:rPr>
          <w:rFonts w:eastAsia="Calibri"/>
          <w:sz w:val="36"/>
          <w:lang w:val="en-US"/>
        </w:rPr>
        <w:t xml:space="preserve">inistry of </w:t>
      </w:r>
      <w:r>
        <w:rPr>
          <w:rFonts w:eastAsia="Calibri"/>
          <w:sz w:val="36"/>
          <w:lang w:val="en-US"/>
        </w:rPr>
        <w:t>T</w:t>
      </w:r>
      <w:r w:rsidRPr="00741BD7">
        <w:rPr>
          <w:rFonts w:eastAsia="Calibri"/>
          <w:sz w:val="36"/>
          <w:lang w:val="en-US"/>
        </w:rPr>
        <w:t>ourism</w:t>
      </w:r>
      <w:bookmarkEnd w:id="78"/>
      <w:bookmarkEnd w:id="79"/>
    </w:p>
    <w:tbl>
      <w:tblPr>
        <w:tblW w:w="8923" w:type="dxa"/>
        <w:jc w:val="center"/>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Layout w:type="fixed"/>
        <w:tblLook w:val="0600" w:firstRow="0" w:lastRow="0" w:firstColumn="0" w:lastColumn="0" w:noHBand="1" w:noVBand="1"/>
      </w:tblPr>
      <w:tblGrid>
        <w:gridCol w:w="3678"/>
        <w:gridCol w:w="1225"/>
        <w:gridCol w:w="1210"/>
        <w:gridCol w:w="1534"/>
        <w:gridCol w:w="1276"/>
      </w:tblGrid>
      <w:tr w:rsidR="00451CC2" w:rsidRPr="00741BD7" w14:paraId="2D945375" w14:textId="77777777" w:rsidTr="00425017">
        <w:trPr>
          <w:trHeight w:val="170"/>
          <w:jc w:val="center"/>
        </w:trPr>
        <w:tc>
          <w:tcPr>
            <w:tcW w:w="3678" w:type="dxa"/>
            <w:shd w:val="clear" w:color="auto" w:fill="CFE2F3"/>
            <w:tcMar>
              <w:top w:w="0" w:type="dxa"/>
              <w:left w:w="100" w:type="dxa"/>
              <w:bottom w:w="0" w:type="dxa"/>
              <w:right w:w="100" w:type="dxa"/>
            </w:tcMar>
            <w:vAlign w:val="center"/>
          </w:tcPr>
          <w:p w14:paraId="592FCEDB" w14:textId="77777777" w:rsidR="00451CC2" w:rsidRPr="00741BD7" w:rsidRDefault="00451CC2" w:rsidP="00741BD7">
            <w:pPr>
              <w:pStyle w:val="Tabletext"/>
              <w:rPr>
                <w:rFonts w:eastAsia="Calibri"/>
                <w:b/>
              </w:rPr>
            </w:pPr>
            <w:r w:rsidRPr="00741BD7">
              <w:rPr>
                <w:rFonts w:eastAsia="Calibri"/>
                <w:b/>
              </w:rPr>
              <w:t>REFORM / INVESTMENT</w:t>
            </w:r>
          </w:p>
        </w:tc>
        <w:tc>
          <w:tcPr>
            <w:tcW w:w="1225" w:type="dxa"/>
            <w:shd w:val="clear" w:color="auto" w:fill="CFE2F3"/>
            <w:tcMar>
              <w:top w:w="0" w:type="dxa"/>
              <w:left w:w="100" w:type="dxa"/>
              <w:bottom w:w="0" w:type="dxa"/>
              <w:right w:w="100" w:type="dxa"/>
            </w:tcMar>
            <w:vAlign w:val="center"/>
          </w:tcPr>
          <w:p w14:paraId="1A1F976E" w14:textId="77777777" w:rsidR="00451CC2" w:rsidRPr="00741BD7" w:rsidRDefault="00451CC2" w:rsidP="00741BD7">
            <w:pPr>
              <w:pStyle w:val="Tabletext"/>
              <w:rPr>
                <w:rFonts w:eastAsia="Calibri"/>
                <w:b/>
              </w:rPr>
            </w:pPr>
            <w:r w:rsidRPr="00741BD7">
              <w:rPr>
                <w:rFonts w:eastAsia="Calibri"/>
                <w:b/>
              </w:rPr>
              <w:t>RRF / MFF</w:t>
            </w:r>
          </w:p>
        </w:tc>
        <w:tc>
          <w:tcPr>
            <w:tcW w:w="1210" w:type="dxa"/>
            <w:shd w:val="clear" w:color="auto" w:fill="CFE2F3"/>
            <w:tcMar>
              <w:top w:w="0" w:type="dxa"/>
              <w:left w:w="100" w:type="dxa"/>
              <w:bottom w:w="0" w:type="dxa"/>
              <w:right w:w="100" w:type="dxa"/>
            </w:tcMar>
            <w:vAlign w:val="center"/>
          </w:tcPr>
          <w:p w14:paraId="490111B4" w14:textId="77777777" w:rsidR="00451CC2" w:rsidRPr="00741BD7" w:rsidRDefault="00451CC2" w:rsidP="00741BD7">
            <w:pPr>
              <w:pStyle w:val="Tabletext"/>
              <w:rPr>
                <w:rFonts w:eastAsia="Calibri"/>
                <w:b/>
              </w:rPr>
            </w:pPr>
            <w:r w:rsidRPr="00741BD7">
              <w:rPr>
                <w:rFonts w:eastAsia="Calibri"/>
                <w:b/>
              </w:rPr>
              <w:t>CSR</w:t>
            </w:r>
          </w:p>
        </w:tc>
        <w:tc>
          <w:tcPr>
            <w:tcW w:w="1534" w:type="dxa"/>
            <w:shd w:val="clear" w:color="auto" w:fill="CFE2F3"/>
            <w:tcMar>
              <w:top w:w="0" w:type="dxa"/>
              <w:left w:w="100" w:type="dxa"/>
              <w:bottom w:w="0" w:type="dxa"/>
              <w:right w:w="100" w:type="dxa"/>
            </w:tcMar>
            <w:vAlign w:val="center"/>
          </w:tcPr>
          <w:p w14:paraId="49110FD1" w14:textId="77777777" w:rsidR="00451CC2" w:rsidRPr="00741BD7" w:rsidRDefault="00451CC2" w:rsidP="00741BD7">
            <w:pPr>
              <w:pStyle w:val="Tabletext"/>
              <w:rPr>
                <w:rFonts w:eastAsia="Calibri"/>
                <w:b/>
              </w:rPr>
            </w:pPr>
            <w:r w:rsidRPr="00741BD7">
              <w:rPr>
                <w:rFonts w:eastAsia="Calibri"/>
                <w:b/>
              </w:rPr>
              <w:t>COMMON PRIORITIES</w:t>
            </w:r>
          </w:p>
        </w:tc>
        <w:tc>
          <w:tcPr>
            <w:tcW w:w="1276" w:type="dxa"/>
            <w:shd w:val="clear" w:color="auto" w:fill="CFE2F3"/>
            <w:tcMar>
              <w:top w:w="0" w:type="dxa"/>
              <w:left w:w="100" w:type="dxa"/>
              <w:bottom w:w="0" w:type="dxa"/>
              <w:right w:w="100" w:type="dxa"/>
            </w:tcMar>
            <w:vAlign w:val="center"/>
          </w:tcPr>
          <w:p w14:paraId="2E988E35" w14:textId="77777777" w:rsidR="00451CC2" w:rsidRPr="00741BD7" w:rsidRDefault="00451CC2" w:rsidP="00741BD7">
            <w:pPr>
              <w:pStyle w:val="Tabletext"/>
              <w:rPr>
                <w:rFonts w:eastAsia="Calibri"/>
                <w:b/>
              </w:rPr>
            </w:pPr>
            <w:r w:rsidRPr="00741BD7">
              <w:rPr>
                <w:rFonts w:eastAsia="Calibri"/>
                <w:b/>
              </w:rPr>
              <w:t>On-track status</w:t>
            </w:r>
          </w:p>
        </w:tc>
      </w:tr>
      <w:tr w:rsidR="00451CC2" w14:paraId="56340642" w14:textId="77777777" w:rsidTr="00425017">
        <w:trPr>
          <w:trHeight w:val="170"/>
          <w:jc w:val="center"/>
        </w:trPr>
        <w:tc>
          <w:tcPr>
            <w:tcW w:w="3678" w:type="dxa"/>
            <w:tcMar>
              <w:top w:w="40" w:type="dxa"/>
              <w:left w:w="40" w:type="dxa"/>
              <w:bottom w:w="40" w:type="dxa"/>
              <w:right w:w="40" w:type="dxa"/>
            </w:tcMar>
            <w:vAlign w:val="center"/>
          </w:tcPr>
          <w:p w14:paraId="2E527EEE" w14:textId="77777777" w:rsidR="00451CC2" w:rsidRPr="00A746D8" w:rsidRDefault="00540671" w:rsidP="00741BD7">
            <w:pPr>
              <w:pStyle w:val="Tabletext"/>
              <w:rPr>
                <w:rFonts w:eastAsia="Calibri"/>
              </w:rPr>
            </w:pPr>
            <w:r w:rsidRPr="00540671">
              <w:rPr>
                <w:rFonts w:eastAsia="Calibri"/>
                <w:b/>
              </w:rPr>
              <w:t>REFORM 1:</w:t>
            </w:r>
            <w:r w:rsidR="00451CC2" w:rsidRPr="00A746D8">
              <w:rPr>
                <w:rFonts w:eastAsia="Calibri"/>
              </w:rPr>
              <w:t xml:space="preserve"> Systematic showcasing of thematic and special forms of tourism is an action which aims at completing the legal and/or regulatory framework for business activities in thematic tourism and setting up strategies/action plans for the development and promotion of thematic tourism</w:t>
            </w:r>
          </w:p>
        </w:tc>
        <w:tc>
          <w:tcPr>
            <w:tcW w:w="1225" w:type="dxa"/>
            <w:tcMar>
              <w:top w:w="40" w:type="dxa"/>
              <w:left w:w="40" w:type="dxa"/>
              <w:bottom w:w="40" w:type="dxa"/>
              <w:right w:w="40" w:type="dxa"/>
            </w:tcMar>
            <w:vAlign w:val="center"/>
          </w:tcPr>
          <w:p w14:paraId="2DDC389E" w14:textId="77777777" w:rsidR="00451CC2" w:rsidRDefault="00451CC2" w:rsidP="00741BD7">
            <w:pPr>
              <w:pStyle w:val="Tabletext"/>
              <w:rPr>
                <w:rFonts w:eastAsia="Calibri"/>
              </w:rPr>
            </w:pPr>
            <w:r>
              <w:rPr>
                <w:rFonts w:eastAsia="Calibri"/>
              </w:rPr>
              <w:t>-</w:t>
            </w:r>
          </w:p>
        </w:tc>
        <w:tc>
          <w:tcPr>
            <w:tcW w:w="1210" w:type="dxa"/>
            <w:tcMar>
              <w:top w:w="40" w:type="dxa"/>
              <w:left w:w="40" w:type="dxa"/>
              <w:bottom w:w="40" w:type="dxa"/>
              <w:right w:w="40" w:type="dxa"/>
            </w:tcMar>
            <w:vAlign w:val="center"/>
          </w:tcPr>
          <w:p w14:paraId="7474DC2A" w14:textId="77777777" w:rsidR="00451CC2" w:rsidRDefault="00451CC2" w:rsidP="00741BD7">
            <w:pPr>
              <w:pStyle w:val="Tabletext"/>
              <w:rPr>
                <w:rFonts w:eastAsia="Calibri"/>
              </w:rPr>
            </w:pPr>
            <w:r>
              <w:rPr>
                <w:rFonts w:eastAsia="Calibri"/>
              </w:rPr>
              <w:t>2024 CSR1.7</w:t>
            </w:r>
          </w:p>
          <w:p w14:paraId="422F1E22" w14:textId="77777777" w:rsidR="00451CC2" w:rsidRDefault="00451CC2" w:rsidP="00741BD7">
            <w:pPr>
              <w:pStyle w:val="Tabletext"/>
              <w:rPr>
                <w:rFonts w:eastAsia="Calibri"/>
              </w:rPr>
            </w:pPr>
            <w:r>
              <w:rPr>
                <w:rFonts w:eastAsia="Calibri"/>
              </w:rPr>
              <w:t>2020 CSR3.3</w:t>
            </w:r>
          </w:p>
        </w:tc>
        <w:tc>
          <w:tcPr>
            <w:tcW w:w="1534" w:type="dxa"/>
            <w:tcMar>
              <w:top w:w="40" w:type="dxa"/>
              <w:left w:w="40" w:type="dxa"/>
              <w:bottom w:w="40" w:type="dxa"/>
              <w:right w:w="40" w:type="dxa"/>
            </w:tcMar>
            <w:vAlign w:val="center"/>
          </w:tcPr>
          <w:p w14:paraId="24A3E754" w14:textId="77777777" w:rsidR="00451CC2" w:rsidRDefault="00451CC2" w:rsidP="00741BD7">
            <w:pPr>
              <w:pStyle w:val="Tabletext"/>
              <w:rPr>
                <w:rFonts w:eastAsia="Calibri"/>
              </w:rPr>
            </w:pPr>
            <w:r>
              <w:rPr>
                <w:rFonts w:eastAsia="Calibri"/>
              </w:rPr>
              <w:t>Social and Economic resilience</w:t>
            </w:r>
          </w:p>
        </w:tc>
        <w:tc>
          <w:tcPr>
            <w:tcW w:w="1276" w:type="dxa"/>
            <w:tcMar>
              <w:top w:w="0" w:type="dxa"/>
              <w:left w:w="100" w:type="dxa"/>
              <w:bottom w:w="0" w:type="dxa"/>
              <w:right w:w="100" w:type="dxa"/>
            </w:tcMar>
            <w:vAlign w:val="center"/>
          </w:tcPr>
          <w:p w14:paraId="3EEE4759" w14:textId="77777777" w:rsidR="00451CC2" w:rsidRDefault="00451CC2" w:rsidP="00741BD7">
            <w:pPr>
              <w:pStyle w:val="Tabletext"/>
              <w:rPr>
                <w:rFonts w:eastAsia="Calibri"/>
              </w:rPr>
            </w:pPr>
            <w:r>
              <w:rPr>
                <w:rFonts w:eastAsia="Calibri"/>
              </w:rPr>
              <w:t>On track</w:t>
            </w:r>
          </w:p>
        </w:tc>
      </w:tr>
      <w:tr w:rsidR="00451CC2" w14:paraId="4F3268AA" w14:textId="77777777" w:rsidTr="00425017">
        <w:trPr>
          <w:trHeight w:val="170"/>
          <w:jc w:val="center"/>
        </w:trPr>
        <w:tc>
          <w:tcPr>
            <w:tcW w:w="3678" w:type="dxa"/>
            <w:tcMar>
              <w:top w:w="40" w:type="dxa"/>
              <w:left w:w="40" w:type="dxa"/>
              <w:bottom w:w="40" w:type="dxa"/>
              <w:right w:w="40" w:type="dxa"/>
            </w:tcMar>
            <w:vAlign w:val="center"/>
          </w:tcPr>
          <w:p w14:paraId="24E10585" w14:textId="77777777" w:rsidR="00451CC2" w:rsidRPr="00A746D8" w:rsidRDefault="00540671" w:rsidP="00741BD7">
            <w:pPr>
              <w:pStyle w:val="Tabletext"/>
              <w:rPr>
                <w:rFonts w:eastAsia="Calibri"/>
              </w:rPr>
            </w:pPr>
            <w:r w:rsidRPr="00540671">
              <w:rPr>
                <w:rFonts w:eastAsia="Calibri"/>
                <w:b/>
              </w:rPr>
              <w:lastRenderedPageBreak/>
              <w:t>REFORM 2:</w:t>
            </w:r>
            <w:r w:rsidR="00451CC2" w:rsidRPr="00A746D8">
              <w:rPr>
                <w:rFonts w:eastAsia="Calibri"/>
              </w:rPr>
              <w:t xml:space="preserve"> Simplification of the regulatory framework of the Ministry of Tourism for businesses</w:t>
            </w:r>
          </w:p>
        </w:tc>
        <w:tc>
          <w:tcPr>
            <w:tcW w:w="1225" w:type="dxa"/>
            <w:tcMar>
              <w:top w:w="40" w:type="dxa"/>
              <w:left w:w="40" w:type="dxa"/>
              <w:bottom w:w="40" w:type="dxa"/>
              <w:right w:w="40" w:type="dxa"/>
            </w:tcMar>
            <w:vAlign w:val="center"/>
          </w:tcPr>
          <w:p w14:paraId="679D763D" w14:textId="77777777" w:rsidR="00451CC2" w:rsidRDefault="00451CC2" w:rsidP="00741BD7">
            <w:pPr>
              <w:pStyle w:val="Tabletext"/>
              <w:rPr>
                <w:rFonts w:eastAsia="Calibri"/>
              </w:rPr>
            </w:pPr>
            <w:r>
              <w:rPr>
                <w:rFonts w:eastAsia="Calibri"/>
              </w:rPr>
              <w:t>-</w:t>
            </w:r>
          </w:p>
        </w:tc>
        <w:tc>
          <w:tcPr>
            <w:tcW w:w="1210" w:type="dxa"/>
            <w:tcMar>
              <w:top w:w="40" w:type="dxa"/>
              <w:left w:w="40" w:type="dxa"/>
              <w:bottom w:w="40" w:type="dxa"/>
              <w:right w:w="40" w:type="dxa"/>
            </w:tcMar>
            <w:vAlign w:val="center"/>
          </w:tcPr>
          <w:p w14:paraId="1ECDE179" w14:textId="77777777" w:rsidR="00451CC2" w:rsidRPr="00A746D8" w:rsidRDefault="00451CC2" w:rsidP="00741BD7">
            <w:pPr>
              <w:pStyle w:val="Tabletext"/>
              <w:rPr>
                <w:rFonts w:eastAsia="Calibri"/>
              </w:rPr>
            </w:pPr>
            <w:r w:rsidRPr="00A746D8">
              <w:rPr>
                <w:rFonts w:eastAsia="Calibri"/>
              </w:rPr>
              <w:t>2025 CSR3.1</w:t>
            </w:r>
          </w:p>
          <w:p w14:paraId="5B4F943B" w14:textId="77777777" w:rsidR="00451CC2" w:rsidRPr="00A746D8" w:rsidRDefault="00451CC2" w:rsidP="00741BD7">
            <w:pPr>
              <w:pStyle w:val="Tabletext"/>
              <w:rPr>
                <w:rFonts w:eastAsia="Calibri"/>
              </w:rPr>
            </w:pPr>
            <w:r w:rsidRPr="00A746D8">
              <w:rPr>
                <w:rFonts w:eastAsia="Calibri"/>
              </w:rPr>
              <w:t>2024 CSR1.7</w:t>
            </w:r>
          </w:p>
          <w:p w14:paraId="16F67AE5" w14:textId="77777777" w:rsidR="00451CC2" w:rsidRPr="00A746D8" w:rsidRDefault="00451CC2" w:rsidP="00741BD7">
            <w:pPr>
              <w:pStyle w:val="Tabletext"/>
              <w:rPr>
                <w:rFonts w:eastAsia="Calibri"/>
              </w:rPr>
            </w:pPr>
            <w:r w:rsidRPr="00A746D8">
              <w:rPr>
                <w:rFonts w:eastAsia="Calibri"/>
              </w:rPr>
              <w:t>2020 CSR3.3</w:t>
            </w:r>
          </w:p>
          <w:p w14:paraId="08D56668" w14:textId="77777777" w:rsidR="00451CC2" w:rsidRPr="00A746D8" w:rsidRDefault="00451CC2" w:rsidP="00741BD7">
            <w:pPr>
              <w:pStyle w:val="Tabletext"/>
              <w:rPr>
                <w:rFonts w:eastAsia="Calibri"/>
              </w:rPr>
            </w:pPr>
            <w:r w:rsidRPr="00A746D8">
              <w:rPr>
                <w:rFonts w:eastAsia="Calibri"/>
              </w:rPr>
              <w:t>2020 CSR3.9</w:t>
            </w:r>
          </w:p>
          <w:p w14:paraId="7DC654A2" w14:textId="77777777" w:rsidR="00451CC2" w:rsidRPr="00A746D8" w:rsidRDefault="00451CC2" w:rsidP="00741BD7">
            <w:pPr>
              <w:pStyle w:val="Tabletext"/>
              <w:rPr>
                <w:rFonts w:eastAsia="Calibri"/>
              </w:rPr>
            </w:pPr>
            <w:r w:rsidRPr="00A746D8">
              <w:rPr>
                <w:rFonts w:eastAsia="Calibri"/>
              </w:rPr>
              <w:t>2019 CSR2.3</w:t>
            </w:r>
          </w:p>
        </w:tc>
        <w:tc>
          <w:tcPr>
            <w:tcW w:w="1534" w:type="dxa"/>
            <w:tcMar>
              <w:top w:w="40" w:type="dxa"/>
              <w:left w:w="40" w:type="dxa"/>
              <w:bottom w:w="40" w:type="dxa"/>
              <w:right w:w="40" w:type="dxa"/>
            </w:tcMar>
            <w:vAlign w:val="center"/>
          </w:tcPr>
          <w:p w14:paraId="3CA9B52D" w14:textId="77777777" w:rsidR="00451CC2" w:rsidRDefault="00451CC2" w:rsidP="00741BD7">
            <w:pPr>
              <w:pStyle w:val="Tabletext"/>
              <w:rPr>
                <w:rFonts w:eastAsia="Calibri"/>
              </w:rPr>
            </w:pPr>
            <w:r>
              <w:rPr>
                <w:rFonts w:eastAsia="Calibri"/>
              </w:rPr>
              <w:t>Social and Economic resilience</w:t>
            </w:r>
          </w:p>
        </w:tc>
        <w:tc>
          <w:tcPr>
            <w:tcW w:w="1276" w:type="dxa"/>
            <w:tcMar>
              <w:top w:w="0" w:type="dxa"/>
              <w:left w:w="100" w:type="dxa"/>
              <w:bottom w:w="0" w:type="dxa"/>
              <w:right w:w="100" w:type="dxa"/>
            </w:tcMar>
            <w:vAlign w:val="center"/>
          </w:tcPr>
          <w:p w14:paraId="55984F98" w14:textId="77777777" w:rsidR="00451CC2" w:rsidRDefault="00451CC2" w:rsidP="00741BD7">
            <w:pPr>
              <w:pStyle w:val="Tabletext"/>
              <w:rPr>
                <w:rFonts w:eastAsia="Calibri"/>
              </w:rPr>
            </w:pPr>
            <w:r>
              <w:rPr>
                <w:rFonts w:eastAsia="Calibri"/>
              </w:rPr>
              <w:t>On track</w:t>
            </w:r>
          </w:p>
        </w:tc>
      </w:tr>
      <w:tr w:rsidR="00451CC2" w14:paraId="7158757D" w14:textId="77777777" w:rsidTr="00425017">
        <w:trPr>
          <w:trHeight w:val="170"/>
          <w:jc w:val="center"/>
        </w:trPr>
        <w:tc>
          <w:tcPr>
            <w:tcW w:w="3678" w:type="dxa"/>
            <w:tcMar>
              <w:top w:w="40" w:type="dxa"/>
              <w:left w:w="40" w:type="dxa"/>
              <w:bottom w:w="40" w:type="dxa"/>
              <w:right w:w="40" w:type="dxa"/>
            </w:tcMar>
            <w:vAlign w:val="center"/>
          </w:tcPr>
          <w:p w14:paraId="5BE6118E" w14:textId="77777777" w:rsidR="00451CC2" w:rsidRPr="00A746D8" w:rsidRDefault="00540671" w:rsidP="00741BD7">
            <w:pPr>
              <w:pStyle w:val="Tabletext"/>
              <w:rPr>
                <w:rFonts w:eastAsia="Calibri"/>
              </w:rPr>
            </w:pPr>
            <w:r w:rsidRPr="00540671">
              <w:rPr>
                <w:rFonts w:eastAsia="Calibri"/>
                <w:b/>
              </w:rPr>
              <w:t>REFORM 3:</w:t>
            </w:r>
            <w:r w:rsidR="00451CC2" w:rsidRPr="00A746D8">
              <w:rPr>
                <w:rFonts w:eastAsia="Calibri"/>
              </w:rPr>
              <w:t xml:space="preserve"> Targeted measures to remove the high entry barriers into tourism professions</w:t>
            </w:r>
          </w:p>
        </w:tc>
        <w:tc>
          <w:tcPr>
            <w:tcW w:w="1225" w:type="dxa"/>
            <w:tcMar>
              <w:top w:w="40" w:type="dxa"/>
              <w:left w:w="40" w:type="dxa"/>
              <w:bottom w:w="40" w:type="dxa"/>
              <w:right w:w="40" w:type="dxa"/>
            </w:tcMar>
            <w:vAlign w:val="center"/>
          </w:tcPr>
          <w:p w14:paraId="243C5F96" w14:textId="77777777" w:rsidR="00451CC2" w:rsidRDefault="00451CC2" w:rsidP="00741BD7">
            <w:pPr>
              <w:pStyle w:val="Tabletext"/>
              <w:rPr>
                <w:rFonts w:eastAsia="Calibri"/>
              </w:rPr>
            </w:pPr>
            <w:r>
              <w:rPr>
                <w:rFonts w:eastAsia="Calibri"/>
              </w:rPr>
              <w:t>-</w:t>
            </w:r>
          </w:p>
        </w:tc>
        <w:tc>
          <w:tcPr>
            <w:tcW w:w="1210" w:type="dxa"/>
            <w:tcMar>
              <w:top w:w="40" w:type="dxa"/>
              <w:left w:w="40" w:type="dxa"/>
              <w:bottom w:w="40" w:type="dxa"/>
              <w:right w:w="40" w:type="dxa"/>
            </w:tcMar>
            <w:vAlign w:val="center"/>
          </w:tcPr>
          <w:p w14:paraId="3B2BBFA8" w14:textId="77777777" w:rsidR="00451CC2" w:rsidRDefault="00451CC2" w:rsidP="00741BD7">
            <w:pPr>
              <w:pStyle w:val="Tabletext"/>
              <w:rPr>
                <w:rFonts w:eastAsia="Calibri"/>
              </w:rPr>
            </w:pPr>
            <w:r>
              <w:rPr>
                <w:rFonts w:eastAsia="Calibri"/>
              </w:rPr>
              <w:t>2025 CSR3.4</w:t>
            </w:r>
          </w:p>
          <w:p w14:paraId="1864526C" w14:textId="77777777" w:rsidR="00451CC2" w:rsidRDefault="00451CC2" w:rsidP="00741BD7">
            <w:pPr>
              <w:pStyle w:val="Tabletext"/>
              <w:rPr>
                <w:rFonts w:eastAsia="Calibri"/>
              </w:rPr>
            </w:pPr>
            <w:r>
              <w:rPr>
                <w:rFonts w:eastAsia="Calibri"/>
              </w:rPr>
              <w:t xml:space="preserve"> </w:t>
            </w:r>
          </w:p>
        </w:tc>
        <w:tc>
          <w:tcPr>
            <w:tcW w:w="1534" w:type="dxa"/>
            <w:tcMar>
              <w:top w:w="40" w:type="dxa"/>
              <w:left w:w="40" w:type="dxa"/>
              <w:bottom w:w="40" w:type="dxa"/>
              <w:right w:w="40" w:type="dxa"/>
            </w:tcMar>
            <w:vAlign w:val="center"/>
          </w:tcPr>
          <w:p w14:paraId="5BBAAA29" w14:textId="77777777" w:rsidR="00451CC2" w:rsidRDefault="00451CC2" w:rsidP="00741BD7">
            <w:pPr>
              <w:pStyle w:val="Tabletext"/>
              <w:rPr>
                <w:rFonts w:eastAsia="Calibri"/>
              </w:rPr>
            </w:pPr>
            <w:r>
              <w:rPr>
                <w:rFonts w:eastAsia="Calibri"/>
              </w:rPr>
              <w:t>Social and Economic resilience</w:t>
            </w:r>
          </w:p>
        </w:tc>
        <w:tc>
          <w:tcPr>
            <w:tcW w:w="1276" w:type="dxa"/>
            <w:tcMar>
              <w:top w:w="0" w:type="dxa"/>
              <w:left w:w="100" w:type="dxa"/>
              <w:bottom w:w="0" w:type="dxa"/>
              <w:right w:w="100" w:type="dxa"/>
            </w:tcMar>
            <w:vAlign w:val="center"/>
          </w:tcPr>
          <w:p w14:paraId="231ED830" w14:textId="77777777" w:rsidR="00451CC2" w:rsidRDefault="00451CC2" w:rsidP="00741BD7">
            <w:pPr>
              <w:pStyle w:val="Tabletext"/>
              <w:rPr>
                <w:rFonts w:eastAsia="Calibri"/>
              </w:rPr>
            </w:pPr>
            <w:r>
              <w:rPr>
                <w:rFonts w:eastAsia="Calibri"/>
              </w:rPr>
              <w:t>Completed</w:t>
            </w:r>
          </w:p>
        </w:tc>
      </w:tr>
      <w:tr w:rsidR="00451CC2" w14:paraId="158C9197" w14:textId="77777777" w:rsidTr="00425017">
        <w:trPr>
          <w:trHeight w:val="170"/>
          <w:jc w:val="center"/>
        </w:trPr>
        <w:tc>
          <w:tcPr>
            <w:tcW w:w="3678" w:type="dxa"/>
            <w:tcMar>
              <w:top w:w="40" w:type="dxa"/>
              <w:left w:w="40" w:type="dxa"/>
              <w:bottom w:w="40" w:type="dxa"/>
              <w:right w:w="40" w:type="dxa"/>
            </w:tcMar>
            <w:vAlign w:val="center"/>
          </w:tcPr>
          <w:p w14:paraId="69A02442" w14:textId="77777777" w:rsidR="00451CC2" w:rsidRPr="00A746D8" w:rsidRDefault="00540671" w:rsidP="00741BD7">
            <w:pPr>
              <w:pStyle w:val="Tabletext"/>
              <w:rPr>
                <w:rFonts w:eastAsia="Calibri"/>
              </w:rPr>
            </w:pPr>
            <w:r w:rsidRPr="00540671">
              <w:rPr>
                <w:rFonts w:eastAsia="Calibri"/>
                <w:b/>
              </w:rPr>
              <w:t>INVESTMENT 1:</w:t>
            </w:r>
            <w:r w:rsidR="00451CC2" w:rsidRPr="00A746D8">
              <w:rPr>
                <w:rFonts w:eastAsia="Calibri"/>
              </w:rPr>
              <w:t xml:space="preserve"> Tourism Registry e-MHTE</w:t>
            </w:r>
          </w:p>
        </w:tc>
        <w:tc>
          <w:tcPr>
            <w:tcW w:w="1225" w:type="dxa"/>
            <w:tcMar>
              <w:top w:w="40" w:type="dxa"/>
              <w:left w:w="40" w:type="dxa"/>
              <w:bottom w:w="40" w:type="dxa"/>
              <w:right w:w="40" w:type="dxa"/>
            </w:tcMar>
            <w:vAlign w:val="center"/>
          </w:tcPr>
          <w:p w14:paraId="3F9BEEE3" w14:textId="77777777" w:rsidR="00451CC2" w:rsidRDefault="00451CC2" w:rsidP="00741BD7">
            <w:pPr>
              <w:pStyle w:val="Tabletext"/>
              <w:rPr>
                <w:rFonts w:eastAsia="Calibri"/>
              </w:rPr>
            </w:pPr>
            <w:r>
              <w:rPr>
                <w:rFonts w:eastAsia="Calibri"/>
              </w:rPr>
              <w:t>RRF 16785</w:t>
            </w:r>
          </w:p>
          <w:p w14:paraId="5C285E6B" w14:textId="77777777" w:rsidR="00451CC2" w:rsidRDefault="00451CC2" w:rsidP="00741BD7">
            <w:pPr>
              <w:pStyle w:val="Tabletext"/>
              <w:rPr>
                <w:rFonts w:eastAsia="Calibri"/>
              </w:rPr>
            </w:pPr>
            <w:r>
              <w:rPr>
                <w:rFonts w:eastAsia="Calibri"/>
              </w:rPr>
              <w:t xml:space="preserve"> </w:t>
            </w:r>
          </w:p>
        </w:tc>
        <w:tc>
          <w:tcPr>
            <w:tcW w:w="1210" w:type="dxa"/>
            <w:tcMar>
              <w:top w:w="40" w:type="dxa"/>
              <w:left w:w="40" w:type="dxa"/>
              <w:bottom w:w="40" w:type="dxa"/>
              <w:right w:w="40" w:type="dxa"/>
            </w:tcMar>
            <w:vAlign w:val="center"/>
          </w:tcPr>
          <w:p w14:paraId="13BB148D" w14:textId="77777777" w:rsidR="00451CC2" w:rsidRDefault="00451CC2" w:rsidP="00741BD7">
            <w:pPr>
              <w:pStyle w:val="Tabletext"/>
              <w:rPr>
                <w:rFonts w:eastAsia="Calibri"/>
              </w:rPr>
            </w:pPr>
            <w:r>
              <w:rPr>
                <w:rFonts w:eastAsia="Calibri"/>
              </w:rPr>
              <w:t>2020 CSR3.9</w:t>
            </w:r>
          </w:p>
          <w:p w14:paraId="0B102B5C" w14:textId="77777777" w:rsidR="00451CC2" w:rsidRDefault="00451CC2" w:rsidP="00741BD7">
            <w:pPr>
              <w:pStyle w:val="Tabletext"/>
              <w:rPr>
                <w:rFonts w:eastAsia="Calibri"/>
              </w:rPr>
            </w:pPr>
            <w:r>
              <w:rPr>
                <w:rFonts w:eastAsia="Calibri"/>
              </w:rPr>
              <w:t>2019 CSR2.3</w:t>
            </w:r>
          </w:p>
        </w:tc>
        <w:tc>
          <w:tcPr>
            <w:tcW w:w="1534" w:type="dxa"/>
            <w:tcMar>
              <w:top w:w="40" w:type="dxa"/>
              <w:left w:w="40" w:type="dxa"/>
              <w:bottom w:w="40" w:type="dxa"/>
              <w:right w:w="40" w:type="dxa"/>
            </w:tcMar>
            <w:vAlign w:val="center"/>
          </w:tcPr>
          <w:p w14:paraId="065C1C80" w14:textId="77777777" w:rsidR="00451CC2" w:rsidRDefault="00451CC2" w:rsidP="00741BD7">
            <w:pPr>
              <w:pStyle w:val="Tabletext"/>
              <w:rPr>
                <w:rFonts w:eastAsia="Calibri"/>
              </w:rPr>
            </w:pPr>
            <w:r>
              <w:rPr>
                <w:rFonts w:eastAsia="Calibri"/>
              </w:rPr>
              <w:t>Fair green &amp; digital Transition</w:t>
            </w:r>
          </w:p>
        </w:tc>
        <w:tc>
          <w:tcPr>
            <w:tcW w:w="1276" w:type="dxa"/>
            <w:tcMar>
              <w:top w:w="0" w:type="dxa"/>
              <w:left w:w="100" w:type="dxa"/>
              <w:bottom w:w="0" w:type="dxa"/>
              <w:right w:w="100" w:type="dxa"/>
            </w:tcMar>
            <w:vAlign w:val="center"/>
          </w:tcPr>
          <w:p w14:paraId="16BE1732" w14:textId="77777777" w:rsidR="00451CC2" w:rsidRDefault="00451CC2" w:rsidP="00741BD7">
            <w:pPr>
              <w:pStyle w:val="Tabletext"/>
              <w:rPr>
                <w:rFonts w:eastAsia="Calibri"/>
              </w:rPr>
            </w:pPr>
            <w:r>
              <w:rPr>
                <w:rFonts w:eastAsia="Calibri"/>
              </w:rPr>
              <w:t>Not completed</w:t>
            </w:r>
          </w:p>
        </w:tc>
      </w:tr>
      <w:tr w:rsidR="00451CC2" w14:paraId="5E4061F7" w14:textId="77777777" w:rsidTr="00425017">
        <w:trPr>
          <w:trHeight w:val="170"/>
          <w:jc w:val="center"/>
        </w:trPr>
        <w:tc>
          <w:tcPr>
            <w:tcW w:w="3678" w:type="dxa"/>
            <w:tcMar>
              <w:top w:w="40" w:type="dxa"/>
              <w:left w:w="40" w:type="dxa"/>
              <w:bottom w:w="40" w:type="dxa"/>
              <w:right w:w="40" w:type="dxa"/>
            </w:tcMar>
            <w:vAlign w:val="center"/>
          </w:tcPr>
          <w:p w14:paraId="4CB9F8B7" w14:textId="77777777" w:rsidR="00451CC2" w:rsidRPr="00A746D8" w:rsidRDefault="00540671" w:rsidP="00741BD7">
            <w:pPr>
              <w:pStyle w:val="Tabletext"/>
              <w:rPr>
                <w:rFonts w:eastAsia="Calibri"/>
              </w:rPr>
            </w:pPr>
            <w:r w:rsidRPr="00540671">
              <w:rPr>
                <w:rFonts w:eastAsia="Calibri"/>
                <w:b/>
              </w:rPr>
              <w:t>INVESTMENT 2:</w:t>
            </w:r>
            <w:r w:rsidR="00451CC2" w:rsidRPr="00A746D8">
              <w:rPr>
                <w:rFonts w:eastAsia="Calibri"/>
              </w:rPr>
              <w:t xml:space="preserve"> Digital Transformation of the Greek National Tourism Organisation</w:t>
            </w:r>
          </w:p>
        </w:tc>
        <w:tc>
          <w:tcPr>
            <w:tcW w:w="1225" w:type="dxa"/>
            <w:tcMar>
              <w:top w:w="40" w:type="dxa"/>
              <w:left w:w="40" w:type="dxa"/>
              <w:bottom w:w="40" w:type="dxa"/>
              <w:right w:w="40" w:type="dxa"/>
            </w:tcMar>
            <w:vAlign w:val="center"/>
          </w:tcPr>
          <w:p w14:paraId="15875A6D" w14:textId="77777777" w:rsidR="00451CC2" w:rsidRDefault="00451CC2" w:rsidP="00741BD7">
            <w:pPr>
              <w:pStyle w:val="Tabletext"/>
              <w:rPr>
                <w:rFonts w:eastAsia="Calibri"/>
              </w:rPr>
            </w:pPr>
            <w:r>
              <w:rPr>
                <w:rFonts w:eastAsia="Calibri"/>
              </w:rPr>
              <w:t>RRF 16791</w:t>
            </w:r>
          </w:p>
          <w:p w14:paraId="04A4C831" w14:textId="77777777" w:rsidR="00451CC2" w:rsidRDefault="00451CC2" w:rsidP="00741BD7">
            <w:pPr>
              <w:pStyle w:val="Tabletext"/>
              <w:rPr>
                <w:rFonts w:eastAsia="Calibri"/>
              </w:rPr>
            </w:pPr>
            <w:r>
              <w:rPr>
                <w:rFonts w:eastAsia="Calibri"/>
              </w:rPr>
              <w:t xml:space="preserve"> </w:t>
            </w:r>
          </w:p>
        </w:tc>
        <w:tc>
          <w:tcPr>
            <w:tcW w:w="1210" w:type="dxa"/>
            <w:tcMar>
              <w:top w:w="40" w:type="dxa"/>
              <w:left w:w="40" w:type="dxa"/>
              <w:bottom w:w="40" w:type="dxa"/>
              <w:right w:w="40" w:type="dxa"/>
            </w:tcMar>
            <w:vAlign w:val="center"/>
          </w:tcPr>
          <w:p w14:paraId="40A0A2F1" w14:textId="77777777" w:rsidR="00451CC2" w:rsidRDefault="00451CC2" w:rsidP="00741BD7">
            <w:pPr>
              <w:pStyle w:val="Tabletext"/>
              <w:rPr>
                <w:rFonts w:eastAsia="Calibri"/>
              </w:rPr>
            </w:pPr>
            <w:r>
              <w:rPr>
                <w:rFonts w:eastAsia="Calibri"/>
              </w:rPr>
              <w:t>2020 CSR3.9</w:t>
            </w:r>
          </w:p>
          <w:p w14:paraId="6D97D8A8" w14:textId="77777777" w:rsidR="00451CC2" w:rsidRDefault="00451CC2" w:rsidP="00741BD7">
            <w:pPr>
              <w:pStyle w:val="Tabletext"/>
              <w:rPr>
                <w:rFonts w:eastAsia="Calibri"/>
              </w:rPr>
            </w:pPr>
            <w:r>
              <w:rPr>
                <w:rFonts w:eastAsia="Calibri"/>
              </w:rPr>
              <w:t>2019 CSR2.3</w:t>
            </w:r>
          </w:p>
        </w:tc>
        <w:tc>
          <w:tcPr>
            <w:tcW w:w="1534" w:type="dxa"/>
            <w:tcMar>
              <w:top w:w="40" w:type="dxa"/>
              <w:left w:w="40" w:type="dxa"/>
              <w:bottom w:w="40" w:type="dxa"/>
              <w:right w:w="40" w:type="dxa"/>
            </w:tcMar>
            <w:vAlign w:val="center"/>
          </w:tcPr>
          <w:p w14:paraId="755F8E74" w14:textId="77777777" w:rsidR="00451CC2" w:rsidRDefault="00451CC2" w:rsidP="00741BD7">
            <w:pPr>
              <w:pStyle w:val="Tabletext"/>
              <w:rPr>
                <w:rFonts w:eastAsia="Calibri"/>
              </w:rPr>
            </w:pPr>
            <w:r>
              <w:rPr>
                <w:rFonts w:eastAsia="Calibri"/>
              </w:rPr>
              <w:t>Fair green &amp; digital Transition</w:t>
            </w:r>
          </w:p>
          <w:p w14:paraId="6DE8E7DB" w14:textId="77777777" w:rsidR="00451CC2" w:rsidRDefault="00451CC2" w:rsidP="00741BD7">
            <w:pPr>
              <w:pStyle w:val="Tabletext"/>
              <w:rPr>
                <w:rFonts w:eastAsia="Calibri"/>
              </w:rPr>
            </w:pPr>
            <w:r>
              <w:rPr>
                <w:rFonts w:eastAsia="Calibri"/>
              </w:rPr>
              <w:t xml:space="preserve"> </w:t>
            </w:r>
          </w:p>
        </w:tc>
        <w:tc>
          <w:tcPr>
            <w:tcW w:w="1276" w:type="dxa"/>
            <w:tcMar>
              <w:top w:w="0" w:type="dxa"/>
              <w:left w:w="100" w:type="dxa"/>
              <w:bottom w:w="0" w:type="dxa"/>
              <w:right w:w="100" w:type="dxa"/>
            </w:tcMar>
            <w:vAlign w:val="center"/>
          </w:tcPr>
          <w:p w14:paraId="1B13B62B" w14:textId="77777777" w:rsidR="00451CC2" w:rsidRDefault="00451CC2" w:rsidP="00741BD7">
            <w:pPr>
              <w:pStyle w:val="Tabletext"/>
              <w:rPr>
                <w:rFonts w:eastAsia="Calibri"/>
              </w:rPr>
            </w:pPr>
            <w:r>
              <w:rPr>
                <w:rFonts w:eastAsia="Calibri"/>
              </w:rPr>
              <w:t>On track</w:t>
            </w:r>
          </w:p>
        </w:tc>
      </w:tr>
      <w:tr w:rsidR="00451CC2" w14:paraId="262934BD" w14:textId="77777777" w:rsidTr="00425017">
        <w:trPr>
          <w:trHeight w:val="170"/>
          <w:jc w:val="center"/>
        </w:trPr>
        <w:tc>
          <w:tcPr>
            <w:tcW w:w="3678" w:type="dxa"/>
            <w:tcMar>
              <w:top w:w="40" w:type="dxa"/>
              <w:left w:w="40" w:type="dxa"/>
              <w:bottom w:w="40" w:type="dxa"/>
              <w:right w:w="40" w:type="dxa"/>
            </w:tcMar>
            <w:vAlign w:val="center"/>
          </w:tcPr>
          <w:p w14:paraId="66FB3278" w14:textId="77777777" w:rsidR="00451CC2" w:rsidRDefault="00451CC2" w:rsidP="00741BD7">
            <w:pPr>
              <w:pStyle w:val="Tabletext"/>
              <w:rPr>
                <w:rFonts w:eastAsia="Calibri"/>
              </w:rPr>
            </w:pPr>
            <w:r w:rsidRPr="00FA1AB3">
              <w:rPr>
                <w:rFonts w:eastAsia="Calibri"/>
                <w:b/>
              </w:rPr>
              <w:t>IΝVESTMENT 3:</w:t>
            </w:r>
            <w:r>
              <w:rPr>
                <w:rFonts w:eastAsia="Calibri"/>
              </w:rPr>
              <w:t xml:space="preserve"> Reskilling and Upskilling Tourism</w:t>
            </w:r>
          </w:p>
          <w:p w14:paraId="4DCC1B75" w14:textId="77777777" w:rsidR="00451CC2" w:rsidRDefault="00451CC2" w:rsidP="00741BD7">
            <w:pPr>
              <w:pStyle w:val="Tabletext"/>
              <w:rPr>
                <w:rFonts w:eastAsia="Calibri"/>
              </w:rPr>
            </w:pPr>
            <w:r>
              <w:rPr>
                <w:rFonts w:eastAsia="Calibri"/>
              </w:rPr>
              <w:t xml:space="preserve"> </w:t>
            </w:r>
          </w:p>
          <w:p w14:paraId="2A4626A1" w14:textId="77777777" w:rsidR="00451CC2" w:rsidRDefault="00451CC2" w:rsidP="00741BD7">
            <w:pPr>
              <w:pStyle w:val="Tabletext"/>
              <w:rPr>
                <w:rFonts w:eastAsia="Calibri"/>
              </w:rPr>
            </w:pPr>
            <w:r>
              <w:rPr>
                <w:rFonts w:eastAsia="Calibri"/>
              </w:rPr>
              <w:t xml:space="preserve"> </w:t>
            </w:r>
          </w:p>
        </w:tc>
        <w:tc>
          <w:tcPr>
            <w:tcW w:w="1225" w:type="dxa"/>
            <w:tcMar>
              <w:top w:w="40" w:type="dxa"/>
              <w:left w:w="40" w:type="dxa"/>
              <w:bottom w:w="40" w:type="dxa"/>
              <w:right w:w="40" w:type="dxa"/>
            </w:tcMar>
            <w:vAlign w:val="center"/>
          </w:tcPr>
          <w:p w14:paraId="6044C122" w14:textId="77777777" w:rsidR="00451CC2" w:rsidRDefault="00451CC2" w:rsidP="00741BD7">
            <w:pPr>
              <w:pStyle w:val="Tabletext"/>
              <w:rPr>
                <w:rFonts w:eastAsia="Calibri"/>
              </w:rPr>
            </w:pPr>
            <w:r>
              <w:rPr>
                <w:rFonts w:eastAsia="Calibri"/>
              </w:rPr>
              <w:t xml:space="preserve"> RRF 16921</w:t>
            </w:r>
          </w:p>
          <w:p w14:paraId="48B21C9A" w14:textId="77777777" w:rsidR="00451CC2" w:rsidRDefault="00451CC2" w:rsidP="00741BD7">
            <w:pPr>
              <w:pStyle w:val="Tabletext"/>
              <w:rPr>
                <w:rFonts w:eastAsia="Calibri"/>
              </w:rPr>
            </w:pPr>
            <w:r>
              <w:rPr>
                <w:rFonts w:eastAsia="Calibri"/>
              </w:rPr>
              <w:t xml:space="preserve"> </w:t>
            </w:r>
          </w:p>
          <w:p w14:paraId="74002552" w14:textId="77777777" w:rsidR="00451CC2" w:rsidRDefault="00451CC2" w:rsidP="00741BD7">
            <w:pPr>
              <w:pStyle w:val="Tabletext"/>
              <w:rPr>
                <w:rFonts w:eastAsia="Calibri"/>
              </w:rPr>
            </w:pPr>
            <w:r>
              <w:rPr>
                <w:rFonts w:eastAsia="Calibri"/>
              </w:rPr>
              <w:t xml:space="preserve"> </w:t>
            </w:r>
          </w:p>
        </w:tc>
        <w:tc>
          <w:tcPr>
            <w:tcW w:w="1210" w:type="dxa"/>
            <w:tcMar>
              <w:top w:w="40" w:type="dxa"/>
              <w:left w:w="40" w:type="dxa"/>
              <w:bottom w:w="40" w:type="dxa"/>
              <w:right w:w="40" w:type="dxa"/>
            </w:tcMar>
            <w:vAlign w:val="center"/>
          </w:tcPr>
          <w:p w14:paraId="44A4B1C6" w14:textId="77777777" w:rsidR="00451CC2" w:rsidRPr="00A746D8" w:rsidRDefault="00451CC2" w:rsidP="00741BD7">
            <w:pPr>
              <w:pStyle w:val="Tabletext"/>
              <w:rPr>
                <w:rFonts w:eastAsia="Calibri"/>
              </w:rPr>
            </w:pPr>
            <w:r w:rsidRPr="00A746D8">
              <w:rPr>
                <w:rFonts w:eastAsia="Calibri"/>
              </w:rPr>
              <w:t>2024 CSR1.7</w:t>
            </w:r>
          </w:p>
          <w:p w14:paraId="7D44E3D9" w14:textId="77777777" w:rsidR="00451CC2" w:rsidRPr="00A746D8" w:rsidRDefault="00451CC2" w:rsidP="00741BD7">
            <w:pPr>
              <w:pStyle w:val="Tabletext"/>
              <w:rPr>
                <w:rFonts w:eastAsia="Calibri"/>
              </w:rPr>
            </w:pPr>
            <w:r w:rsidRPr="00A746D8">
              <w:rPr>
                <w:rFonts w:eastAsia="Calibri"/>
              </w:rPr>
              <w:t>2020 CSR3.3</w:t>
            </w:r>
          </w:p>
          <w:p w14:paraId="56E603C0" w14:textId="77777777" w:rsidR="00451CC2" w:rsidRPr="00A746D8" w:rsidRDefault="00451CC2" w:rsidP="00741BD7">
            <w:pPr>
              <w:pStyle w:val="Tabletext"/>
              <w:rPr>
                <w:rFonts w:eastAsia="Calibri"/>
              </w:rPr>
            </w:pPr>
            <w:r w:rsidRPr="00A746D8">
              <w:rPr>
                <w:rFonts w:eastAsia="Calibri"/>
              </w:rPr>
              <w:t>2020 CSR3.8</w:t>
            </w:r>
          </w:p>
          <w:p w14:paraId="512AC9C5" w14:textId="77777777" w:rsidR="00451CC2" w:rsidRPr="00A746D8" w:rsidRDefault="00451CC2" w:rsidP="00741BD7">
            <w:pPr>
              <w:pStyle w:val="Tabletext"/>
              <w:rPr>
                <w:rFonts w:eastAsia="Calibri"/>
              </w:rPr>
            </w:pPr>
            <w:r w:rsidRPr="00A746D8">
              <w:rPr>
                <w:rFonts w:eastAsia="Calibri"/>
              </w:rPr>
              <w:t>2019 CSR2.6</w:t>
            </w:r>
          </w:p>
          <w:p w14:paraId="718B6F6B" w14:textId="77777777" w:rsidR="00451CC2" w:rsidRPr="00A746D8" w:rsidRDefault="00451CC2" w:rsidP="00741BD7">
            <w:pPr>
              <w:pStyle w:val="Tabletext"/>
              <w:rPr>
                <w:rFonts w:eastAsia="Calibri"/>
              </w:rPr>
            </w:pPr>
            <w:r w:rsidRPr="00A746D8">
              <w:rPr>
                <w:rFonts w:eastAsia="Calibri"/>
              </w:rPr>
              <w:t>2019 CSR2.7</w:t>
            </w:r>
          </w:p>
        </w:tc>
        <w:tc>
          <w:tcPr>
            <w:tcW w:w="1534" w:type="dxa"/>
            <w:tcMar>
              <w:top w:w="40" w:type="dxa"/>
              <w:left w:w="40" w:type="dxa"/>
              <w:bottom w:w="40" w:type="dxa"/>
              <w:right w:w="40" w:type="dxa"/>
            </w:tcMar>
            <w:vAlign w:val="center"/>
          </w:tcPr>
          <w:p w14:paraId="0D3E4872" w14:textId="77777777" w:rsidR="00451CC2" w:rsidRDefault="00451CC2" w:rsidP="00741BD7">
            <w:pPr>
              <w:pStyle w:val="Tabletext"/>
              <w:rPr>
                <w:rFonts w:eastAsia="Calibri"/>
              </w:rPr>
            </w:pPr>
            <w:r>
              <w:rPr>
                <w:rFonts w:eastAsia="Calibri"/>
              </w:rPr>
              <w:t>Social and Economic resilience</w:t>
            </w:r>
          </w:p>
          <w:p w14:paraId="296DF889" w14:textId="77777777" w:rsidR="00451CC2" w:rsidRDefault="00451CC2" w:rsidP="00741BD7">
            <w:pPr>
              <w:pStyle w:val="Tabletext"/>
              <w:rPr>
                <w:rFonts w:eastAsia="Calibri"/>
              </w:rPr>
            </w:pPr>
            <w:r>
              <w:rPr>
                <w:rFonts w:eastAsia="Calibri"/>
              </w:rPr>
              <w:t xml:space="preserve"> </w:t>
            </w:r>
          </w:p>
        </w:tc>
        <w:tc>
          <w:tcPr>
            <w:tcW w:w="1276" w:type="dxa"/>
            <w:tcMar>
              <w:top w:w="0" w:type="dxa"/>
              <w:left w:w="100" w:type="dxa"/>
              <w:bottom w:w="0" w:type="dxa"/>
              <w:right w:w="100" w:type="dxa"/>
            </w:tcMar>
            <w:vAlign w:val="center"/>
          </w:tcPr>
          <w:p w14:paraId="7AE45F4E" w14:textId="77777777" w:rsidR="00451CC2" w:rsidRDefault="00451CC2" w:rsidP="00741BD7">
            <w:pPr>
              <w:pStyle w:val="Tabletext"/>
              <w:rPr>
                <w:rFonts w:eastAsia="Calibri"/>
              </w:rPr>
            </w:pPr>
            <w:r>
              <w:rPr>
                <w:rFonts w:eastAsia="Calibri"/>
              </w:rPr>
              <w:t>Completed</w:t>
            </w:r>
          </w:p>
        </w:tc>
      </w:tr>
      <w:tr w:rsidR="00451CC2" w14:paraId="004C4434" w14:textId="77777777" w:rsidTr="00425017">
        <w:trPr>
          <w:trHeight w:val="170"/>
          <w:jc w:val="center"/>
        </w:trPr>
        <w:tc>
          <w:tcPr>
            <w:tcW w:w="3678" w:type="dxa"/>
            <w:tcMar>
              <w:top w:w="40" w:type="dxa"/>
              <w:left w:w="40" w:type="dxa"/>
              <w:bottom w:w="40" w:type="dxa"/>
              <w:right w:w="40" w:type="dxa"/>
            </w:tcMar>
            <w:vAlign w:val="center"/>
          </w:tcPr>
          <w:p w14:paraId="15D904D0" w14:textId="77777777" w:rsidR="00451CC2" w:rsidRDefault="00451CC2" w:rsidP="00741BD7">
            <w:pPr>
              <w:pStyle w:val="Tabletext"/>
              <w:rPr>
                <w:rFonts w:eastAsia="Calibri"/>
              </w:rPr>
            </w:pPr>
            <w:r w:rsidRPr="00FA1AB3">
              <w:rPr>
                <w:rFonts w:eastAsia="Calibri"/>
                <w:b/>
              </w:rPr>
              <w:t>IΝVESTMENT 4:</w:t>
            </w:r>
            <w:r>
              <w:rPr>
                <w:rFonts w:eastAsia="Calibri"/>
              </w:rPr>
              <w:t xml:space="preserve"> Tourism Development</w:t>
            </w:r>
          </w:p>
          <w:p w14:paraId="419A6459" w14:textId="77777777" w:rsidR="00451CC2" w:rsidRDefault="00451CC2" w:rsidP="00741BD7">
            <w:pPr>
              <w:pStyle w:val="Tabletext"/>
              <w:rPr>
                <w:rFonts w:eastAsia="Calibri"/>
              </w:rPr>
            </w:pPr>
            <w:r>
              <w:rPr>
                <w:rFonts w:eastAsia="Calibri"/>
              </w:rPr>
              <w:t xml:space="preserve"> </w:t>
            </w:r>
          </w:p>
          <w:p w14:paraId="5B087A6E" w14:textId="77777777" w:rsidR="00451CC2" w:rsidRDefault="00451CC2" w:rsidP="00741BD7">
            <w:pPr>
              <w:pStyle w:val="Tabletext"/>
              <w:rPr>
                <w:rFonts w:eastAsia="Calibri"/>
              </w:rPr>
            </w:pPr>
            <w:r>
              <w:rPr>
                <w:rFonts w:eastAsia="Calibri"/>
              </w:rPr>
              <w:t xml:space="preserve"> </w:t>
            </w:r>
          </w:p>
          <w:p w14:paraId="6F4DAE77" w14:textId="77777777" w:rsidR="00451CC2" w:rsidRDefault="00451CC2" w:rsidP="00741BD7">
            <w:pPr>
              <w:pStyle w:val="Tabletext"/>
              <w:rPr>
                <w:rFonts w:eastAsia="Calibri"/>
              </w:rPr>
            </w:pPr>
            <w:r>
              <w:rPr>
                <w:rFonts w:eastAsia="Calibri"/>
              </w:rPr>
              <w:t xml:space="preserve"> </w:t>
            </w:r>
          </w:p>
          <w:p w14:paraId="122B09A3" w14:textId="77777777" w:rsidR="00451CC2" w:rsidRDefault="00451CC2" w:rsidP="00741BD7">
            <w:pPr>
              <w:pStyle w:val="Tabletext"/>
              <w:rPr>
                <w:rFonts w:eastAsia="Calibri"/>
              </w:rPr>
            </w:pPr>
            <w:r>
              <w:rPr>
                <w:rFonts w:eastAsia="Calibri"/>
              </w:rPr>
              <w:t xml:space="preserve"> </w:t>
            </w:r>
          </w:p>
          <w:p w14:paraId="181D762D" w14:textId="77777777" w:rsidR="00451CC2" w:rsidRDefault="00451CC2" w:rsidP="00741BD7">
            <w:pPr>
              <w:pStyle w:val="Tabletext"/>
              <w:rPr>
                <w:rFonts w:eastAsia="Calibri"/>
              </w:rPr>
            </w:pPr>
            <w:r>
              <w:rPr>
                <w:rFonts w:eastAsia="Calibri"/>
              </w:rPr>
              <w:t xml:space="preserve"> </w:t>
            </w:r>
          </w:p>
        </w:tc>
        <w:tc>
          <w:tcPr>
            <w:tcW w:w="1225" w:type="dxa"/>
            <w:tcMar>
              <w:top w:w="40" w:type="dxa"/>
              <w:left w:w="40" w:type="dxa"/>
              <w:bottom w:w="40" w:type="dxa"/>
              <w:right w:w="40" w:type="dxa"/>
            </w:tcMar>
            <w:vAlign w:val="center"/>
          </w:tcPr>
          <w:p w14:paraId="3D4B6C85" w14:textId="77777777" w:rsidR="00451CC2" w:rsidRDefault="00451CC2" w:rsidP="00741BD7">
            <w:pPr>
              <w:pStyle w:val="Tabletext"/>
              <w:rPr>
                <w:rFonts w:eastAsia="Calibri"/>
              </w:rPr>
            </w:pPr>
            <w:r>
              <w:rPr>
                <w:rFonts w:eastAsia="Calibri"/>
              </w:rPr>
              <w:t>RRF 16931</w:t>
            </w:r>
          </w:p>
          <w:p w14:paraId="118F11CC" w14:textId="77777777" w:rsidR="00451CC2" w:rsidRDefault="00451CC2" w:rsidP="00741BD7">
            <w:pPr>
              <w:pStyle w:val="Tabletext"/>
              <w:rPr>
                <w:rFonts w:eastAsia="Calibri"/>
              </w:rPr>
            </w:pPr>
            <w:r>
              <w:rPr>
                <w:rFonts w:eastAsia="Calibri"/>
              </w:rPr>
              <w:t xml:space="preserve"> </w:t>
            </w:r>
          </w:p>
          <w:p w14:paraId="38AA6CAB" w14:textId="77777777" w:rsidR="00451CC2" w:rsidRDefault="00451CC2" w:rsidP="00741BD7">
            <w:pPr>
              <w:pStyle w:val="Tabletext"/>
              <w:rPr>
                <w:rFonts w:eastAsia="Calibri"/>
              </w:rPr>
            </w:pPr>
            <w:r>
              <w:rPr>
                <w:rFonts w:eastAsia="Calibri"/>
              </w:rPr>
              <w:t xml:space="preserve"> </w:t>
            </w:r>
          </w:p>
          <w:p w14:paraId="7D17A061" w14:textId="77777777" w:rsidR="00451CC2" w:rsidRDefault="00451CC2" w:rsidP="00741BD7">
            <w:pPr>
              <w:pStyle w:val="Tabletext"/>
              <w:rPr>
                <w:rFonts w:eastAsia="Calibri"/>
              </w:rPr>
            </w:pPr>
            <w:r>
              <w:rPr>
                <w:rFonts w:eastAsia="Calibri"/>
              </w:rPr>
              <w:t xml:space="preserve"> </w:t>
            </w:r>
          </w:p>
          <w:p w14:paraId="0E70954A" w14:textId="77777777" w:rsidR="00451CC2" w:rsidRDefault="00451CC2" w:rsidP="00741BD7">
            <w:pPr>
              <w:pStyle w:val="Tabletext"/>
              <w:rPr>
                <w:rFonts w:eastAsia="Calibri"/>
              </w:rPr>
            </w:pPr>
            <w:r>
              <w:rPr>
                <w:rFonts w:eastAsia="Calibri"/>
              </w:rPr>
              <w:t xml:space="preserve"> </w:t>
            </w:r>
          </w:p>
          <w:p w14:paraId="101BE8AA" w14:textId="77777777" w:rsidR="00451CC2" w:rsidRDefault="00451CC2" w:rsidP="00741BD7">
            <w:pPr>
              <w:pStyle w:val="Tabletext"/>
              <w:rPr>
                <w:rFonts w:eastAsia="Calibri"/>
              </w:rPr>
            </w:pPr>
            <w:r>
              <w:rPr>
                <w:rFonts w:eastAsia="Calibri"/>
              </w:rPr>
              <w:t xml:space="preserve"> </w:t>
            </w:r>
          </w:p>
        </w:tc>
        <w:tc>
          <w:tcPr>
            <w:tcW w:w="1210" w:type="dxa"/>
            <w:tcMar>
              <w:top w:w="40" w:type="dxa"/>
              <w:left w:w="40" w:type="dxa"/>
              <w:bottom w:w="40" w:type="dxa"/>
              <w:right w:w="40" w:type="dxa"/>
            </w:tcMar>
            <w:vAlign w:val="center"/>
          </w:tcPr>
          <w:p w14:paraId="19B97EC1" w14:textId="77777777" w:rsidR="00451CC2" w:rsidRPr="00A746D8" w:rsidRDefault="00451CC2" w:rsidP="00741BD7">
            <w:pPr>
              <w:pStyle w:val="Tabletext"/>
              <w:rPr>
                <w:rFonts w:eastAsia="Calibri"/>
              </w:rPr>
            </w:pPr>
            <w:r w:rsidRPr="00A746D8">
              <w:rPr>
                <w:rFonts w:eastAsia="Calibri"/>
              </w:rPr>
              <w:t>2024 CSR1.7</w:t>
            </w:r>
          </w:p>
          <w:p w14:paraId="7C40600A" w14:textId="77777777" w:rsidR="00451CC2" w:rsidRPr="00A746D8" w:rsidRDefault="00451CC2" w:rsidP="00741BD7">
            <w:pPr>
              <w:pStyle w:val="Tabletext"/>
              <w:rPr>
                <w:rFonts w:eastAsia="Calibri"/>
              </w:rPr>
            </w:pPr>
            <w:r w:rsidRPr="00A746D8">
              <w:rPr>
                <w:rFonts w:eastAsia="Calibri"/>
              </w:rPr>
              <w:t>2023 CSR4.1</w:t>
            </w:r>
          </w:p>
          <w:p w14:paraId="4CB16D19" w14:textId="77777777" w:rsidR="00451CC2" w:rsidRPr="00A746D8" w:rsidRDefault="00451CC2" w:rsidP="00741BD7">
            <w:pPr>
              <w:pStyle w:val="Tabletext"/>
              <w:rPr>
                <w:rFonts w:eastAsia="Calibri"/>
              </w:rPr>
            </w:pPr>
            <w:r w:rsidRPr="00A746D8">
              <w:rPr>
                <w:rFonts w:eastAsia="Calibri"/>
              </w:rPr>
              <w:t>2023 CSR4.3</w:t>
            </w:r>
          </w:p>
          <w:p w14:paraId="4DB32F86" w14:textId="77777777" w:rsidR="00451CC2" w:rsidRPr="00A746D8" w:rsidRDefault="00451CC2" w:rsidP="00741BD7">
            <w:pPr>
              <w:pStyle w:val="Tabletext"/>
              <w:rPr>
                <w:rFonts w:eastAsia="Calibri"/>
              </w:rPr>
            </w:pPr>
            <w:r w:rsidRPr="00A746D8">
              <w:rPr>
                <w:rFonts w:eastAsia="Calibri"/>
              </w:rPr>
              <w:t>2023 CSR4.4</w:t>
            </w:r>
          </w:p>
          <w:p w14:paraId="6E33008B" w14:textId="77777777" w:rsidR="00451CC2" w:rsidRPr="00A746D8" w:rsidRDefault="00451CC2" w:rsidP="00741BD7">
            <w:pPr>
              <w:pStyle w:val="Tabletext"/>
              <w:rPr>
                <w:rFonts w:eastAsia="Calibri"/>
              </w:rPr>
            </w:pPr>
            <w:r w:rsidRPr="00A746D8">
              <w:rPr>
                <w:rFonts w:eastAsia="Calibri"/>
              </w:rPr>
              <w:t>2022 CSR4.1</w:t>
            </w:r>
          </w:p>
          <w:p w14:paraId="35A8BEAC" w14:textId="77777777" w:rsidR="00451CC2" w:rsidRPr="00A746D8" w:rsidRDefault="00451CC2" w:rsidP="00741BD7">
            <w:pPr>
              <w:pStyle w:val="Tabletext"/>
              <w:rPr>
                <w:rFonts w:eastAsia="Calibri"/>
              </w:rPr>
            </w:pPr>
            <w:r w:rsidRPr="00A746D8">
              <w:rPr>
                <w:rFonts w:eastAsia="Calibri"/>
              </w:rPr>
              <w:t>2022 CSR4.2</w:t>
            </w:r>
          </w:p>
          <w:p w14:paraId="25A78ECC" w14:textId="77777777" w:rsidR="00451CC2" w:rsidRPr="00A746D8" w:rsidRDefault="00451CC2" w:rsidP="00741BD7">
            <w:pPr>
              <w:pStyle w:val="Tabletext"/>
              <w:rPr>
                <w:rFonts w:eastAsia="Calibri"/>
              </w:rPr>
            </w:pPr>
            <w:r w:rsidRPr="00A746D8">
              <w:rPr>
                <w:rFonts w:eastAsia="Calibri"/>
              </w:rPr>
              <w:t>2022 CSR4.5</w:t>
            </w:r>
          </w:p>
          <w:p w14:paraId="281DF86F" w14:textId="77777777" w:rsidR="00451CC2" w:rsidRPr="00A746D8" w:rsidRDefault="00451CC2" w:rsidP="00741BD7">
            <w:pPr>
              <w:pStyle w:val="Tabletext"/>
              <w:rPr>
                <w:rFonts w:eastAsia="Calibri"/>
              </w:rPr>
            </w:pPr>
            <w:r w:rsidRPr="00A746D8">
              <w:rPr>
                <w:rFonts w:eastAsia="Calibri"/>
              </w:rPr>
              <w:t>2020 CSR3.3</w:t>
            </w:r>
          </w:p>
          <w:p w14:paraId="20D08960" w14:textId="77777777" w:rsidR="00451CC2" w:rsidRPr="00A746D8" w:rsidRDefault="00451CC2" w:rsidP="00741BD7">
            <w:pPr>
              <w:pStyle w:val="Tabletext"/>
              <w:rPr>
                <w:rFonts w:eastAsia="Calibri"/>
              </w:rPr>
            </w:pPr>
            <w:r w:rsidRPr="00A746D8">
              <w:rPr>
                <w:rFonts w:eastAsia="Calibri"/>
              </w:rPr>
              <w:t>2020 CSR3.4</w:t>
            </w:r>
          </w:p>
          <w:p w14:paraId="7B32F38D" w14:textId="77777777" w:rsidR="00451CC2" w:rsidRPr="00A746D8" w:rsidRDefault="00451CC2" w:rsidP="00741BD7">
            <w:pPr>
              <w:pStyle w:val="Tabletext"/>
              <w:rPr>
                <w:rFonts w:eastAsia="Calibri"/>
              </w:rPr>
            </w:pPr>
            <w:r w:rsidRPr="00A746D8">
              <w:rPr>
                <w:rFonts w:eastAsia="Calibri"/>
              </w:rPr>
              <w:t>2020 CSR3.9</w:t>
            </w:r>
          </w:p>
          <w:p w14:paraId="6CB65398" w14:textId="77777777" w:rsidR="00451CC2" w:rsidRDefault="00451CC2" w:rsidP="00741BD7">
            <w:pPr>
              <w:pStyle w:val="Tabletext"/>
              <w:rPr>
                <w:rFonts w:eastAsia="Calibri"/>
              </w:rPr>
            </w:pPr>
            <w:r>
              <w:rPr>
                <w:rFonts w:eastAsia="Calibri"/>
              </w:rPr>
              <w:t>2019 CSR2.1</w:t>
            </w:r>
          </w:p>
          <w:p w14:paraId="29B1D34C" w14:textId="77777777" w:rsidR="00451CC2" w:rsidRDefault="00451CC2" w:rsidP="00741BD7">
            <w:pPr>
              <w:pStyle w:val="Tabletext"/>
              <w:rPr>
                <w:rFonts w:eastAsia="Calibri"/>
              </w:rPr>
            </w:pPr>
            <w:r>
              <w:rPr>
                <w:rFonts w:eastAsia="Calibri"/>
              </w:rPr>
              <w:t>2019 CSR2.2</w:t>
            </w:r>
          </w:p>
        </w:tc>
        <w:tc>
          <w:tcPr>
            <w:tcW w:w="1534" w:type="dxa"/>
            <w:tcMar>
              <w:top w:w="40" w:type="dxa"/>
              <w:left w:w="40" w:type="dxa"/>
              <w:bottom w:w="40" w:type="dxa"/>
              <w:right w:w="40" w:type="dxa"/>
            </w:tcMar>
            <w:vAlign w:val="center"/>
          </w:tcPr>
          <w:p w14:paraId="2603E5CD" w14:textId="77777777" w:rsidR="00451CC2" w:rsidRDefault="00451CC2" w:rsidP="00741BD7">
            <w:pPr>
              <w:pStyle w:val="Tabletext"/>
              <w:rPr>
                <w:rFonts w:eastAsia="Calibri"/>
              </w:rPr>
            </w:pPr>
            <w:r>
              <w:rPr>
                <w:rFonts w:eastAsia="Calibri"/>
              </w:rPr>
              <w:t>Social and Economic resilience</w:t>
            </w:r>
          </w:p>
        </w:tc>
        <w:tc>
          <w:tcPr>
            <w:tcW w:w="1276" w:type="dxa"/>
            <w:tcMar>
              <w:top w:w="0" w:type="dxa"/>
              <w:left w:w="100" w:type="dxa"/>
              <w:bottom w:w="0" w:type="dxa"/>
              <w:right w:w="100" w:type="dxa"/>
            </w:tcMar>
            <w:vAlign w:val="center"/>
          </w:tcPr>
          <w:p w14:paraId="7E939F1E" w14:textId="77777777" w:rsidR="00451CC2" w:rsidRDefault="00451CC2" w:rsidP="00741BD7">
            <w:pPr>
              <w:pStyle w:val="Tabletext"/>
              <w:rPr>
                <w:rFonts w:eastAsia="Calibri"/>
              </w:rPr>
            </w:pPr>
            <w:r>
              <w:rPr>
                <w:rFonts w:eastAsia="Calibri"/>
              </w:rPr>
              <w:t>On track</w:t>
            </w:r>
          </w:p>
        </w:tc>
      </w:tr>
      <w:tr w:rsidR="00451CC2" w14:paraId="76F41763" w14:textId="77777777" w:rsidTr="00425017">
        <w:trPr>
          <w:trHeight w:val="170"/>
          <w:jc w:val="center"/>
        </w:trPr>
        <w:tc>
          <w:tcPr>
            <w:tcW w:w="3678" w:type="dxa"/>
            <w:tcMar>
              <w:top w:w="40" w:type="dxa"/>
              <w:left w:w="40" w:type="dxa"/>
              <w:bottom w:w="40" w:type="dxa"/>
              <w:right w:w="40" w:type="dxa"/>
            </w:tcMar>
            <w:vAlign w:val="center"/>
          </w:tcPr>
          <w:p w14:paraId="08E12D93" w14:textId="77777777" w:rsidR="00451CC2" w:rsidRPr="00A746D8" w:rsidRDefault="00540671" w:rsidP="00741BD7">
            <w:pPr>
              <w:pStyle w:val="Tabletext"/>
              <w:rPr>
                <w:rFonts w:eastAsia="Calibri"/>
              </w:rPr>
            </w:pPr>
            <w:r w:rsidRPr="00540671">
              <w:rPr>
                <w:rFonts w:eastAsia="Calibri"/>
                <w:b/>
              </w:rPr>
              <w:t>INVESTMENT 5:</w:t>
            </w:r>
            <w:r w:rsidR="00451CC2" w:rsidRPr="00A746D8">
              <w:rPr>
                <w:rFonts w:eastAsia="Calibri"/>
              </w:rPr>
              <w:t xml:space="preserve"> GNTO’s core project is to promote Greece as a year- round tourism destination and further solidify Greece’s position as an attractive, modern, and evolving country</w:t>
            </w:r>
          </w:p>
        </w:tc>
        <w:tc>
          <w:tcPr>
            <w:tcW w:w="1225" w:type="dxa"/>
            <w:tcMar>
              <w:top w:w="40" w:type="dxa"/>
              <w:left w:w="40" w:type="dxa"/>
              <w:bottom w:w="40" w:type="dxa"/>
              <w:right w:w="40" w:type="dxa"/>
            </w:tcMar>
            <w:vAlign w:val="center"/>
          </w:tcPr>
          <w:p w14:paraId="419E1A19" w14:textId="77777777" w:rsidR="00451CC2" w:rsidRDefault="00451CC2" w:rsidP="00741BD7">
            <w:pPr>
              <w:pStyle w:val="Tabletext"/>
              <w:rPr>
                <w:rFonts w:eastAsia="Calibri"/>
              </w:rPr>
            </w:pPr>
            <w:r>
              <w:rPr>
                <w:rFonts w:eastAsia="Calibri"/>
              </w:rPr>
              <w:t>-</w:t>
            </w:r>
          </w:p>
        </w:tc>
        <w:tc>
          <w:tcPr>
            <w:tcW w:w="1210" w:type="dxa"/>
            <w:tcMar>
              <w:top w:w="40" w:type="dxa"/>
              <w:left w:w="40" w:type="dxa"/>
              <w:bottom w:w="40" w:type="dxa"/>
              <w:right w:w="40" w:type="dxa"/>
            </w:tcMar>
            <w:vAlign w:val="center"/>
          </w:tcPr>
          <w:p w14:paraId="695C140D" w14:textId="77777777" w:rsidR="00451CC2" w:rsidRDefault="00451CC2" w:rsidP="00741BD7">
            <w:pPr>
              <w:pStyle w:val="Tabletext"/>
              <w:rPr>
                <w:rFonts w:eastAsia="Calibri"/>
              </w:rPr>
            </w:pPr>
            <w:r>
              <w:rPr>
                <w:rFonts w:eastAsia="Calibri"/>
              </w:rPr>
              <w:t>2024 CSR1.7</w:t>
            </w:r>
          </w:p>
          <w:p w14:paraId="0C7A259F" w14:textId="77777777" w:rsidR="00451CC2" w:rsidRDefault="00451CC2" w:rsidP="00741BD7">
            <w:pPr>
              <w:pStyle w:val="Tabletext"/>
              <w:rPr>
                <w:rFonts w:eastAsia="Calibri"/>
              </w:rPr>
            </w:pPr>
            <w:r>
              <w:rPr>
                <w:rFonts w:eastAsia="Calibri"/>
              </w:rPr>
              <w:t>2020 CSR3.3</w:t>
            </w:r>
          </w:p>
        </w:tc>
        <w:tc>
          <w:tcPr>
            <w:tcW w:w="1534" w:type="dxa"/>
            <w:tcMar>
              <w:top w:w="40" w:type="dxa"/>
              <w:left w:w="40" w:type="dxa"/>
              <w:bottom w:w="40" w:type="dxa"/>
              <w:right w:w="40" w:type="dxa"/>
            </w:tcMar>
            <w:vAlign w:val="center"/>
          </w:tcPr>
          <w:p w14:paraId="4501F1A5" w14:textId="77777777" w:rsidR="00451CC2" w:rsidRDefault="00451CC2" w:rsidP="00741BD7">
            <w:pPr>
              <w:pStyle w:val="Tabletext"/>
              <w:rPr>
                <w:rFonts w:eastAsia="Calibri"/>
              </w:rPr>
            </w:pPr>
            <w:r>
              <w:rPr>
                <w:rFonts w:eastAsia="Calibri"/>
              </w:rPr>
              <w:t>Social and Economic resilience</w:t>
            </w:r>
          </w:p>
        </w:tc>
        <w:tc>
          <w:tcPr>
            <w:tcW w:w="1276" w:type="dxa"/>
            <w:tcMar>
              <w:top w:w="0" w:type="dxa"/>
              <w:left w:w="100" w:type="dxa"/>
              <w:bottom w:w="0" w:type="dxa"/>
              <w:right w:w="100" w:type="dxa"/>
            </w:tcMar>
            <w:vAlign w:val="center"/>
          </w:tcPr>
          <w:p w14:paraId="76A01936" w14:textId="77777777" w:rsidR="00451CC2" w:rsidRDefault="00451CC2" w:rsidP="00741BD7">
            <w:pPr>
              <w:pStyle w:val="Tabletext"/>
              <w:rPr>
                <w:rFonts w:eastAsia="Calibri"/>
              </w:rPr>
            </w:pPr>
            <w:r>
              <w:rPr>
                <w:rFonts w:eastAsia="Calibri"/>
              </w:rPr>
              <w:t>On track</w:t>
            </w:r>
          </w:p>
        </w:tc>
      </w:tr>
    </w:tbl>
    <w:p w14:paraId="0D322B07" w14:textId="77777777" w:rsidR="00451CC2" w:rsidRPr="00C548E2" w:rsidRDefault="00451CC2" w:rsidP="00425017">
      <w:pPr>
        <w:spacing w:before="240"/>
        <w:rPr>
          <w:rFonts w:eastAsia="Calibri"/>
          <w:lang w:val="en-US"/>
        </w:rPr>
      </w:pPr>
      <w:r w:rsidRPr="00C548E2">
        <w:rPr>
          <w:rFonts w:eastAsia="Calibri"/>
          <w:lang w:val="en-US"/>
        </w:rPr>
        <w:t xml:space="preserve">The reform of the </w:t>
      </w:r>
      <w:r w:rsidRPr="00437288">
        <w:rPr>
          <w:rFonts w:eastAsia="Calibri"/>
          <w:b/>
          <w:lang w:val="en-US"/>
        </w:rPr>
        <w:t>systematic promotion of thematic and special forms of tourism</w:t>
      </w:r>
      <w:r w:rsidRPr="00C548E2">
        <w:rPr>
          <w:rFonts w:eastAsia="Calibri"/>
          <w:lang w:val="en-US"/>
        </w:rPr>
        <w:t xml:space="preserve"> establishes the legal and/or regulatory framework for business activities in thematic tourism, as well as at defining measures for its development and promotion. The targeted thematic tourism sectors include maritime (cruise), diving, fishing, wine tourism, gastronomy tourism, city tourism (city break), luxury tourism, cultural tourism, conference tourism, pilgrimage/religious tourism, health and wellness tourism, mountain tourism, </w:t>
      </w:r>
      <w:proofErr w:type="spellStart"/>
      <w:r w:rsidRPr="00C548E2">
        <w:rPr>
          <w:rFonts w:eastAsia="Calibri"/>
          <w:lang w:val="en-US"/>
        </w:rPr>
        <w:t>agrotourism</w:t>
      </w:r>
      <w:proofErr w:type="spellEnd"/>
      <w:r w:rsidRPr="00C548E2">
        <w:rPr>
          <w:rFonts w:eastAsia="Calibri"/>
          <w:lang w:val="en-US"/>
        </w:rPr>
        <w:t xml:space="preserve"> and sports tourism. Strategies for city tourism (city break), luxury tourism, maritime/cruise tourism, pilgrimage/religious tourism and climbing tourism have been completed, as well as the design of primary research for silver tourism. During the current reporting period, further regulatory work is being promoted (including framework for wineries and distilleries open to the public, a medical tourism registry, and glamping specifications), while an action plan for the development of military tourism has been prepared in cooperation with the competent ministries. The reform is expected to be completed by 2028.</w:t>
      </w:r>
    </w:p>
    <w:p w14:paraId="58A95AF9" w14:textId="77777777" w:rsidR="00451CC2" w:rsidRPr="00C548E2" w:rsidRDefault="00451CC2" w:rsidP="00353C6F">
      <w:pPr>
        <w:rPr>
          <w:rFonts w:eastAsia="Calibri"/>
          <w:lang w:val="en-US"/>
        </w:rPr>
      </w:pPr>
      <w:r w:rsidRPr="00C548E2">
        <w:rPr>
          <w:rFonts w:eastAsia="Calibri"/>
          <w:lang w:val="en-US"/>
        </w:rPr>
        <w:t xml:space="preserve">With the aim of </w:t>
      </w:r>
      <w:r w:rsidRPr="00437288">
        <w:rPr>
          <w:rFonts w:eastAsia="Calibri"/>
          <w:b/>
          <w:lang w:val="en-US"/>
        </w:rPr>
        <w:t>simplifying the regulatory framework and reducing the administrative burden for businesses</w:t>
      </w:r>
      <w:r w:rsidRPr="00C548E2">
        <w:rPr>
          <w:rFonts w:eastAsia="Calibri"/>
          <w:lang w:val="en-US"/>
        </w:rPr>
        <w:t xml:space="preserve"> through the </w:t>
      </w:r>
      <w:proofErr w:type="spellStart"/>
      <w:r w:rsidRPr="00C548E2">
        <w:rPr>
          <w:rFonts w:eastAsia="Calibri"/>
          <w:lang w:val="en-US"/>
        </w:rPr>
        <w:t>rationalisation</w:t>
      </w:r>
      <w:proofErr w:type="spellEnd"/>
      <w:r w:rsidRPr="00C548E2">
        <w:rPr>
          <w:rFonts w:eastAsia="Calibri"/>
          <w:lang w:val="en-US"/>
        </w:rPr>
        <w:t xml:space="preserve"> and digitalisation of administrative procedures, </w:t>
      </w:r>
      <w:r w:rsidRPr="00C548E2">
        <w:rPr>
          <w:rFonts w:eastAsia="Calibri"/>
          <w:lang w:val="en-US"/>
        </w:rPr>
        <w:lastRenderedPageBreak/>
        <w:t xml:space="preserve">several amendments were introduced, including the long-term leasing of properties housing educational units, the issuance of a model Regulation of Operation for small-scale mixed-use tourist accommodations (hotels combined with villas/residences), and the definition of technical and operational specifications for staff accommodation (hotels providing rooms for their personnel). Furthermore, the regulatory framework for hotel specifications and classification was </w:t>
      </w:r>
      <w:proofErr w:type="spellStart"/>
      <w:r w:rsidRPr="00C548E2">
        <w:rPr>
          <w:rFonts w:eastAsia="Calibri"/>
          <w:lang w:val="en-US"/>
        </w:rPr>
        <w:t>modernised</w:t>
      </w:r>
      <w:proofErr w:type="spellEnd"/>
      <w:r w:rsidRPr="00C548E2">
        <w:rPr>
          <w:rFonts w:eastAsia="Calibri"/>
          <w:lang w:val="en-US"/>
        </w:rPr>
        <w:t xml:space="preserve">, and a new system for the submission and management of complaints concerning tourism businesses was established. More amendments are underway to promote the digitalisation and </w:t>
      </w:r>
      <w:proofErr w:type="spellStart"/>
      <w:r w:rsidRPr="00C548E2">
        <w:rPr>
          <w:rFonts w:eastAsia="Calibri"/>
          <w:lang w:val="en-US"/>
        </w:rPr>
        <w:t>standardisation</w:t>
      </w:r>
      <w:proofErr w:type="spellEnd"/>
      <w:r w:rsidRPr="00C548E2">
        <w:rPr>
          <w:rFonts w:eastAsia="Calibri"/>
          <w:lang w:val="en-US"/>
        </w:rPr>
        <w:t xml:space="preserve"> of procedures, including the integration of additional business categories into the notification regime and the “Open Business” platform, such as car and motorcycle rental services, conference centres, and yacht brokerage companies. The reform is expected to be completed by 2028.</w:t>
      </w:r>
    </w:p>
    <w:p w14:paraId="7413DB78" w14:textId="77777777" w:rsidR="00451CC2" w:rsidRPr="00C548E2" w:rsidRDefault="00451CC2" w:rsidP="00353C6F">
      <w:pPr>
        <w:rPr>
          <w:rFonts w:eastAsia="Calibri"/>
          <w:lang w:val="en-US"/>
        </w:rPr>
      </w:pPr>
      <w:r w:rsidRPr="00C548E2">
        <w:rPr>
          <w:rFonts w:eastAsia="Calibri"/>
          <w:lang w:val="en-US"/>
        </w:rPr>
        <w:t xml:space="preserve">With the aim of </w:t>
      </w:r>
      <w:r w:rsidRPr="00437288">
        <w:rPr>
          <w:rFonts w:eastAsia="Calibri"/>
          <w:b/>
          <w:lang w:val="en-US"/>
        </w:rPr>
        <w:t>removing high entry barriers to professional services and facilitating market access for new operators</w:t>
      </w:r>
      <w:r w:rsidRPr="00C548E2">
        <w:rPr>
          <w:rFonts w:eastAsia="Calibri"/>
          <w:lang w:val="en-US"/>
        </w:rPr>
        <w:t>, the Ministry of Tourism implemented targeted measures including the specification of tour guides’ professional obligations and the establishment of an Electronic Registry for Tourist Guides from EU Member States undergoing or having completed compensatory measures.</w:t>
      </w:r>
    </w:p>
    <w:p w14:paraId="38D782B4" w14:textId="77777777" w:rsidR="00451CC2" w:rsidRPr="00C548E2" w:rsidRDefault="00451CC2" w:rsidP="00353C6F">
      <w:pPr>
        <w:rPr>
          <w:rFonts w:eastAsia="Calibri"/>
          <w:lang w:val="en-US"/>
        </w:rPr>
      </w:pPr>
      <w:r w:rsidRPr="00C548E2">
        <w:rPr>
          <w:rFonts w:eastAsia="Calibri"/>
          <w:lang w:val="en-US"/>
        </w:rPr>
        <w:t xml:space="preserve">Regarding the </w:t>
      </w:r>
      <w:r w:rsidRPr="00437288">
        <w:rPr>
          <w:rFonts w:eastAsia="Calibri"/>
          <w:b/>
          <w:lang w:val="en-US"/>
        </w:rPr>
        <w:t>RRF investment “My Digital Tourism”</w:t>
      </w:r>
      <w:r w:rsidRPr="00C548E2">
        <w:rPr>
          <w:rFonts w:eastAsia="Calibri"/>
          <w:lang w:val="en-US"/>
        </w:rPr>
        <w:t xml:space="preserve"> platform (e-MHTE), the measure was abolished following the Council Implementing Decision of 12 December 2025 approving the revision of Greece’s National Recovery and Resilience Plan.</w:t>
      </w:r>
    </w:p>
    <w:p w14:paraId="3EBE13D3" w14:textId="77777777" w:rsidR="00451CC2" w:rsidRPr="00C548E2" w:rsidRDefault="00451CC2" w:rsidP="00353C6F">
      <w:pPr>
        <w:rPr>
          <w:rFonts w:eastAsia="Calibri"/>
          <w:lang w:val="en-US"/>
        </w:rPr>
      </w:pPr>
      <w:r w:rsidRPr="00C548E2">
        <w:rPr>
          <w:rFonts w:eastAsia="Calibri"/>
          <w:lang w:val="en-US"/>
        </w:rPr>
        <w:t xml:space="preserve">The </w:t>
      </w:r>
      <w:r w:rsidRPr="00437288">
        <w:rPr>
          <w:rFonts w:eastAsia="Calibri"/>
          <w:b/>
          <w:lang w:val="en-US"/>
        </w:rPr>
        <w:t>RRF investment “Digital transformation of the Greek National Tourism Organisation (GNTO)”</w:t>
      </w:r>
      <w:r>
        <w:rPr>
          <w:rFonts w:eastAsia="Calibri"/>
          <w:lang w:val="en-US"/>
        </w:rPr>
        <w:t xml:space="preserve"> </w:t>
      </w:r>
      <w:r w:rsidRPr="00C548E2">
        <w:rPr>
          <w:rFonts w:eastAsia="Calibri"/>
          <w:lang w:val="en-US"/>
        </w:rPr>
        <w:t>and its core infrastructure includes a digital tourism map and a digital repository of Greece’s cultural resources, as well as the development of an innovative information provision system for tourists and citizens. The digital transformation project aims to improve access to information regarding Greece’s tourism ecosystem, while promoting skills upgrading in the sector, strengthening entrepreneurship and prioritising green development and sustainability. The project is implemented by the GNTO, with the Technical Chamber of Greece acting as the Contracting Authority. Upon completion of the GNTO’s digital transformation, the project is expected to improve the efficiency and digitalisation of public administration. The tender was published in June 2024, and the contract was awarded in January 2025 and signed in April 2025. Phase 1 which concerns the Implementation Study was completed in July 2025, followed by Phase 2 (Information System Software Applications) in February 2026. The remaining phases are currently in progress, with full completion of the project expected by the end of Q2 2026.</w:t>
      </w:r>
    </w:p>
    <w:p w14:paraId="1D0B56BA" w14:textId="77777777" w:rsidR="00451CC2" w:rsidRPr="00C548E2" w:rsidRDefault="00451CC2" w:rsidP="00353C6F">
      <w:pPr>
        <w:rPr>
          <w:rFonts w:eastAsia="Calibri"/>
          <w:lang w:val="en-US"/>
        </w:rPr>
      </w:pPr>
      <w:r w:rsidRPr="00C548E2">
        <w:rPr>
          <w:rFonts w:eastAsia="Calibri"/>
          <w:lang w:val="en-US"/>
        </w:rPr>
        <w:t xml:space="preserve">The </w:t>
      </w:r>
      <w:r w:rsidRPr="00437288">
        <w:rPr>
          <w:rFonts w:eastAsia="Calibri"/>
          <w:b/>
          <w:lang w:val="en-US"/>
        </w:rPr>
        <w:t>RRF investment “</w:t>
      </w:r>
      <w:r>
        <w:rPr>
          <w:rFonts w:eastAsia="Calibri"/>
          <w:b/>
          <w:lang w:val="en-US"/>
        </w:rPr>
        <w:t>Re</w:t>
      </w:r>
      <w:r w:rsidRPr="00437288">
        <w:rPr>
          <w:rFonts w:eastAsia="Calibri"/>
          <w:b/>
          <w:lang w:val="en-US"/>
        </w:rPr>
        <w:t xml:space="preserve">skilling and </w:t>
      </w:r>
      <w:r>
        <w:rPr>
          <w:rFonts w:eastAsia="Calibri"/>
          <w:b/>
          <w:lang w:val="en-US"/>
        </w:rPr>
        <w:t>up</w:t>
      </w:r>
      <w:r w:rsidRPr="00437288">
        <w:rPr>
          <w:rFonts w:eastAsia="Calibri"/>
          <w:b/>
          <w:lang w:val="en-US"/>
        </w:rPr>
        <w:t>skilling in the tourism sector”</w:t>
      </w:r>
      <w:r w:rsidRPr="00C548E2">
        <w:rPr>
          <w:rFonts w:eastAsia="Calibri"/>
          <w:lang w:val="en-US"/>
        </w:rPr>
        <w:t xml:space="preserve"> aims to equip the workforce of all ages with the necessary skills for the labour market, as well as with skills aligned with the green and digital transition of the European Union, through short-term vocational training programmes. The continuing vocational training programmes targeted at least 18,000 beneficiaries. The project design was finalized in May 2023, calls for training providers, certification bodies, and beneficiaries were launched between March and October 2024, leading to the establishment of the relevant registries, while training activities commenced in February–March 2025. A call for the communication and publicity plan was issued in January 2025. In December 2025, the training programmes and the certification process for 18,090 beneficiaries were completed. The payment of allowances to participants is completed and to </w:t>
      </w:r>
      <w:r w:rsidRPr="00C548E2">
        <w:rPr>
          <w:rFonts w:eastAsia="Calibri"/>
          <w:lang w:val="en-US"/>
        </w:rPr>
        <w:lastRenderedPageBreak/>
        <w:t>providers is in progress. In October 2025, the contractor for the publicity actions was selected and the completion of the relevant activities is expected by June 2026. The completion of the project is expected by the end of Q2 2026.</w:t>
      </w:r>
    </w:p>
    <w:p w14:paraId="570AE593" w14:textId="77777777" w:rsidR="00451CC2" w:rsidRPr="00C548E2" w:rsidRDefault="00451CC2" w:rsidP="00353C6F">
      <w:pPr>
        <w:rPr>
          <w:rFonts w:eastAsia="Calibri"/>
          <w:lang w:val="en-US"/>
        </w:rPr>
      </w:pPr>
      <w:r w:rsidRPr="00C548E2">
        <w:rPr>
          <w:rFonts w:eastAsia="Calibri"/>
          <w:lang w:val="en-US"/>
        </w:rPr>
        <w:t xml:space="preserve">The </w:t>
      </w:r>
      <w:r w:rsidRPr="00437288">
        <w:rPr>
          <w:rFonts w:eastAsia="Calibri"/>
          <w:b/>
          <w:lang w:val="en-US"/>
        </w:rPr>
        <w:t>RRF investment “Tourism Development”</w:t>
      </w:r>
      <w:r w:rsidRPr="00C548E2">
        <w:rPr>
          <w:rFonts w:eastAsia="Calibri"/>
          <w:lang w:val="en-US"/>
        </w:rPr>
        <w:t xml:space="preserve"> aims to extend the tourism season and promote alternative forms of tourism, contributing to the economic resilience and sustainable development of a key sector of the Greek economy. It includes “green” and “blue” development interventions across key areas such as: (</w:t>
      </w:r>
      <w:proofErr w:type="spellStart"/>
      <w:r w:rsidRPr="00C548E2">
        <w:rPr>
          <w:rFonts w:eastAsia="Calibri"/>
          <w:lang w:val="en-US"/>
        </w:rPr>
        <w:t>i</w:t>
      </w:r>
      <w:proofErr w:type="spellEnd"/>
      <w:r w:rsidRPr="00C548E2">
        <w:rPr>
          <w:rFonts w:eastAsia="Calibri"/>
          <w:lang w:val="en-US"/>
        </w:rPr>
        <w:t xml:space="preserve">) destination management (sub 1), (ii) mountain tourism (sub 2), (iii) health and wellness tourism through the </w:t>
      </w:r>
      <w:proofErr w:type="spellStart"/>
      <w:r w:rsidRPr="00C548E2">
        <w:rPr>
          <w:rFonts w:eastAsia="Calibri"/>
          <w:lang w:val="en-US"/>
        </w:rPr>
        <w:t>utilisation</w:t>
      </w:r>
      <w:proofErr w:type="spellEnd"/>
      <w:r w:rsidRPr="00C548E2">
        <w:rPr>
          <w:rFonts w:eastAsia="Calibri"/>
          <w:lang w:val="en-US"/>
        </w:rPr>
        <w:t xml:space="preserve"> of thermal springs (sub 3), (iv) </w:t>
      </w:r>
      <w:proofErr w:type="spellStart"/>
      <w:r w:rsidRPr="00C548E2">
        <w:rPr>
          <w:rFonts w:eastAsia="Calibri"/>
          <w:lang w:val="en-US"/>
        </w:rPr>
        <w:t>agrotourism</w:t>
      </w:r>
      <w:proofErr w:type="spellEnd"/>
      <w:r w:rsidRPr="00C548E2">
        <w:rPr>
          <w:rFonts w:eastAsia="Calibri"/>
          <w:lang w:val="en-US"/>
        </w:rPr>
        <w:t xml:space="preserve"> and gastronomy (sub 4), (v) upgrade of tourist ports (sub 5), (vi) accessible beaches (sub 6) and (vii) diving and underwater tourism (sub 7). All the sub projects related to this investment are in progress. Specifically, regarding destination management (sub 1), by April 2025, framework agreements for DMMO consultancy services were launched, followed by cooperation agreements with 20 regional and local authorities. In December 2025, four (4) contracts were signed, with completion expected in May 2026. Regarding the National Observatory for Sustainable Tourism Development, by April 2025, the call for tenders was published (development digital platform and the website, operation of National Observatory, activation of regional Observatories), the award decision was issued and the contract was signed. In May 2025, a kick -off technical meeting was held, to present the technical specifications and ensure coordination among stakeholders. The completion of the project is expected by the end of April 2026. Furthermore, the project “White Paper for the Transformation and Development of Tourism 2030–2035,” contracted in March 2026 with completion foreseen by the end of May 2026. Regarding SUB 2, following the relevant Calls, six (6) investment projects for the upgrading of ski resort facilities and one (1) investment project for the support of mountain refuges have been included. The implementation of the investment projects is in progress. The completion of the project is expected by July 2026. Regarding SUB 3, following the relevant Call, eight (8) investment projects were gradually included for the upgrading of existing or the creation of new thermal tourism facilities. The implementation of the investment projects is in progress. In addition, a project for sectoral studies on the sustainable development of silver tourism and health tourism in Greece, as well as for the preparation of a strategy for the </w:t>
      </w:r>
      <w:proofErr w:type="spellStart"/>
      <w:r w:rsidRPr="00C548E2">
        <w:rPr>
          <w:rFonts w:eastAsia="Calibri"/>
          <w:lang w:val="en-US"/>
        </w:rPr>
        <w:t>utilisation</w:t>
      </w:r>
      <w:proofErr w:type="spellEnd"/>
      <w:r w:rsidRPr="00C548E2">
        <w:rPr>
          <w:rFonts w:eastAsia="Calibri"/>
          <w:lang w:val="en-US"/>
        </w:rPr>
        <w:t xml:space="preserve"> of thermal natural resources, has been awarded in January 2026 and is underway. Regarding SUB 4, the preparation of the AGTIS study was completed in July 2025. With regard to SUB 5, following the relevant Call, twenty-six (26) investment projects were gradually included for the upgrading of infrastructure of existing tourist ports. The process of publishing approval decisions covering almost the entire budget has been completed and the implementation of the projects by the beneficiaries is in progress. The completion of the project is expected by July 2026. Concerning SUB 6, following the relevant Call, one hundred and fourteen (114) investment projects have been gradually included to date for the improvement of accessibility to Greek beaches. The process of publishing approval decisions has been completed (a few approval decisions may still be pending following the resolution of objections), covering almost the entire budget, and the implementation of the projects by the beneficiaries is in progress. The completion of the project is expected by July 2026. With regard to SUB 7, following the relevant Call, thirty-five (35) investment projects were gradually included for the upgrading of existing diving parks, the creation of free artificial underwater attractions and the upgrade of diving centers. The issuance of approval decisions </w:t>
      </w:r>
      <w:r w:rsidRPr="00C548E2">
        <w:rPr>
          <w:rFonts w:eastAsia="Calibri"/>
          <w:lang w:val="en-US"/>
        </w:rPr>
        <w:lastRenderedPageBreak/>
        <w:t>has been completed, covering nearly the entire budget, and the projects are currently under implementation. The completion of the project is expected by July 2026. Furthermore, the project for the establishment and operation of the Research and Monitoring Centre for coastal and maritime tourism in the Eastern Mediterranean region (development of methodology, digital tools and specialized studies), is currently under implementation, with completion expected by May 2026.</w:t>
      </w:r>
    </w:p>
    <w:p w14:paraId="58162798" w14:textId="77777777" w:rsidR="00451CC2" w:rsidRPr="00C548E2" w:rsidRDefault="00451CC2" w:rsidP="00353C6F">
      <w:pPr>
        <w:rPr>
          <w:rFonts w:eastAsia="Calibri"/>
          <w:lang w:val="en-US"/>
        </w:rPr>
      </w:pPr>
      <w:r w:rsidRPr="00C548E2">
        <w:rPr>
          <w:rFonts w:eastAsia="Calibri"/>
          <w:lang w:val="en-US"/>
        </w:rPr>
        <w:t xml:space="preserve">The investment for </w:t>
      </w:r>
      <w:r w:rsidRPr="00437288">
        <w:rPr>
          <w:rFonts w:eastAsia="Calibri"/>
          <w:b/>
          <w:lang w:val="en-US"/>
        </w:rPr>
        <w:t>promoting Greece as a year-round destination</w:t>
      </w:r>
      <w:r w:rsidRPr="00C548E2">
        <w:rPr>
          <w:rFonts w:eastAsia="Calibri"/>
          <w:lang w:val="en-US"/>
        </w:rPr>
        <w:t xml:space="preserve"> and further strengthening the country’s position as an attractive, modern and continuously evolving destination constitutes the core of the work of the Greek National Tourism Organization (GNTO). It includes an annual advertising and co-advertising plan, as well as a programme of public relations actions and participation in exhibitions. GNTO designs and implements marketing strategies and advertising campaigns addressed to international, national and regional audiences, shaping a new narrative for Greek tourism. The action is expected to be completed by 2028, according to the Marketing Strategy for Greek Tourism 2025-2028. During 2025 and 2026, the Greek National Tourism Organization (GNTO), in line with the Marketing Strategy for Greek Tourism 2025–2026, implemented a series of targeted initiatives to strengthen Greece’s tourism performance. An operational plan to enhance air connectivity was implemented in cooperation with multiple international airlines, covering key tourism markets and aiming to extend the tourism season, diversify destinations, and mitigate seasonality. In addition, a Strategic Action Plan for Thessaloniki was developed, in collaboration with airlines and tour operators, to promote the city and the wider region of Central Macedonia as a multi-thematic destination and to enhance its international visibility. Furthermore, emphasis was placed on thematic tourism, notably through the promotion of Greece as a high-gastronomy destination in cooperation with the Michelin Guide, covering both established and emerging destinations. Targeted actions were undertaken to strengthen Greece’s presence in long-haul markets, particularly China, through strategic partnerships aimed at increasing awareness and attracting new visitor flows. In addition, continuous efforts are also being undertaken to promote Greece as a year-round tourism destination through targeted advertising and public relations activities implemented by GNTO and its network of Offices Abroad. These actions aim to extend the tourism season, promote lesser-known and emerging destinations, support city breaks, and ensure a balanced geographical and temporal distribution of tourism demand. In this context, targeted promotional initiatives have been implemented in key markets, including cooperation with the European Travel Commission to promote selected destinations (Kalamata, Mani, </w:t>
      </w:r>
      <w:proofErr w:type="spellStart"/>
      <w:r w:rsidRPr="00C548E2">
        <w:rPr>
          <w:rFonts w:eastAsia="Calibri"/>
          <w:lang w:val="en-US"/>
        </w:rPr>
        <w:t>Mainalo</w:t>
      </w:r>
      <w:proofErr w:type="spellEnd"/>
      <w:r w:rsidRPr="00C548E2">
        <w:rPr>
          <w:rFonts w:eastAsia="Calibri"/>
          <w:lang w:val="en-US"/>
        </w:rPr>
        <w:t xml:space="preserve"> and </w:t>
      </w:r>
      <w:proofErr w:type="spellStart"/>
      <w:r w:rsidRPr="00C548E2">
        <w:rPr>
          <w:rFonts w:eastAsia="Calibri"/>
          <w:lang w:val="en-US"/>
        </w:rPr>
        <w:t>Mystras</w:t>
      </w:r>
      <w:proofErr w:type="spellEnd"/>
      <w:r w:rsidRPr="00C548E2">
        <w:rPr>
          <w:rFonts w:eastAsia="Calibri"/>
          <w:lang w:val="en-US"/>
        </w:rPr>
        <w:t xml:space="preserve">) in the long-haul market of Australia. Furthermore, digital campaigns on platforms such as </w:t>
      </w:r>
      <w:proofErr w:type="spellStart"/>
      <w:r w:rsidRPr="00C548E2">
        <w:rPr>
          <w:rFonts w:eastAsia="Calibri"/>
          <w:lang w:val="en-US"/>
        </w:rPr>
        <w:t>TikTok</w:t>
      </w:r>
      <w:proofErr w:type="spellEnd"/>
      <w:r w:rsidRPr="00C548E2">
        <w:rPr>
          <w:rFonts w:eastAsia="Calibri"/>
          <w:lang w:val="en-US"/>
        </w:rPr>
        <w:t xml:space="preserve"> and YouTube have focused on key European markets, including the United Kingdom, Germany, France, Sweden and Denmark, with the aim of enhancing brand awareness and stimulating travel demand. Moreover, partnerships with Marketing Greece and local stakeholders have supported the promotion of selected destinations in major European markets, including the Netherlands, the United Kingdom, Germany, Poland, Scandinavia and France. For the period 2026–2027, GNTO plans to further strengthen its strategic approach through the implementation of a market research project across selected European markets.</w:t>
      </w:r>
    </w:p>
    <w:p w14:paraId="64F9E156" w14:textId="77777777" w:rsidR="00451CC2" w:rsidRPr="00741BD7" w:rsidRDefault="00741BD7" w:rsidP="00322608">
      <w:pPr>
        <w:pStyle w:val="Heading2"/>
        <w:pBdr>
          <w:bottom w:val="single" w:sz="4" w:space="1" w:color="4F81BD" w:themeColor="accent1"/>
        </w:pBdr>
        <w:spacing w:before="960"/>
        <w:rPr>
          <w:rFonts w:eastAsia="Calibri"/>
          <w:sz w:val="36"/>
          <w:lang w:val="en-US"/>
        </w:rPr>
      </w:pPr>
      <w:bookmarkStart w:id="80" w:name="_Toc227932510"/>
      <w:bookmarkStart w:id="81" w:name="_Toc228279103"/>
      <w:r>
        <w:rPr>
          <w:rFonts w:eastAsia="Calibri"/>
          <w:sz w:val="36"/>
          <w:lang w:val="en-US"/>
        </w:rPr>
        <w:lastRenderedPageBreak/>
        <w:t>M</w:t>
      </w:r>
      <w:r w:rsidRPr="00741BD7">
        <w:rPr>
          <w:rFonts w:eastAsia="Calibri"/>
          <w:sz w:val="36"/>
          <w:lang w:val="en-US"/>
        </w:rPr>
        <w:t xml:space="preserve">inistry of </w:t>
      </w:r>
      <w:r>
        <w:rPr>
          <w:rFonts w:eastAsia="Calibri"/>
          <w:sz w:val="36"/>
          <w:lang w:val="en-US"/>
        </w:rPr>
        <w:t>D</w:t>
      </w:r>
      <w:r w:rsidRPr="00741BD7">
        <w:rPr>
          <w:rFonts w:eastAsia="Calibri"/>
          <w:sz w:val="36"/>
          <w:lang w:val="en-US"/>
        </w:rPr>
        <w:t xml:space="preserve">igital </w:t>
      </w:r>
      <w:r>
        <w:rPr>
          <w:rFonts w:eastAsia="Calibri"/>
          <w:sz w:val="36"/>
          <w:lang w:val="en-US"/>
        </w:rPr>
        <w:t>G</w:t>
      </w:r>
      <w:r w:rsidRPr="00741BD7">
        <w:rPr>
          <w:rFonts w:eastAsia="Calibri"/>
          <w:sz w:val="36"/>
          <w:lang w:val="en-US"/>
        </w:rPr>
        <w:t>overnance</w:t>
      </w:r>
      <w:bookmarkEnd w:id="80"/>
      <w:bookmarkEnd w:id="81"/>
      <w:r w:rsidRPr="00741BD7">
        <w:rPr>
          <w:rFonts w:eastAsia="Calibri"/>
          <w:sz w:val="36"/>
          <w:lang w:val="en-US"/>
        </w:rPr>
        <w:t xml:space="preserve"> </w:t>
      </w:r>
    </w:p>
    <w:tbl>
      <w:tblPr>
        <w:tblW w:w="8902" w:type="dxa"/>
        <w:jc w:val="center"/>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Layout w:type="fixed"/>
        <w:tblLook w:val="0600" w:firstRow="0" w:lastRow="0" w:firstColumn="0" w:lastColumn="0" w:noHBand="1" w:noVBand="1"/>
      </w:tblPr>
      <w:tblGrid>
        <w:gridCol w:w="2678"/>
        <w:gridCol w:w="1143"/>
        <w:gridCol w:w="1469"/>
        <w:gridCol w:w="1682"/>
        <w:gridCol w:w="1930"/>
      </w:tblGrid>
      <w:tr w:rsidR="00451CC2" w:rsidRPr="00C91BE7" w14:paraId="00D45195" w14:textId="77777777" w:rsidTr="00425017">
        <w:trPr>
          <w:trHeight w:val="113"/>
          <w:jc w:val="center"/>
        </w:trPr>
        <w:tc>
          <w:tcPr>
            <w:tcW w:w="2820" w:type="dxa"/>
            <w:shd w:val="clear" w:color="auto" w:fill="CFE2F3"/>
            <w:tcMar>
              <w:top w:w="0" w:type="dxa"/>
              <w:left w:w="40" w:type="dxa"/>
              <w:bottom w:w="0" w:type="dxa"/>
              <w:right w:w="40" w:type="dxa"/>
            </w:tcMar>
            <w:vAlign w:val="center"/>
          </w:tcPr>
          <w:p w14:paraId="61468864" w14:textId="77777777" w:rsidR="00451CC2" w:rsidRPr="00C91BE7" w:rsidRDefault="00451CC2" w:rsidP="00C91BE7">
            <w:pPr>
              <w:pStyle w:val="Tabletext"/>
              <w:rPr>
                <w:rFonts w:eastAsia="Calibri"/>
                <w:b/>
              </w:rPr>
            </w:pPr>
            <w:r w:rsidRPr="00C91BE7">
              <w:rPr>
                <w:rFonts w:eastAsia="Calibri"/>
                <w:b/>
              </w:rPr>
              <w:t>REFORM / INVESTMENT</w:t>
            </w:r>
          </w:p>
        </w:tc>
        <w:tc>
          <w:tcPr>
            <w:tcW w:w="1200" w:type="dxa"/>
            <w:shd w:val="clear" w:color="auto" w:fill="CFE2F3"/>
            <w:tcMar>
              <w:top w:w="0" w:type="dxa"/>
              <w:left w:w="40" w:type="dxa"/>
              <w:bottom w:w="0" w:type="dxa"/>
              <w:right w:w="40" w:type="dxa"/>
            </w:tcMar>
            <w:vAlign w:val="center"/>
          </w:tcPr>
          <w:p w14:paraId="69EB5099" w14:textId="77777777" w:rsidR="00451CC2" w:rsidRPr="00C91BE7" w:rsidRDefault="00451CC2" w:rsidP="00C91BE7">
            <w:pPr>
              <w:pStyle w:val="Tabletext"/>
              <w:rPr>
                <w:rFonts w:eastAsia="Calibri"/>
                <w:b/>
              </w:rPr>
            </w:pPr>
            <w:r w:rsidRPr="00C91BE7">
              <w:rPr>
                <w:rFonts w:eastAsia="Calibri"/>
                <w:b/>
              </w:rPr>
              <w:t>RRF / MFF</w:t>
            </w:r>
          </w:p>
        </w:tc>
        <w:tc>
          <w:tcPr>
            <w:tcW w:w="1545" w:type="dxa"/>
            <w:shd w:val="clear" w:color="auto" w:fill="CFE2F3"/>
            <w:tcMar>
              <w:top w:w="0" w:type="dxa"/>
              <w:left w:w="40" w:type="dxa"/>
              <w:bottom w:w="0" w:type="dxa"/>
              <w:right w:w="40" w:type="dxa"/>
            </w:tcMar>
            <w:vAlign w:val="center"/>
          </w:tcPr>
          <w:p w14:paraId="037FE97C" w14:textId="77777777" w:rsidR="00451CC2" w:rsidRPr="00C91BE7" w:rsidRDefault="00451CC2" w:rsidP="00C91BE7">
            <w:pPr>
              <w:pStyle w:val="Tabletext"/>
              <w:rPr>
                <w:rFonts w:eastAsia="Calibri"/>
                <w:b/>
              </w:rPr>
            </w:pPr>
            <w:r w:rsidRPr="00C91BE7">
              <w:rPr>
                <w:rFonts w:eastAsia="Calibri"/>
                <w:b/>
              </w:rPr>
              <w:t>CSR</w:t>
            </w:r>
          </w:p>
        </w:tc>
        <w:tc>
          <w:tcPr>
            <w:tcW w:w="1770" w:type="dxa"/>
            <w:shd w:val="clear" w:color="auto" w:fill="CFE2F3"/>
            <w:tcMar>
              <w:top w:w="0" w:type="dxa"/>
              <w:left w:w="40" w:type="dxa"/>
              <w:bottom w:w="0" w:type="dxa"/>
              <w:right w:w="40" w:type="dxa"/>
            </w:tcMar>
            <w:vAlign w:val="center"/>
          </w:tcPr>
          <w:p w14:paraId="5D2CDCBD" w14:textId="77777777" w:rsidR="00451CC2" w:rsidRPr="00C91BE7" w:rsidRDefault="00451CC2" w:rsidP="00C91BE7">
            <w:pPr>
              <w:pStyle w:val="Tabletext"/>
              <w:rPr>
                <w:rFonts w:eastAsia="Calibri"/>
                <w:b/>
              </w:rPr>
            </w:pPr>
            <w:r w:rsidRPr="00C91BE7">
              <w:rPr>
                <w:rFonts w:eastAsia="Calibri"/>
                <w:b/>
              </w:rPr>
              <w:t>COMMON PRIORITIES</w:t>
            </w:r>
          </w:p>
        </w:tc>
        <w:tc>
          <w:tcPr>
            <w:tcW w:w="2025" w:type="dxa"/>
            <w:shd w:val="clear" w:color="auto" w:fill="CFE2F3"/>
            <w:tcMar>
              <w:top w:w="0" w:type="dxa"/>
              <w:left w:w="40" w:type="dxa"/>
              <w:bottom w:w="0" w:type="dxa"/>
              <w:right w:w="40" w:type="dxa"/>
            </w:tcMar>
            <w:vAlign w:val="center"/>
          </w:tcPr>
          <w:p w14:paraId="1D1D1C53" w14:textId="77777777" w:rsidR="00451CC2" w:rsidRPr="00C91BE7" w:rsidRDefault="00451CC2" w:rsidP="00C91BE7">
            <w:pPr>
              <w:pStyle w:val="Tabletext"/>
              <w:rPr>
                <w:rFonts w:eastAsia="Calibri"/>
                <w:b/>
              </w:rPr>
            </w:pPr>
            <w:r w:rsidRPr="00C91BE7">
              <w:rPr>
                <w:rFonts w:eastAsia="Calibri"/>
                <w:b/>
              </w:rPr>
              <w:t>On-track status</w:t>
            </w:r>
          </w:p>
        </w:tc>
      </w:tr>
      <w:tr w:rsidR="00451CC2" w:rsidRPr="00C91BE7" w14:paraId="597D1C4D" w14:textId="77777777" w:rsidTr="00425017">
        <w:trPr>
          <w:trHeight w:val="113"/>
          <w:jc w:val="center"/>
        </w:trPr>
        <w:tc>
          <w:tcPr>
            <w:tcW w:w="2820" w:type="dxa"/>
            <w:tcMar>
              <w:top w:w="0" w:type="dxa"/>
              <w:left w:w="40" w:type="dxa"/>
              <w:bottom w:w="0" w:type="dxa"/>
              <w:right w:w="40" w:type="dxa"/>
            </w:tcMar>
            <w:vAlign w:val="center"/>
          </w:tcPr>
          <w:p w14:paraId="6C4A61CC" w14:textId="77777777" w:rsidR="00451CC2" w:rsidRPr="00C91BE7" w:rsidRDefault="00540671" w:rsidP="00C91BE7">
            <w:pPr>
              <w:pStyle w:val="Tabletext"/>
              <w:rPr>
                <w:rFonts w:eastAsia="Calibri"/>
              </w:rPr>
            </w:pPr>
            <w:r w:rsidRPr="00540671">
              <w:rPr>
                <w:rFonts w:eastAsia="Calibri"/>
                <w:b/>
              </w:rPr>
              <w:t>REFORM 1:</w:t>
            </w:r>
            <w:r w:rsidR="00451CC2" w:rsidRPr="00C91BE7">
              <w:rPr>
                <w:rFonts w:eastAsia="Calibri"/>
              </w:rPr>
              <w:t xml:space="preserve">  Personal Identification Number</w:t>
            </w:r>
          </w:p>
        </w:tc>
        <w:tc>
          <w:tcPr>
            <w:tcW w:w="1200" w:type="dxa"/>
            <w:tcMar>
              <w:top w:w="0" w:type="dxa"/>
              <w:left w:w="40" w:type="dxa"/>
              <w:bottom w:w="0" w:type="dxa"/>
              <w:right w:w="40" w:type="dxa"/>
            </w:tcMar>
            <w:vAlign w:val="center"/>
          </w:tcPr>
          <w:p w14:paraId="7C96B070" w14:textId="77777777" w:rsidR="00451CC2" w:rsidRPr="00C91BE7" w:rsidRDefault="00451CC2" w:rsidP="00C91BE7">
            <w:pPr>
              <w:pStyle w:val="Tabletext"/>
              <w:rPr>
                <w:rFonts w:eastAsia="Calibri"/>
              </w:rPr>
            </w:pPr>
            <w:r w:rsidRPr="00C91BE7">
              <w:rPr>
                <w:rFonts w:eastAsia="Calibri"/>
              </w:rPr>
              <w:t>-</w:t>
            </w:r>
          </w:p>
        </w:tc>
        <w:tc>
          <w:tcPr>
            <w:tcW w:w="1545" w:type="dxa"/>
            <w:tcMar>
              <w:top w:w="0" w:type="dxa"/>
              <w:left w:w="40" w:type="dxa"/>
              <w:bottom w:w="0" w:type="dxa"/>
              <w:right w:w="40" w:type="dxa"/>
            </w:tcMar>
            <w:vAlign w:val="center"/>
          </w:tcPr>
          <w:p w14:paraId="3BFBC2A2" w14:textId="77777777" w:rsidR="00451CC2" w:rsidRPr="00C91BE7" w:rsidRDefault="00451CC2" w:rsidP="00C91BE7">
            <w:pPr>
              <w:pStyle w:val="Tabletext"/>
              <w:rPr>
                <w:rFonts w:eastAsia="Calibri"/>
              </w:rPr>
            </w:pPr>
            <w:r w:rsidRPr="00C91BE7">
              <w:rPr>
                <w:rFonts w:eastAsia="Calibri"/>
              </w:rPr>
              <w:t>2020 CSR 3.9</w:t>
            </w:r>
          </w:p>
        </w:tc>
        <w:tc>
          <w:tcPr>
            <w:tcW w:w="1770" w:type="dxa"/>
            <w:tcMar>
              <w:top w:w="0" w:type="dxa"/>
              <w:left w:w="40" w:type="dxa"/>
              <w:bottom w:w="0" w:type="dxa"/>
              <w:right w:w="40" w:type="dxa"/>
            </w:tcMar>
            <w:vAlign w:val="center"/>
          </w:tcPr>
          <w:p w14:paraId="446683C3" w14:textId="77777777" w:rsidR="00451CC2" w:rsidRPr="00C91BE7" w:rsidRDefault="00451CC2" w:rsidP="00C91BE7">
            <w:pPr>
              <w:pStyle w:val="Tabletext"/>
              <w:rPr>
                <w:rFonts w:eastAsia="Calibri"/>
              </w:rPr>
            </w:pPr>
            <w:r w:rsidRPr="00C91BE7">
              <w:rPr>
                <w:rFonts w:eastAsia="Calibri"/>
              </w:rPr>
              <w:t>Fair green &amp; digital transition</w:t>
            </w:r>
          </w:p>
        </w:tc>
        <w:tc>
          <w:tcPr>
            <w:tcW w:w="2025" w:type="dxa"/>
            <w:tcMar>
              <w:top w:w="0" w:type="dxa"/>
              <w:left w:w="100" w:type="dxa"/>
              <w:bottom w:w="0" w:type="dxa"/>
              <w:right w:w="100" w:type="dxa"/>
            </w:tcMar>
            <w:vAlign w:val="center"/>
          </w:tcPr>
          <w:p w14:paraId="2BD9B18C" w14:textId="77777777" w:rsidR="00451CC2" w:rsidRPr="00C91BE7" w:rsidRDefault="00451CC2" w:rsidP="00C91BE7">
            <w:pPr>
              <w:pStyle w:val="Tabletext"/>
              <w:rPr>
                <w:rFonts w:eastAsia="Calibri"/>
              </w:rPr>
            </w:pPr>
            <w:r w:rsidRPr="00C91BE7">
              <w:rPr>
                <w:rFonts w:eastAsia="Calibri"/>
              </w:rPr>
              <w:t>On track</w:t>
            </w:r>
          </w:p>
        </w:tc>
      </w:tr>
      <w:tr w:rsidR="00451CC2" w:rsidRPr="00C91BE7" w14:paraId="36B1A2A1" w14:textId="77777777" w:rsidTr="00425017">
        <w:trPr>
          <w:trHeight w:val="113"/>
          <w:jc w:val="center"/>
        </w:trPr>
        <w:tc>
          <w:tcPr>
            <w:tcW w:w="2820" w:type="dxa"/>
            <w:tcMar>
              <w:top w:w="0" w:type="dxa"/>
              <w:left w:w="40" w:type="dxa"/>
              <w:bottom w:w="0" w:type="dxa"/>
              <w:right w:w="40" w:type="dxa"/>
            </w:tcMar>
            <w:vAlign w:val="center"/>
          </w:tcPr>
          <w:p w14:paraId="2FB3AB03" w14:textId="77777777" w:rsidR="00451CC2" w:rsidRPr="00C91BE7" w:rsidRDefault="00540671" w:rsidP="00C91BE7">
            <w:pPr>
              <w:pStyle w:val="Tabletext"/>
              <w:rPr>
                <w:rFonts w:eastAsia="Calibri"/>
              </w:rPr>
            </w:pPr>
            <w:r w:rsidRPr="00540671">
              <w:rPr>
                <w:rFonts w:eastAsia="Calibri"/>
                <w:b/>
              </w:rPr>
              <w:t>REFORM 2:</w:t>
            </w:r>
            <w:r w:rsidR="00451CC2" w:rsidRPr="00C91BE7">
              <w:rPr>
                <w:rFonts w:eastAsia="Calibri"/>
              </w:rPr>
              <w:t xml:space="preserve"> Completion of the national </w:t>
            </w:r>
            <w:proofErr w:type="spellStart"/>
            <w:r w:rsidR="00451CC2" w:rsidRPr="00C91BE7">
              <w:rPr>
                <w:rFonts w:eastAsia="Calibri"/>
              </w:rPr>
              <w:t>cadastre</w:t>
            </w:r>
            <w:proofErr w:type="spellEnd"/>
          </w:p>
        </w:tc>
        <w:tc>
          <w:tcPr>
            <w:tcW w:w="1200" w:type="dxa"/>
            <w:tcMar>
              <w:top w:w="0" w:type="dxa"/>
              <w:left w:w="40" w:type="dxa"/>
              <w:bottom w:w="0" w:type="dxa"/>
              <w:right w:w="40" w:type="dxa"/>
            </w:tcMar>
            <w:vAlign w:val="center"/>
          </w:tcPr>
          <w:p w14:paraId="1AB4614B" w14:textId="77777777" w:rsidR="00451CC2" w:rsidRPr="00C91BE7" w:rsidRDefault="00451CC2" w:rsidP="00C91BE7">
            <w:pPr>
              <w:pStyle w:val="Tabletext"/>
              <w:rPr>
                <w:rFonts w:eastAsia="Calibri"/>
              </w:rPr>
            </w:pPr>
            <w:r w:rsidRPr="00C91BE7">
              <w:rPr>
                <w:rFonts w:eastAsia="Calibri"/>
              </w:rPr>
              <w:t>RRF 16986</w:t>
            </w:r>
          </w:p>
        </w:tc>
        <w:tc>
          <w:tcPr>
            <w:tcW w:w="1545" w:type="dxa"/>
            <w:tcMar>
              <w:top w:w="0" w:type="dxa"/>
              <w:left w:w="40" w:type="dxa"/>
              <w:bottom w:w="0" w:type="dxa"/>
              <w:right w:w="40" w:type="dxa"/>
            </w:tcMar>
            <w:vAlign w:val="center"/>
          </w:tcPr>
          <w:p w14:paraId="15052D80" w14:textId="77777777" w:rsidR="00451CC2" w:rsidRPr="00C91BE7" w:rsidRDefault="00451CC2" w:rsidP="00C91BE7">
            <w:pPr>
              <w:pStyle w:val="Tabletext"/>
              <w:rPr>
                <w:rFonts w:eastAsia="Calibri"/>
              </w:rPr>
            </w:pPr>
            <w:r w:rsidRPr="00C91BE7">
              <w:rPr>
                <w:rFonts w:eastAsia="Calibri"/>
              </w:rPr>
              <w:t>2023 CSR 3.2</w:t>
            </w:r>
          </w:p>
        </w:tc>
        <w:tc>
          <w:tcPr>
            <w:tcW w:w="1770" w:type="dxa"/>
            <w:tcMar>
              <w:top w:w="0" w:type="dxa"/>
              <w:left w:w="40" w:type="dxa"/>
              <w:bottom w:w="0" w:type="dxa"/>
              <w:right w:w="40" w:type="dxa"/>
            </w:tcMar>
            <w:vAlign w:val="center"/>
          </w:tcPr>
          <w:p w14:paraId="02AF4445" w14:textId="77777777" w:rsidR="00451CC2" w:rsidRPr="00C91BE7" w:rsidRDefault="00451CC2" w:rsidP="00C91BE7">
            <w:pPr>
              <w:pStyle w:val="Tabletext"/>
              <w:rPr>
                <w:rFonts w:eastAsia="Calibri"/>
              </w:rPr>
            </w:pPr>
            <w:r w:rsidRPr="00C91BE7">
              <w:rPr>
                <w:rFonts w:eastAsia="Calibri"/>
              </w:rPr>
              <w:t>Fair green &amp; digital transition</w:t>
            </w:r>
          </w:p>
        </w:tc>
        <w:tc>
          <w:tcPr>
            <w:tcW w:w="2025" w:type="dxa"/>
            <w:tcMar>
              <w:top w:w="0" w:type="dxa"/>
              <w:left w:w="100" w:type="dxa"/>
              <w:bottom w:w="0" w:type="dxa"/>
              <w:right w:w="100" w:type="dxa"/>
            </w:tcMar>
            <w:vAlign w:val="center"/>
          </w:tcPr>
          <w:p w14:paraId="18DACA75" w14:textId="77777777" w:rsidR="00451CC2" w:rsidRPr="00C91BE7" w:rsidRDefault="00451CC2" w:rsidP="00C91BE7">
            <w:pPr>
              <w:pStyle w:val="Tabletext"/>
              <w:rPr>
                <w:rFonts w:eastAsia="Calibri"/>
              </w:rPr>
            </w:pPr>
            <w:r w:rsidRPr="00C91BE7">
              <w:rPr>
                <w:rFonts w:eastAsia="Calibri"/>
              </w:rPr>
              <w:t>On track</w:t>
            </w:r>
          </w:p>
          <w:p w14:paraId="1C95B79C" w14:textId="77777777" w:rsidR="00451CC2" w:rsidRPr="00C91BE7" w:rsidRDefault="00451CC2" w:rsidP="00C91BE7">
            <w:pPr>
              <w:pStyle w:val="Tabletext"/>
              <w:rPr>
                <w:rFonts w:eastAsia="Calibri"/>
              </w:rPr>
            </w:pPr>
            <w:r w:rsidRPr="00C91BE7">
              <w:rPr>
                <w:rFonts w:eastAsia="Calibri"/>
              </w:rPr>
              <w:t xml:space="preserve"> </w:t>
            </w:r>
          </w:p>
        </w:tc>
      </w:tr>
      <w:tr w:rsidR="00451CC2" w:rsidRPr="00C91BE7" w14:paraId="3ACBD5FC" w14:textId="77777777" w:rsidTr="00425017">
        <w:trPr>
          <w:trHeight w:val="113"/>
          <w:jc w:val="center"/>
        </w:trPr>
        <w:tc>
          <w:tcPr>
            <w:tcW w:w="2820" w:type="dxa"/>
            <w:tcMar>
              <w:top w:w="0" w:type="dxa"/>
              <w:left w:w="40" w:type="dxa"/>
              <w:bottom w:w="0" w:type="dxa"/>
              <w:right w:w="40" w:type="dxa"/>
            </w:tcMar>
            <w:vAlign w:val="center"/>
          </w:tcPr>
          <w:p w14:paraId="57B8D4DA" w14:textId="77777777" w:rsidR="00451CC2" w:rsidRPr="00C91BE7" w:rsidRDefault="00540671" w:rsidP="00C91BE7">
            <w:pPr>
              <w:pStyle w:val="Tabletext"/>
              <w:rPr>
                <w:rFonts w:eastAsia="Calibri"/>
              </w:rPr>
            </w:pPr>
            <w:r w:rsidRPr="00540671">
              <w:rPr>
                <w:rFonts w:eastAsia="Calibri"/>
                <w:b/>
              </w:rPr>
              <w:t>INVESTMENT 1:</w:t>
            </w:r>
            <w:r w:rsidR="00451CC2" w:rsidRPr="00C91BE7">
              <w:rPr>
                <w:rFonts w:eastAsia="Calibri"/>
              </w:rPr>
              <w:t xml:space="preserve"> Digital Transformation of SMEs</w:t>
            </w:r>
          </w:p>
        </w:tc>
        <w:tc>
          <w:tcPr>
            <w:tcW w:w="1200" w:type="dxa"/>
            <w:tcMar>
              <w:top w:w="0" w:type="dxa"/>
              <w:left w:w="40" w:type="dxa"/>
              <w:bottom w:w="0" w:type="dxa"/>
              <w:right w:w="40" w:type="dxa"/>
            </w:tcMar>
            <w:vAlign w:val="center"/>
          </w:tcPr>
          <w:p w14:paraId="68CA8B48" w14:textId="77777777" w:rsidR="00451CC2" w:rsidRPr="00C91BE7" w:rsidRDefault="00451CC2" w:rsidP="00C91BE7">
            <w:pPr>
              <w:pStyle w:val="Tabletext"/>
              <w:rPr>
                <w:rFonts w:eastAsia="Calibri"/>
              </w:rPr>
            </w:pPr>
            <w:r w:rsidRPr="00C91BE7">
              <w:rPr>
                <w:rFonts w:eastAsia="Calibri"/>
              </w:rPr>
              <w:t>RRF 16706</w:t>
            </w:r>
          </w:p>
        </w:tc>
        <w:tc>
          <w:tcPr>
            <w:tcW w:w="1545" w:type="dxa"/>
            <w:tcMar>
              <w:top w:w="0" w:type="dxa"/>
              <w:left w:w="40" w:type="dxa"/>
              <w:bottom w:w="0" w:type="dxa"/>
              <w:right w:w="40" w:type="dxa"/>
            </w:tcMar>
            <w:vAlign w:val="center"/>
          </w:tcPr>
          <w:p w14:paraId="3D4E2C10" w14:textId="77777777" w:rsidR="00451CC2" w:rsidRPr="00C91BE7" w:rsidRDefault="00451CC2" w:rsidP="00C91BE7">
            <w:pPr>
              <w:pStyle w:val="Tabletext"/>
              <w:rPr>
                <w:rFonts w:eastAsia="Calibri"/>
              </w:rPr>
            </w:pPr>
            <w:r w:rsidRPr="00C91BE7">
              <w:rPr>
                <w:rFonts w:eastAsia="Calibri"/>
              </w:rPr>
              <w:t>2020 CSR 3.3</w:t>
            </w:r>
          </w:p>
          <w:p w14:paraId="7AFD32A8" w14:textId="77777777" w:rsidR="00451CC2" w:rsidRPr="00C91BE7" w:rsidRDefault="00451CC2" w:rsidP="00C91BE7">
            <w:pPr>
              <w:pStyle w:val="Tabletext"/>
              <w:rPr>
                <w:rFonts w:eastAsia="Calibri"/>
              </w:rPr>
            </w:pPr>
            <w:r w:rsidRPr="00C91BE7">
              <w:rPr>
                <w:rFonts w:eastAsia="Calibri"/>
              </w:rPr>
              <w:t>2020 CSR 3.8</w:t>
            </w:r>
          </w:p>
          <w:p w14:paraId="5E8D56DB" w14:textId="77777777" w:rsidR="00451CC2" w:rsidRPr="00C91BE7" w:rsidRDefault="00451CC2" w:rsidP="00C91BE7">
            <w:pPr>
              <w:pStyle w:val="Tabletext"/>
              <w:rPr>
                <w:rFonts w:eastAsia="Calibri"/>
              </w:rPr>
            </w:pPr>
            <w:r w:rsidRPr="00C91BE7">
              <w:rPr>
                <w:rFonts w:eastAsia="Calibri"/>
              </w:rPr>
              <w:t>2020 CSR 3.10</w:t>
            </w:r>
          </w:p>
          <w:p w14:paraId="6F4A0B43" w14:textId="77777777" w:rsidR="00451CC2" w:rsidRPr="00C91BE7" w:rsidRDefault="00451CC2" w:rsidP="00C91BE7">
            <w:pPr>
              <w:pStyle w:val="Tabletext"/>
              <w:rPr>
                <w:rFonts w:eastAsia="Calibri"/>
              </w:rPr>
            </w:pPr>
            <w:r w:rsidRPr="00C91BE7">
              <w:rPr>
                <w:rFonts w:eastAsia="Calibri"/>
              </w:rPr>
              <w:t>2019 CSR 2.3 2019 CSR 2.6</w:t>
            </w:r>
          </w:p>
        </w:tc>
        <w:tc>
          <w:tcPr>
            <w:tcW w:w="1770" w:type="dxa"/>
            <w:tcMar>
              <w:top w:w="0" w:type="dxa"/>
              <w:left w:w="40" w:type="dxa"/>
              <w:bottom w:w="0" w:type="dxa"/>
              <w:right w:w="40" w:type="dxa"/>
            </w:tcMar>
            <w:vAlign w:val="center"/>
          </w:tcPr>
          <w:p w14:paraId="069F0546" w14:textId="77777777" w:rsidR="00451CC2" w:rsidRPr="00C91BE7" w:rsidRDefault="00451CC2" w:rsidP="00C91BE7">
            <w:pPr>
              <w:pStyle w:val="Tabletext"/>
              <w:rPr>
                <w:rFonts w:eastAsia="Calibri"/>
              </w:rPr>
            </w:pPr>
            <w:r w:rsidRPr="00C91BE7">
              <w:rPr>
                <w:rFonts w:eastAsia="Calibri"/>
              </w:rPr>
              <w:t>Fair green &amp; digital transition</w:t>
            </w:r>
          </w:p>
        </w:tc>
        <w:tc>
          <w:tcPr>
            <w:tcW w:w="2025" w:type="dxa"/>
            <w:tcMar>
              <w:top w:w="0" w:type="dxa"/>
              <w:left w:w="100" w:type="dxa"/>
              <w:bottom w:w="0" w:type="dxa"/>
              <w:right w:w="100" w:type="dxa"/>
            </w:tcMar>
            <w:vAlign w:val="center"/>
          </w:tcPr>
          <w:p w14:paraId="1D9A12B1" w14:textId="77777777" w:rsidR="00451CC2" w:rsidRPr="00C91BE7" w:rsidRDefault="00451CC2" w:rsidP="00C91BE7">
            <w:pPr>
              <w:pStyle w:val="Tabletext"/>
              <w:rPr>
                <w:rFonts w:eastAsia="Calibri"/>
              </w:rPr>
            </w:pPr>
            <w:r w:rsidRPr="00C91BE7">
              <w:rPr>
                <w:rFonts w:eastAsia="Calibri"/>
              </w:rPr>
              <w:t>On track</w:t>
            </w:r>
          </w:p>
        </w:tc>
      </w:tr>
      <w:tr w:rsidR="00451CC2" w:rsidRPr="00C91BE7" w14:paraId="139CF7C0" w14:textId="77777777" w:rsidTr="00425017">
        <w:trPr>
          <w:trHeight w:val="113"/>
          <w:jc w:val="center"/>
        </w:trPr>
        <w:tc>
          <w:tcPr>
            <w:tcW w:w="2820" w:type="dxa"/>
            <w:tcMar>
              <w:top w:w="0" w:type="dxa"/>
              <w:left w:w="40" w:type="dxa"/>
              <w:bottom w:w="0" w:type="dxa"/>
              <w:right w:w="40" w:type="dxa"/>
            </w:tcMar>
            <w:vAlign w:val="center"/>
          </w:tcPr>
          <w:p w14:paraId="38DCFB8A" w14:textId="77777777" w:rsidR="00451CC2" w:rsidRPr="00C91BE7" w:rsidRDefault="00540671" w:rsidP="00C91BE7">
            <w:pPr>
              <w:pStyle w:val="Tabletext"/>
              <w:rPr>
                <w:rFonts w:eastAsia="Calibri"/>
              </w:rPr>
            </w:pPr>
            <w:r w:rsidRPr="00540671">
              <w:rPr>
                <w:rFonts w:eastAsia="Calibri"/>
                <w:b/>
              </w:rPr>
              <w:t>INVESTMENT 2:</w:t>
            </w:r>
            <w:r w:rsidR="00451CC2" w:rsidRPr="00C91BE7">
              <w:rPr>
                <w:rFonts w:eastAsia="Calibri"/>
              </w:rPr>
              <w:t xml:space="preserve"> Smart Readiness / Gigabit Voucher</w:t>
            </w:r>
          </w:p>
        </w:tc>
        <w:tc>
          <w:tcPr>
            <w:tcW w:w="1200" w:type="dxa"/>
            <w:tcMar>
              <w:top w:w="0" w:type="dxa"/>
              <w:left w:w="40" w:type="dxa"/>
              <w:bottom w:w="0" w:type="dxa"/>
              <w:right w:w="40" w:type="dxa"/>
            </w:tcMar>
            <w:vAlign w:val="center"/>
          </w:tcPr>
          <w:p w14:paraId="10AAB28E" w14:textId="77777777" w:rsidR="00451CC2" w:rsidRPr="00C91BE7" w:rsidRDefault="00451CC2" w:rsidP="00C91BE7">
            <w:pPr>
              <w:pStyle w:val="Tabletext"/>
              <w:rPr>
                <w:rFonts w:eastAsia="Calibri"/>
              </w:rPr>
            </w:pPr>
            <w:r w:rsidRPr="00C91BE7">
              <w:rPr>
                <w:rFonts w:eastAsia="Calibri"/>
              </w:rPr>
              <w:t>RRF 16818</w:t>
            </w:r>
          </w:p>
        </w:tc>
        <w:tc>
          <w:tcPr>
            <w:tcW w:w="1545" w:type="dxa"/>
            <w:tcMar>
              <w:top w:w="0" w:type="dxa"/>
              <w:left w:w="40" w:type="dxa"/>
              <w:bottom w:w="0" w:type="dxa"/>
              <w:right w:w="40" w:type="dxa"/>
            </w:tcMar>
            <w:vAlign w:val="center"/>
          </w:tcPr>
          <w:p w14:paraId="7F90A7C1" w14:textId="77777777" w:rsidR="00451CC2" w:rsidRPr="00C91BE7" w:rsidRDefault="00451CC2" w:rsidP="00C91BE7">
            <w:pPr>
              <w:pStyle w:val="Tabletext"/>
              <w:rPr>
                <w:rFonts w:eastAsia="Calibri"/>
              </w:rPr>
            </w:pPr>
            <w:r w:rsidRPr="00C91BE7">
              <w:rPr>
                <w:rFonts w:eastAsia="Calibri"/>
              </w:rPr>
              <w:t>2023 CSR 4.4</w:t>
            </w:r>
          </w:p>
          <w:p w14:paraId="6B80A3D4" w14:textId="77777777" w:rsidR="00451CC2" w:rsidRPr="00C91BE7" w:rsidRDefault="00451CC2" w:rsidP="00C91BE7">
            <w:pPr>
              <w:pStyle w:val="Tabletext"/>
              <w:rPr>
                <w:rFonts w:eastAsia="Calibri"/>
              </w:rPr>
            </w:pPr>
            <w:r w:rsidRPr="00C91BE7">
              <w:rPr>
                <w:rFonts w:eastAsia="Calibri"/>
              </w:rPr>
              <w:t>2020 CSR 3.7</w:t>
            </w:r>
          </w:p>
          <w:p w14:paraId="4119DAA6" w14:textId="77777777" w:rsidR="00451CC2" w:rsidRPr="00C91BE7" w:rsidRDefault="00451CC2" w:rsidP="00C91BE7">
            <w:pPr>
              <w:pStyle w:val="Tabletext"/>
              <w:rPr>
                <w:rFonts w:eastAsia="Calibri"/>
              </w:rPr>
            </w:pPr>
            <w:r w:rsidRPr="00C91BE7">
              <w:rPr>
                <w:rFonts w:eastAsia="Calibri"/>
              </w:rPr>
              <w:t>2019 CSR 2.3</w:t>
            </w:r>
          </w:p>
        </w:tc>
        <w:tc>
          <w:tcPr>
            <w:tcW w:w="1770" w:type="dxa"/>
            <w:tcMar>
              <w:top w:w="0" w:type="dxa"/>
              <w:left w:w="40" w:type="dxa"/>
              <w:bottom w:w="0" w:type="dxa"/>
              <w:right w:w="40" w:type="dxa"/>
            </w:tcMar>
            <w:vAlign w:val="center"/>
          </w:tcPr>
          <w:p w14:paraId="17E5FC08" w14:textId="77777777" w:rsidR="00451CC2" w:rsidRPr="00C91BE7" w:rsidRDefault="00451CC2" w:rsidP="00C91BE7">
            <w:pPr>
              <w:pStyle w:val="Tabletext"/>
              <w:rPr>
                <w:rFonts w:eastAsia="Calibri"/>
              </w:rPr>
            </w:pPr>
            <w:r w:rsidRPr="00C91BE7">
              <w:rPr>
                <w:rFonts w:eastAsia="Calibri"/>
              </w:rPr>
              <w:t>Fair green &amp; digital transition</w:t>
            </w:r>
          </w:p>
        </w:tc>
        <w:tc>
          <w:tcPr>
            <w:tcW w:w="2025" w:type="dxa"/>
            <w:tcMar>
              <w:top w:w="0" w:type="dxa"/>
              <w:left w:w="100" w:type="dxa"/>
              <w:bottom w:w="0" w:type="dxa"/>
              <w:right w:w="100" w:type="dxa"/>
            </w:tcMar>
            <w:vAlign w:val="center"/>
          </w:tcPr>
          <w:p w14:paraId="6D027DB2" w14:textId="77777777" w:rsidR="00451CC2" w:rsidRPr="00C91BE7" w:rsidRDefault="00451CC2" w:rsidP="00C91BE7">
            <w:pPr>
              <w:pStyle w:val="Tabletext"/>
              <w:rPr>
                <w:rFonts w:eastAsia="Calibri"/>
              </w:rPr>
            </w:pPr>
            <w:r w:rsidRPr="00C91BE7">
              <w:rPr>
                <w:rFonts w:eastAsia="Calibri"/>
              </w:rPr>
              <w:t>On track</w:t>
            </w:r>
          </w:p>
        </w:tc>
      </w:tr>
      <w:tr w:rsidR="00451CC2" w:rsidRPr="00C91BE7" w14:paraId="7E150FD0" w14:textId="77777777" w:rsidTr="00425017">
        <w:trPr>
          <w:trHeight w:val="113"/>
          <w:jc w:val="center"/>
        </w:trPr>
        <w:tc>
          <w:tcPr>
            <w:tcW w:w="2820" w:type="dxa"/>
            <w:tcMar>
              <w:top w:w="0" w:type="dxa"/>
              <w:left w:w="40" w:type="dxa"/>
              <w:bottom w:w="0" w:type="dxa"/>
              <w:right w:w="40" w:type="dxa"/>
            </w:tcMar>
            <w:vAlign w:val="center"/>
          </w:tcPr>
          <w:p w14:paraId="07D92B63" w14:textId="77777777" w:rsidR="00451CC2" w:rsidRPr="00C91BE7" w:rsidRDefault="00540671" w:rsidP="00C91BE7">
            <w:pPr>
              <w:pStyle w:val="Tabletext"/>
              <w:rPr>
                <w:rFonts w:eastAsia="Calibri"/>
              </w:rPr>
            </w:pPr>
            <w:r w:rsidRPr="00540671">
              <w:rPr>
                <w:rFonts w:eastAsia="Calibri"/>
                <w:b/>
              </w:rPr>
              <w:t>INVESTMENT 3:</w:t>
            </w:r>
            <w:r w:rsidR="00451CC2" w:rsidRPr="00C91BE7">
              <w:rPr>
                <w:rFonts w:eastAsia="Calibri"/>
              </w:rPr>
              <w:t xml:space="preserve"> Ultra-Fast Broadband</w:t>
            </w:r>
          </w:p>
        </w:tc>
        <w:tc>
          <w:tcPr>
            <w:tcW w:w="1200" w:type="dxa"/>
            <w:tcMar>
              <w:top w:w="0" w:type="dxa"/>
              <w:left w:w="40" w:type="dxa"/>
              <w:bottom w:w="0" w:type="dxa"/>
              <w:right w:w="40" w:type="dxa"/>
            </w:tcMar>
            <w:vAlign w:val="center"/>
          </w:tcPr>
          <w:p w14:paraId="31623601" w14:textId="77777777" w:rsidR="00451CC2" w:rsidRPr="00C91BE7" w:rsidRDefault="00451CC2" w:rsidP="00C91BE7">
            <w:pPr>
              <w:pStyle w:val="Tabletext"/>
              <w:rPr>
                <w:rFonts w:eastAsia="Calibri"/>
              </w:rPr>
            </w:pPr>
            <w:r w:rsidRPr="00C91BE7">
              <w:rPr>
                <w:rFonts w:eastAsia="Calibri"/>
              </w:rPr>
              <w:t>MFF</w:t>
            </w:r>
          </w:p>
        </w:tc>
        <w:tc>
          <w:tcPr>
            <w:tcW w:w="1545" w:type="dxa"/>
            <w:tcMar>
              <w:top w:w="0" w:type="dxa"/>
              <w:left w:w="40" w:type="dxa"/>
              <w:bottom w:w="0" w:type="dxa"/>
              <w:right w:w="40" w:type="dxa"/>
            </w:tcMar>
            <w:vAlign w:val="center"/>
          </w:tcPr>
          <w:p w14:paraId="1FBE9151" w14:textId="77777777" w:rsidR="00451CC2" w:rsidRPr="00C91BE7" w:rsidRDefault="00451CC2" w:rsidP="00C91BE7">
            <w:pPr>
              <w:pStyle w:val="Tabletext"/>
              <w:rPr>
                <w:rFonts w:eastAsia="Calibri"/>
              </w:rPr>
            </w:pPr>
            <w:r w:rsidRPr="00C91BE7">
              <w:rPr>
                <w:rFonts w:eastAsia="Calibri"/>
              </w:rPr>
              <w:t>2020 CSR 3.7</w:t>
            </w:r>
          </w:p>
        </w:tc>
        <w:tc>
          <w:tcPr>
            <w:tcW w:w="1770" w:type="dxa"/>
            <w:tcMar>
              <w:top w:w="0" w:type="dxa"/>
              <w:left w:w="40" w:type="dxa"/>
              <w:bottom w:w="0" w:type="dxa"/>
              <w:right w:w="40" w:type="dxa"/>
            </w:tcMar>
            <w:vAlign w:val="center"/>
          </w:tcPr>
          <w:p w14:paraId="6CD998CE" w14:textId="77777777" w:rsidR="00451CC2" w:rsidRPr="00C91BE7" w:rsidRDefault="00451CC2" w:rsidP="00C91BE7">
            <w:pPr>
              <w:pStyle w:val="Tabletext"/>
              <w:rPr>
                <w:rFonts w:eastAsia="Calibri"/>
              </w:rPr>
            </w:pPr>
            <w:r w:rsidRPr="00C91BE7">
              <w:rPr>
                <w:rFonts w:eastAsia="Calibri"/>
              </w:rPr>
              <w:t>Fair green &amp; digital transition</w:t>
            </w:r>
          </w:p>
        </w:tc>
        <w:tc>
          <w:tcPr>
            <w:tcW w:w="2025" w:type="dxa"/>
            <w:tcMar>
              <w:top w:w="0" w:type="dxa"/>
              <w:left w:w="100" w:type="dxa"/>
              <w:bottom w:w="0" w:type="dxa"/>
              <w:right w:w="100" w:type="dxa"/>
            </w:tcMar>
            <w:vAlign w:val="center"/>
          </w:tcPr>
          <w:p w14:paraId="72C80281" w14:textId="77777777" w:rsidR="00451CC2" w:rsidRPr="00C91BE7" w:rsidRDefault="00451CC2" w:rsidP="00C91BE7">
            <w:pPr>
              <w:pStyle w:val="Tabletext"/>
              <w:rPr>
                <w:rFonts w:eastAsia="Calibri"/>
              </w:rPr>
            </w:pPr>
            <w:r w:rsidRPr="00C91BE7">
              <w:rPr>
                <w:rFonts w:eastAsia="Calibri"/>
              </w:rPr>
              <w:t>Delayed</w:t>
            </w:r>
          </w:p>
        </w:tc>
      </w:tr>
      <w:tr w:rsidR="00451CC2" w:rsidRPr="00C91BE7" w14:paraId="03B0DD0C" w14:textId="77777777" w:rsidTr="00425017">
        <w:trPr>
          <w:trHeight w:val="113"/>
          <w:jc w:val="center"/>
        </w:trPr>
        <w:tc>
          <w:tcPr>
            <w:tcW w:w="2820" w:type="dxa"/>
            <w:tcMar>
              <w:top w:w="0" w:type="dxa"/>
              <w:left w:w="40" w:type="dxa"/>
              <w:bottom w:w="0" w:type="dxa"/>
              <w:right w:w="40" w:type="dxa"/>
            </w:tcMar>
            <w:vAlign w:val="center"/>
          </w:tcPr>
          <w:p w14:paraId="090C8FA2" w14:textId="77777777" w:rsidR="00451CC2" w:rsidRPr="00C91BE7" w:rsidRDefault="00540671" w:rsidP="00C91BE7">
            <w:pPr>
              <w:pStyle w:val="Tabletext"/>
              <w:rPr>
                <w:rFonts w:eastAsia="Calibri"/>
              </w:rPr>
            </w:pPr>
            <w:r w:rsidRPr="00540671">
              <w:rPr>
                <w:rFonts w:eastAsia="Calibri"/>
                <w:b/>
              </w:rPr>
              <w:t>INVESTMENT 4:</w:t>
            </w:r>
            <w:r w:rsidR="00451CC2" w:rsidRPr="00C91BE7">
              <w:rPr>
                <w:rFonts w:eastAsia="Calibri"/>
              </w:rPr>
              <w:t xml:space="preserve"> Microsatellites</w:t>
            </w:r>
          </w:p>
        </w:tc>
        <w:tc>
          <w:tcPr>
            <w:tcW w:w="1200" w:type="dxa"/>
            <w:tcMar>
              <w:top w:w="0" w:type="dxa"/>
              <w:left w:w="40" w:type="dxa"/>
              <w:bottom w:w="0" w:type="dxa"/>
              <w:right w:w="40" w:type="dxa"/>
            </w:tcMar>
            <w:vAlign w:val="center"/>
          </w:tcPr>
          <w:p w14:paraId="41EEF113" w14:textId="77777777" w:rsidR="00451CC2" w:rsidRPr="00C91BE7" w:rsidRDefault="00451CC2" w:rsidP="00C91BE7">
            <w:pPr>
              <w:pStyle w:val="Tabletext"/>
              <w:rPr>
                <w:rFonts w:eastAsia="Calibri"/>
              </w:rPr>
            </w:pPr>
            <w:r w:rsidRPr="00C91BE7">
              <w:rPr>
                <w:rFonts w:eastAsia="Calibri"/>
              </w:rPr>
              <w:t>RRF 16855</w:t>
            </w:r>
          </w:p>
        </w:tc>
        <w:tc>
          <w:tcPr>
            <w:tcW w:w="1545" w:type="dxa"/>
            <w:tcMar>
              <w:top w:w="0" w:type="dxa"/>
              <w:left w:w="40" w:type="dxa"/>
              <w:bottom w:w="0" w:type="dxa"/>
              <w:right w:w="40" w:type="dxa"/>
            </w:tcMar>
            <w:vAlign w:val="center"/>
          </w:tcPr>
          <w:p w14:paraId="06A33ABA" w14:textId="77777777" w:rsidR="00451CC2" w:rsidRPr="00C91BE7" w:rsidRDefault="00451CC2" w:rsidP="00C91BE7">
            <w:pPr>
              <w:pStyle w:val="Tabletext"/>
              <w:rPr>
                <w:rFonts w:eastAsia="Calibri"/>
              </w:rPr>
            </w:pPr>
            <w:r w:rsidRPr="00C91BE7">
              <w:rPr>
                <w:rFonts w:eastAsia="Calibri"/>
              </w:rPr>
              <w:t>2025.CSR 4.6</w:t>
            </w:r>
          </w:p>
          <w:p w14:paraId="3F10965C" w14:textId="77777777" w:rsidR="00451CC2" w:rsidRPr="00C91BE7" w:rsidRDefault="00451CC2" w:rsidP="00C91BE7">
            <w:pPr>
              <w:pStyle w:val="Tabletext"/>
              <w:rPr>
                <w:rFonts w:eastAsia="Calibri"/>
              </w:rPr>
            </w:pPr>
            <w:r w:rsidRPr="00C91BE7">
              <w:rPr>
                <w:rFonts w:eastAsia="Calibri"/>
              </w:rPr>
              <w:t>2024 CSR 4.2</w:t>
            </w:r>
          </w:p>
          <w:p w14:paraId="7A652860" w14:textId="77777777" w:rsidR="00451CC2" w:rsidRPr="00C91BE7" w:rsidRDefault="00451CC2" w:rsidP="00C91BE7">
            <w:pPr>
              <w:pStyle w:val="Tabletext"/>
              <w:rPr>
                <w:rFonts w:eastAsia="Calibri"/>
              </w:rPr>
            </w:pPr>
            <w:r w:rsidRPr="00C91BE7">
              <w:rPr>
                <w:rFonts w:eastAsia="Calibri"/>
              </w:rPr>
              <w:t>2019 CSR 2.3</w:t>
            </w:r>
          </w:p>
        </w:tc>
        <w:tc>
          <w:tcPr>
            <w:tcW w:w="1770" w:type="dxa"/>
            <w:tcMar>
              <w:top w:w="0" w:type="dxa"/>
              <w:left w:w="40" w:type="dxa"/>
              <w:bottom w:w="0" w:type="dxa"/>
              <w:right w:w="40" w:type="dxa"/>
            </w:tcMar>
            <w:vAlign w:val="center"/>
          </w:tcPr>
          <w:p w14:paraId="15CAECBB" w14:textId="77777777" w:rsidR="00451CC2" w:rsidRPr="00C91BE7" w:rsidRDefault="00451CC2" w:rsidP="00C91BE7">
            <w:pPr>
              <w:pStyle w:val="Tabletext"/>
              <w:rPr>
                <w:rFonts w:eastAsia="Calibri"/>
              </w:rPr>
            </w:pPr>
            <w:r w:rsidRPr="00C91BE7">
              <w:rPr>
                <w:rFonts w:eastAsia="Calibri"/>
              </w:rPr>
              <w:t>Fair green &amp; digital transition</w:t>
            </w:r>
          </w:p>
        </w:tc>
        <w:tc>
          <w:tcPr>
            <w:tcW w:w="2025" w:type="dxa"/>
            <w:tcMar>
              <w:top w:w="0" w:type="dxa"/>
              <w:left w:w="100" w:type="dxa"/>
              <w:bottom w:w="0" w:type="dxa"/>
              <w:right w:w="100" w:type="dxa"/>
            </w:tcMar>
            <w:vAlign w:val="center"/>
          </w:tcPr>
          <w:p w14:paraId="24E86D2B" w14:textId="77777777" w:rsidR="00451CC2" w:rsidRPr="00C91BE7" w:rsidRDefault="00451CC2" w:rsidP="00C91BE7">
            <w:pPr>
              <w:pStyle w:val="Tabletext"/>
              <w:rPr>
                <w:rFonts w:eastAsia="Calibri"/>
              </w:rPr>
            </w:pPr>
            <w:r w:rsidRPr="00C91BE7">
              <w:rPr>
                <w:rFonts w:eastAsia="Calibri"/>
              </w:rPr>
              <w:t>On track</w:t>
            </w:r>
          </w:p>
        </w:tc>
      </w:tr>
      <w:tr w:rsidR="00451CC2" w:rsidRPr="00C91BE7" w14:paraId="3C00C142" w14:textId="77777777" w:rsidTr="00425017">
        <w:trPr>
          <w:trHeight w:val="113"/>
          <w:jc w:val="center"/>
        </w:trPr>
        <w:tc>
          <w:tcPr>
            <w:tcW w:w="2820" w:type="dxa"/>
            <w:tcMar>
              <w:top w:w="0" w:type="dxa"/>
              <w:left w:w="40" w:type="dxa"/>
              <w:bottom w:w="0" w:type="dxa"/>
              <w:right w:w="40" w:type="dxa"/>
            </w:tcMar>
            <w:vAlign w:val="center"/>
          </w:tcPr>
          <w:p w14:paraId="331CC158" w14:textId="77777777" w:rsidR="00451CC2" w:rsidRPr="00C91BE7" w:rsidRDefault="00540671" w:rsidP="00C91BE7">
            <w:pPr>
              <w:pStyle w:val="Tabletext"/>
              <w:rPr>
                <w:rFonts w:eastAsia="Calibri"/>
              </w:rPr>
            </w:pPr>
            <w:r w:rsidRPr="00540671">
              <w:rPr>
                <w:rFonts w:eastAsia="Calibri"/>
                <w:b/>
              </w:rPr>
              <w:t>INVESTMENT 5:</w:t>
            </w:r>
            <w:r w:rsidR="00451CC2" w:rsidRPr="00C91BE7">
              <w:rPr>
                <w:rFonts w:eastAsia="Calibri"/>
              </w:rPr>
              <w:t xml:space="preserve"> Upgrade of cloud computing infrastructure and services for the National Infrastructures for Research and Technology (GRNET)</w:t>
            </w:r>
          </w:p>
        </w:tc>
        <w:tc>
          <w:tcPr>
            <w:tcW w:w="1200" w:type="dxa"/>
            <w:tcMar>
              <w:top w:w="0" w:type="dxa"/>
              <w:left w:w="40" w:type="dxa"/>
              <w:bottom w:w="0" w:type="dxa"/>
              <w:right w:w="40" w:type="dxa"/>
            </w:tcMar>
            <w:vAlign w:val="center"/>
          </w:tcPr>
          <w:p w14:paraId="71321858" w14:textId="77777777" w:rsidR="00451CC2" w:rsidRPr="00C91BE7" w:rsidRDefault="00451CC2" w:rsidP="00C91BE7">
            <w:pPr>
              <w:pStyle w:val="Tabletext"/>
              <w:rPr>
                <w:rFonts w:eastAsia="Calibri"/>
              </w:rPr>
            </w:pPr>
            <w:r w:rsidRPr="00C91BE7">
              <w:rPr>
                <w:rFonts w:eastAsia="Calibri"/>
              </w:rPr>
              <w:t>RRF 16955</w:t>
            </w:r>
          </w:p>
          <w:p w14:paraId="29DCDDD5" w14:textId="77777777" w:rsidR="00451CC2" w:rsidRPr="00C91BE7" w:rsidRDefault="00451CC2" w:rsidP="00C91BE7">
            <w:pPr>
              <w:pStyle w:val="Tabletext"/>
              <w:rPr>
                <w:rFonts w:eastAsia="Calibri"/>
              </w:rPr>
            </w:pPr>
            <w:r w:rsidRPr="00C91BE7">
              <w:rPr>
                <w:rFonts w:eastAsia="Calibri"/>
              </w:rPr>
              <w:t xml:space="preserve"> </w:t>
            </w:r>
          </w:p>
        </w:tc>
        <w:tc>
          <w:tcPr>
            <w:tcW w:w="1545" w:type="dxa"/>
            <w:tcMar>
              <w:top w:w="0" w:type="dxa"/>
              <w:left w:w="40" w:type="dxa"/>
              <w:bottom w:w="0" w:type="dxa"/>
              <w:right w:w="40" w:type="dxa"/>
            </w:tcMar>
            <w:vAlign w:val="center"/>
          </w:tcPr>
          <w:p w14:paraId="19370395" w14:textId="77777777" w:rsidR="00451CC2" w:rsidRPr="00C91BE7" w:rsidRDefault="00451CC2" w:rsidP="00C91BE7">
            <w:pPr>
              <w:pStyle w:val="Tabletext"/>
              <w:rPr>
                <w:rFonts w:eastAsia="Calibri"/>
              </w:rPr>
            </w:pPr>
            <w:r w:rsidRPr="00C91BE7">
              <w:rPr>
                <w:rFonts w:eastAsia="Calibri"/>
              </w:rPr>
              <w:t>2020 CSR 3.9</w:t>
            </w:r>
          </w:p>
          <w:p w14:paraId="6E911E61" w14:textId="77777777" w:rsidR="00451CC2" w:rsidRPr="00C91BE7" w:rsidRDefault="00451CC2" w:rsidP="00C91BE7">
            <w:pPr>
              <w:pStyle w:val="Tabletext"/>
              <w:rPr>
                <w:rFonts w:eastAsia="Calibri"/>
              </w:rPr>
            </w:pPr>
            <w:r w:rsidRPr="00C91BE7">
              <w:rPr>
                <w:rFonts w:eastAsia="Calibri"/>
              </w:rPr>
              <w:t>2019 CSR 2.3</w:t>
            </w:r>
          </w:p>
          <w:p w14:paraId="5047525E" w14:textId="77777777" w:rsidR="00451CC2" w:rsidRPr="00C91BE7" w:rsidRDefault="00451CC2" w:rsidP="00C91BE7">
            <w:pPr>
              <w:pStyle w:val="Tabletext"/>
              <w:rPr>
                <w:rFonts w:eastAsia="Calibri"/>
              </w:rPr>
            </w:pPr>
            <w:r w:rsidRPr="00C91BE7">
              <w:rPr>
                <w:rFonts w:eastAsia="Calibri"/>
              </w:rPr>
              <w:t>2019 CSR 2.4</w:t>
            </w:r>
          </w:p>
        </w:tc>
        <w:tc>
          <w:tcPr>
            <w:tcW w:w="1770" w:type="dxa"/>
            <w:tcMar>
              <w:top w:w="0" w:type="dxa"/>
              <w:left w:w="40" w:type="dxa"/>
              <w:bottom w:w="0" w:type="dxa"/>
              <w:right w:w="40" w:type="dxa"/>
            </w:tcMar>
            <w:vAlign w:val="center"/>
          </w:tcPr>
          <w:p w14:paraId="5B2FC5FA" w14:textId="77777777" w:rsidR="00451CC2" w:rsidRPr="00C91BE7" w:rsidRDefault="00451CC2" w:rsidP="00C91BE7">
            <w:pPr>
              <w:pStyle w:val="Tabletext"/>
              <w:rPr>
                <w:rFonts w:eastAsia="Calibri"/>
              </w:rPr>
            </w:pPr>
            <w:r w:rsidRPr="00C91BE7">
              <w:rPr>
                <w:rFonts w:eastAsia="Calibri"/>
              </w:rPr>
              <w:t>Fair green &amp; digital transition</w:t>
            </w:r>
          </w:p>
        </w:tc>
        <w:tc>
          <w:tcPr>
            <w:tcW w:w="2025" w:type="dxa"/>
            <w:tcMar>
              <w:top w:w="0" w:type="dxa"/>
              <w:left w:w="100" w:type="dxa"/>
              <w:bottom w:w="0" w:type="dxa"/>
              <w:right w:w="100" w:type="dxa"/>
            </w:tcMar>
            <w:vAlign w:val="center"/>
          </w:tcPr>
          <w:p w14:paraId="52CADBE4" w14:textId="77777777" w:rsidR="00451CC2" w:rsidRPr="00C91BE7" w:rsidRDefault="00451CC2" w:rsidP="00C91BE7">
            <w:pPr>
              <w:pStyle w:val="Tabletext"/>
              <w:rPr>
                <w:rFonts w:eastAsia="Calibri"/>
              </w:rPr>
            </w:pPr>
            <w:r w:rsidRPr="00C91BE7">
              <w:rPr>
                <w:rFonts w:eastAsia="Calibri"/>
              </w:rPr>
              <w:t>On track</w:t>
            </w:r>
          </w:p>
          <w:p w14:paraId="4B628C06" w14:textId="77777777" w:rsidR="00451CC2" w:rsidRPr="00C91BE7" w:rsidRDefault="00451CC2" w:rsidP="00C91BE7">
            <w:pPr>
              <w:pStyle w:val="Tabletext"/>
              <w:rPr>
                <w:rFonts w:eastAsia="Calibri"/>
              </w:rPr>
            </w:pPr>
            <w:r w:rsidRPr="00C91BE7">
              <w:rPr>
                <w:rFonts w:eastAsia="Calibri"/>
              </w:rPr>
              <w:t xml:space="preserve"> </w:t>
            </w:r>
          </w:p>
          <w:p w14:paraId="1EA2A5FD" w14:textId="77777777" w:rsidR="00451CC2" w:rsidRPr="00C91BE7" w:rsidRDefault="00451CC2" w:rsidP="00C91BE7">
            <w:pPr>
              <w:pStyle w:val="Tabletext"/>
              <w:rPr>
                <w:rFonts w:eastAsia="Calibri"/>
              </w:rPr>
            </w:pPr>
            <w:r w:rsidRPr="00C91BE7">
              <w:rPr>
                <w:rFonts w:eastAsia="Calibri"/>
              </w:rPr>
              <w:t xml:space="preserve"> </w:t>
            </w:r>
          </w:p>
          <w:p w14:paraId="60C68C49" w14:textId="77777777" w:rsidR="00451CC2" w:rsidRPr="00C91BE7" w:rsidRDefault="00451CC2" w:rsidP="00C91BE7">
            <w:pPr>
              <w:pStyle w:val="Tabletext"/>
              <w:rPr>
                <w:rFonts w:eastAsia="Calibri"/>
              </w:rPr>
            </w:pPr>
            <w:r w:rsidRPr="00C91BE7">
              <w:rPr>
                <w:rFonts w:eastAsia="Calibri"/>
              </w:rPr>
              <w:t xml:space="preserve"> </w:t>
            </w:r>
          </w:p>
        </w:tc>
      </w:tr>
      <w:tr w:rsidR="00451CC2" w:rsidRPr="00C91BE7" w14:paraId="55CC312D" w14:textId="77777777" w:rsidTr="00425017">
        <w:trPr>
          <w:trHeight w:val="113"/>
          <w:jc w:val="center"/>
        </w:trPr>
        <w:tc>
          <w:tcPr>
            <w:tcW w:w="2820" w:type="dxa"/>
            <w:tcMar>
              <w:top w:w="0" w:type="dxa"/>
              <w:left w:w="40" w:type="dxa"/>
              <w:bottom w:w="0" w:type="dxa"/>
              <w:right w:w="40" w:type="dxa"/>
            </w:tcMar>
            <w:vAlign w:val="center"/>
          </w:tcPr>
          <w:p w14:paraId="0402DAAB" w14:textId="77777777" w:rsidR="00451CC2" w:rsidRPr="00C91BE7" w:rsidRDefault="00540671" w:rsidP="00C91BE7">
            <w:pPr>
              <w:pStyle w:val="Tabletext"/>
              <w:rPr>
                <w:rFonts w:eastAsia="Calibri"/>
              </w:rPr>
            </w:pPr>
            <w:r w:rsidRPr="00540671">
              <w:rPr>
                <w:rFonts w:eastAsia="Calibri"/>
                <w:b/>
              </w:rPr>
              <w:t>INVESTMENT 6:</w:t>
            </w:r>
            <w:r w:rsidR="00451CC2" w:rsidRPr="00C91BE7">
              <w:rPr>
                <w:rFonts w:eastAsia="Calibri"/>
              </w:rPr>
              <w:t xml:space="preserve"> Cloud Computing Infrastructure and Service</w:t>
            </w:r>
          </w:p>
        </w:tc>
        <w:tc>
          <w:tcPr>
            <w:tcW w:w="1200" w:type="dxa"/>
            <w:tcMar>
              <w:top w:w="0" w:type="dxa"/>
              <w:left w:w="40" w:type="dxa"/>
              <w:bottom w:w="0" w:type="dxa"/>
              <w:right w:w="40" w:type="dxa"/>
            </w:tcMar>
            <w:vAlign w:val="center"/>
          </w:tcPr>
          <w:p w14:paraId="7C8B95DA" w14:textId="77777777" w:rsidR="00451CC2" w:rsidRPr="00C91BE7" w:rsidRDefault="00451CC2" w:rsidP="00C91BE7">
            <w:pPr>
              <w:pStyle w:val="Tabletext"/>
              <w:rPr>
                <w:rFonts w:eastAsia="Calibri"/>
              </w:rPr>
            </w:pPr>
            <w:r w:rsidRPr="00C91BE7">
              <w:rPr>
                <w:rFonts w:eastAsia="Calibri"/>
              </w:rPr>
              <w:t>RRF 16853</w:t>
            </w:r>
          </w:p>
        </w:tc>
        <w:tc>
          <w:tcPr>
            <w:tcW w:w="1545" w:type="dxa"/>
            <w:tcMar>
              <w:top w:w="0" w:type="dxa"/>
              <w:left w:w="40" w:type="dxa"/>
              <w:bottom w:w="0" w:type="dxa"/>
              <w:right w:w="40" w:type="dxa"/>
            </w:tcMar>
            <w:vAlign w:val="center"/>
          </w:tcPr>
          <w:p w14:paraId="1200D431" w14:textId="77777777" w:rsidR="00451CC2" w:rsidRPr="00C91BE7" w:rsidRDefault="00451CC2" w:rsidP="00C91BE7">
            <w:pPr>
              <w:pStyle w:val="Tabletext"/>
              <w:rPr>
                <w:rFonts w:eastAsia="Calibri"/>
              </w:rPr>
            </w:pPr>
            <w:r w:rsidRPr="00C91BE7">
              <w:rPr>
                <w:rFonts w:eastAsia="Calibri"/>
              </w:rPr>
              <w:t>2020 CSR 3.9</w:t>
            </w:r>
          </w:p>
          <w:p w14:paraId="44D9295A" w14:textId="77777777" w:rsidR="00451CC2" w:rsidRPr="00C91BE7" w:rsidRDefault="00451CC2" w:rsidP="00C91BE7">
            <w:pPr>
              <w:pStyle w:val="Tabletext"/>
              <w:rPr>
                <w:rFonts w:eastAsia="Calibri"/>
              </w:rPr>
            </w:pPr>
            <w:r w:rsidRPr="00C91BE7">
              <w:rPr>
                <w:rFonts w:eastAsia="Calibri"/>
              </w:rPr>
              <w:t>2019 CSR 2.3</w:t>
            </w:r>
          </w:p>
        </w:tc>
        <w:tc>
          <w:tcPr>
            <w:tcW w:w="1770" w:type="dxa"/>
            <w:tcMar>
              <w:top w:w="0" w:type="dxa"/>
              <w:left w:w="40" w:type="dxa"/>
              <w:bottom w:w="0" w:type="dxa"/>
              <w:right w:w="40" w:type="dxa"/>
            </w:tcMar>
            <w:vAlign w:val="center"/>
          </w:tcPr>
          <w:p w14:paraId="5A143B75" w14:textId="77777777" w:rsidR="00451CC2" w:rsidRPr="00C91BE7" w:rsidRDefault="00451CC2" w:rsidP="00C91BE7">
            <w:pPr>
              <w:pStyle w:val="Tabletext"/>
              <w:rPr>
                <w:rFonts w:eastAsia="Calibri"/>
              </w:rPr>
            </w:pPr>
            <w:r w:rsidRPr="00C91BE7">
              <w:rPr>
                <w:rFonts w:eastAsia="Calibri"/>
              </w:rPr>
              <w:t>Fair green &amp; digital transition</w:t>
            </w:r>
          </w:p>
        </w:tc>
        <w:tc>
          <w:tcPr>
            <w:tcW w:w="2025" w:type="dxa"/>
            <w:tcMar>
              <w:top w:w="0" w:type="dxa"/>
              <w:left w:w="100" w:type="dxa"/>
              <w:bottom w:w="0" w:type="dxa"/>
              <w:right w:w="100" w:type="dxa"/>
            </w:tcMar>
            <w:vAlign w:val="center"/>
          </w:tcPr>
          <w:p w14:paraId="5539E892" w14:textId="77777777" w:rsidR="00451CC2" w:rsidRPr="00C91BE7" w:rsidRDefault="00451CC2" w:rsidP="00C91BE7">
            <w:pPr>
              <w:pStyle w:val="Tabletext"/>
              <w:rPr>
                <w:rFonts w:eastAsia="Calibri"/>
              </w:rPr>
            </w:pPr>
            <w:r w:rsidRPr="00C91BE7">
              <w:rPr>
                <w:rFonts w:eastAsia="Calibri"/>
              </w:rPr>
              <w:t>On track</w:t>
            </w:r>
          </w:p>
          <w:p w14:paraId="299C068D" w14:textId="77777777" w:rsidR="00451CC2" w:rsidRPr="00C91BE7" w:rsidRDefault="00451CC2" w:rsidP="00C91BE7">
            <w:pPr>
              <w:pStyle w:val="Tabletext"/>
              <w:rPr>
                <w:rFonts w:eastAsia="Calibri"/>
              </w:rPr>
            </w:pPr>
            <w:r w:rsidRPr="00C91BE7">
              <w:rPr>
                <w:rFonts w:eastAsia="Calibri"/>
              </w:rPr>
              <w:t xml:space="preserve"> </w:t>
            </w:r>
          </w:p>
          <w:p w14:paraId="61B41D12" w14:textId="77777777" w:rsidR="00451CC2" w:rsidRPr="00C91BE7" w:rsidRDefault="00451CC2" w:rsidP="00C91BE7">
            <w:pPr>
              <w:pStyle w:val="Tabletext"/>
              <w:rPr>
                <w:rFonts w:eastAsia="Calibri"/>
              </w:rPr>
            </w:pPr>
            <w:r w:rsidRPr="00C91BE7">
              <w:rPr>
                <w:rFonts w:eastAsia="Calibri"/>
              </w:rPr>
              <w:t xml:space="preserve"> </w:t>
            </w:r>
          </w:p>
        </w:tc>
      </w:tr>
      <w:tr w:rsidR="00451CC2" w:rsidRPr="00C91BE7" w14:paraId="11C8156D" w14:textId="77777777" w:rsidTr="00425017">
        <w:trPr>
          <w:trHeight w:val="113"/>
          <w:jc w:val="center"/>
        </w:trPr>
        <w:tc>
          <w:tcPr>
            <w:tcW w:w="2820" w:type="dxa"/>
            <w:tcMar>
              <w:top w:w="0" w:type="dxa"/>
              <w:left w:w="40" w:type="dxa"/>
              <w:bottom w:w="0" w:type="dxa"/>
              <w:right w:w="40" w:type="dxa"/>
            </w:tcMar>
            <w:vAlign w:val="center"/>
          </w:tcPr>
          <w:p w14:paraId="15876BEF" w14:textId="77777777" w:rsidR="00451CC2" w:rsidRPr="00C91BE7" w:rsidRDefault="00540671" w:rsidP="00C91BE7">
            <w:pPr>
              <w:pStyle w:val="Tabletext"/>
              <w:rPr>
                <w:rFonts w:eastAsia="Calibri"/>
              </w:rPr>
            </w:pPr>
            <w:r w:rsidRPr="00540671">
              <w:rPr>
                <w:rFonts w:eastAsia="Calibri"/>
                <w:b/>
              </w:rPr>
              <w:t>INVESTMENT 7:</w:t>
            </w:r>
            <w:r w:rsidR="00451CC2" w:rsidRPr="00C91BE7">
              <w:rPr>
                <w:rFonts w:eastAsia="Calibri"/>
              </w:rPr>
              <w:t xml:space="preserve"> National Public Sector Network (</w:t>
            </w:r>
            <w:proofErr w:type="spellStart"/>
            <w:r w:rsidR="00451CC2" w:rsidRPr="00C91BE7">
              <w:rPr>
                <w:rFonts w:eastAsia="Calibri"/>
              </w:rPr>
              <w:t>Syzefxis</w:t>
            </w:r>
            <w:proofErr w:type="spellEnd"/>
            <w:r w:rsidR="00451CC2" w:rsidRPr="00C91BE7">
              <w:rPr>
                <w:rFonts w:eastAsia="Calibri"/>
              </w:rPr>
              <w:t xml:space="preserve"> II)</w:t>
            </w:r>
          </w:p>
        </w:tc>
        <w:tc>
          <w:tcPr>
            <w:tcW w:w="1200" w:type="dxa"/>
            <w:tcMar>
              <w:top w:w="0" w:type="dxa"/>
              <w:left w:w="40" w:type="dxa"/>
              <w:bottom w:w="0" w:type="dxa"/>
              <w:right w:w="40" w:type="dxa"/>
            </w:tcMar>
            <w:vAlign w:val="center"/>
          </w:tcPr>
          <w:p w14:paraId="07446879" w14:textId="77777777" w:rsidR="00451CC2" w:rsidRPr="00C91BE7" w:rsidRDefault="00451CC2" w:rsidP="00C91BE7">
            <w:pPr>
              <w:pStyle w:val="Tabletext"/>
              <w:rPr>
                <w:rFonts w:eastAsia="Calibri"/>
              </w:rPr>
            </w:pPr>
            <w:r w:rsidRPr="00C91BE7">
              <w:rPr>
                <w:rFonts w:eastAsia="Calibri"/>
              </w:rPr>
              <w:t>RRF 16956</w:t>
            </w:r>
          </w:p>
          <w:p w14:paraId="6668A9B8" w14:textId="77777777" w:rsidR="00451CC2" w:rsidRPr="00C91BE7" w:rsidRDefault="00451CC2" w:rsidP="00C91BE7">
            <w:pPr>
              <w:pStyle w:val="Tabletext"/>
              <w:rPr>
                <w:rFonts w:eastAsia="Calibri"/>
              </w:rPr>
            </w:pPr>
            <w:r w:rsidRPr="00C91BE7">
              <w:rPr>
                <w:rFonts w:eastAsia="Calibri"/>
              </w:rPr>
              <w:t>MFF</w:t>
            </w:r>
          </w:p>
        </w:tc>
        <w:tc>
          <w:tcPr>
            <w:tcW w:w="1545" w:type="dxa"/>
            <w:tcMar>
              <w:top w:w="0" w:type="dxa"/>
              <w:left w:w="40" w:type="dxa"/>
              <w:bottom w:w="0" w:type="dxa"/>
              <w:right w:w="40" w:type="dxa"/>
            </w:tcMar>
            <w:vAlign w:val="center"/>
          </w:tcPr>
          <w:p w14:paraId="5843E7C9" w14:textId="77777777" w:rsidR="00451CC2" w:rsidRPr="00C91BE7" w:rsidRDefault="00451CC2" w:rsidP="00C91BE7">
            <w:pPr>
              <w:pStyle w:val="Tabletext"/>
              <w:rPr>
                <w:rFonts w:eastAsia="Calibri"/>
              </w:rPr>
            </w:pPr>
            <w:r w:rsidRPr="00C91BE7">
              <w:rPr>
                <w:rFonts w:eastAsia="Calibri"/>
              </w:rPr>
              <w:t>2020 CSR 3.9</w:t>
            </w:r>
          </w:p>
          <w:p w14:paraId="401FF218" w14:textId="77777777" w:rsidR="00451CC2" w:rsidRPr="00C91BE7" w:rsidRDefault="00451CC2" w:rsidP="00C91BE7">
            <w:pPr>
              <w:pStyle w:val="Tabletext"/>
              <w:rPr>
                <w:rFonts w:eastAsia="Calibri"/>
              </w:rPr>
            </w:pPr>
            <w:r w:rsidRPr="00C91BE7">
              <w:rPr>
                <w:rFonts w:eastAsia="Calibri"/>
              </w:rPr>
              <w:t>2019 CSR 2.3</w:t>
            </w:r>
          </w:p>
        </w:tc>
        <w:tc>
          <w:tcPr>
            <w:tcW w:w="1770" w:type="dxa"/>
            <w:tcMar>
              <w:top w:w="0" w:type="dxa"/>
              <w:left w:w="40" w:type="dxa"/>
              <w:bottom w:w="0" w:type="dxa"/>
              <w:right w:w="40" w:type="dxa"/>
            </w:tcMar>
            <w:vAlign w:val="center"/>
          </w:tcPr>
          <w:p w14:paraId="24976806" w14:textId="77777777" w:rsidR="00451CC2" w:rsidRPr="00C91BE7" w:rsidRDefault="00451CC2" w:rsidP="00C91BE7">
            <w:pPr>
              <w:pStyle w:val="Tabletext"/>
              <w:rPr>
                <w:rFonts w:eastAsia="Calibri"/>
              </w:rPr>
            </w:pPr>
            <w:r w:rsidRPr="00C91BE7">
              <w:rPr>
                <w:rFonts w:eastAsia="Calibri"/>
              </w:rPr>
              <w:t>Fair green &amp; digital transition</w:t>
            </w:r>
          </w:p>
        </w:tc>
        <w:tc>
          <w:tcPr>
            <w:tcW w:w="2025" w:type="dxa"/>
            <w:tcMar>
              <w:top w:w="0" w:type="dxa"/>
              <w:left w:w="100" w:type="dxa"/>
              <w:bottom w:w="0" w:type="dxa"/>
              <w:right w:w="100" w:type="dxa"/>
            </w:tcMar>
            <w:vAlign w:val="center"/>
          </w:tcPr>
          <w:p w14:paraId="5F7E77D5" w14:textId="77777777" w:rsidR="00451CC2" w:rsidRPr="00C91BE7" w:rsidRDefault="00451CC2" w:rsidP="00C91BE7">
            <w:pPr>
              <w:pStyle w:val="Tabletext"/>
              <w:rPr>
                <w:rFonts w:eastAsia="Calibri"/>
              </w:rPr>
            </w:pPr>
            <w:r w:rsidRPr="00C91BE7">
              <w:rPr>
                <w:rFonts w:eastAsia="Calibri"/>
              </w:rPr>
              <w:t>On track</w:t>
            </w:r>
          </w:p>
        </w:tc>
      </w:tr>
      <w:tr w:rsidR="00451CC2" w:rsidRPr="00C91BE7" w14:paraId="654ABA8F" w14:textId="77777777" w:rsidTr="00425017">
        <w:trPr>
          <w:trHeight w:val="113"/>
          <w:jc w:val="center"/>
        </w:trPr>
        <w:tc>
          <w:tcPr>
            <w:tcW w:w="2820" w:type="dxa"/>
            <w:tcMar>
              <w:top w:w="0" w:type="dxa"/>
              <w:left w:w="40" w:type="dxa"/>
              <w:bottom w:w="0" w:type="dxa"/>
              <w:right w:w="40" w:type="dxa"/>
            </w:tcMar>
            <w:vAlign w:val="center"/>
          </w:tcPr>
          <w:p w14:paraId="43EAB16B" w14:textId="77777777" w:rsidR="00451CC2" w:rsidRPr="00C91BE7" w:rsidRDefault="00540671" w:rsidP="00C91BE7">
            <w:pPr>
              <w:pStyle w:val="Tabletext"/>
              <w:rPr>
                <w:rFonts w:eastAsia="Calibri"/>
                <w:highlight w:val="white"/>
              </w:rPr>
            </w:pPr>
            <w:r w:rsidRPr="00540671">
              <w:rPr>
                <w:rFonts w:eastAsia="Calibri"/>
                <w:b/>
              </w:rPr>
              <w:t>INVESTMENT 8:</w:t>
            </w:r>
            <w:r w:rsidR="00451CC2" w:rsidRPr="00C91BE7">
              <w:rPr>
                <w:rFonts w:eastAsia="Calibri"/>
              </w:rPr>
              <w:t xml:space="preserve">  </w:t>
            </w:r>
            <w:r w:rsidR="00451CC2" w:rsidRPr="00C91BE7">
              <w:rPr>
                <w:rFonts w:eastAsia="Calibri"/>
                <w:highlight w:val="white"/>
              </w:rPr>
              <w:t>Digitalisation of archives</w:t>
            </w:r>
          </w:p>
        </w:tc>
        <w:tc>
          <w:tcPr>
            <w:tcW w:w="1200" w:type="dxa"/>
            <w:tcMar>
              <w:top w:w="0" w:type="dxa"/>
              <w:left w:w="40" w:type="dxa"/>
              <w:bottom w:w="0" w:type="dxa"/>
              <w:right w:w="40" w:type="dxa"/>
            </w:tcMar>
            <w:vAlign w:val="center"/>
          </w:tcPr>
          <w:p w14:paraId="1DA51FE7" w14:textId="77777777" w:rsidR="00451CC2" w:rsidRPr="00C91BE7" w:rsidRDefault="00451CC2" w:rsidP="00C91BE7">
            <w:pPr>
              <w:pStyle w:val="Tabletext"/>
              <w:rPr>
                <w:rFonts w:eastAsia="Calibri"/>
              </w:rPr>
            </w:pPr>
            <w:r w:rsidRPr="00C91BE7">
              <w:rPr>
                <w:rFonts w:eastAsia="Calibri"/>
              </w:rPr>
              <w:t>RRF 16778</w:t>
            </w:r>
          </w:p>
        </w:tc>
        <w:tc>
          <w:tcPr>
            <w:tcW w:w="1545" w:type="dxa"/>
            <w:tcMar>
              <w:top w:w="0" w:type="dxa"/>
              <w:left w:w="40" w:type="dxa"/>
              <w:bottom w:w="0" w:type="dxa"/>
              <w:right w:w="40" w:type="dxa"/>
            </w:tcMar>
            <w:vAlign w:val="center"/>
          </w:tcPr>
          <w:p w14:paraId="62C5A613" w14:textId="77777777" w:rsidR="00451CC2" w:rsidRPr="00C91BE7" w:rsidRDefault="00451CC2" w:rsidP="00C91BE7">
            <w:pPr>
              <w:pStyle w:val="Tabletext"/>
              <w:rPr>
                <w:rFonts w:eastAsia="Calibri"/>
              </w:rPr>
            </w:pPr>
            <w:r w:rsidRPr="00C91BE7">
              <w:rPr>
                <w:rFonts w:eastAsia="Calibri"/>
              </w:rPr>
              <w:t>2025.CSR 3.1</w:t>
            </w:r>
          </w:p>
          <w:p w14:paraId="538119D7" w14:textId="77777777" w:rsidR="00451CC2" w:rsidRPr="00C91BE7" w:rsidRDefault="00451CC2" w:rsidP="00C91BE7">
            <w:pPr>
              <w:pStyle w:val="Tabletext"/>
              <w:rPr>
                <w:rFonts w:eastAsia="Calibri"/>
              </w:rPr>
            </w:pPr>
            <w:r w:rsidRPr="00C91BE7">
              <w:rPr>
                <w:rFonts w:eastAsia="Calibri"/>
              </w:rPr>
              <w:t>2023 CSR 3.2</w:t>
            </w:r>
          </w:p>
          <w:p w14:paraId="1AC93F60" w14:textId="77777777" w:rsidR="00451CC2" w:rsidRPr="00C91BE7" w:rsidRDefault="00451CC2" w:rsidP="00C91BE7">
            <w:pPr>
              <w:pStyle w:val="Tabletext"/>
              <w:rPr>
                <w:rFonts w:eastAsia="Calibri"/>
              </w:rPr>
            </w:pPr>
            <w:r w:rsidRPr="00C91BE7">
              <w:rPr>
                <w:rFonts w:eastAsia="Calibri"/>
              </w:rPr>
              <w:t>2020 CSR 3.9</w:t>
            </w:r>
          </w:p>
          <w:p w14:paraId="3590F96D" w14:textId="77777777" w:rsidR="00451CC2" w:rsidRPr="00C91BE7" w:rsidRDefault="00451CC2" w:rsidP="00C91BE7">
            <w:pPr>
              <w:pStyle w:val="Tabletext"/>
              <w:rPr>
                <w:rFonts w:eastAsia="Calibri"/>
              </w:rPr>
            </w:pPr>
            <w:r w:rsidRPr="00C91BE7">
              <w:rPr>
                <w:rFonts w:eastAsia="Calibri"/>
              </w:rPr>
              <w:t>2019 CSR 2.3</w:t>
            </w:r>
          </w:p>
        </w:tc>
        <w:tc>
          <w:tcPr>
            <w:tcW w:w="1770" w:type="dxa"/>
            <w:tcMar>
              <w:top w:w="0" w:type="dxa"/>
              <w:left w:w="40" w:type="dxa"/>
              <w:bottom w:w="0" w:type="dxa"/>
              <w:right w:w="40" w:type="dxa"/>
            </w:tcMar>
            <w:vAlign w:val="center"/>
          </w:tcPr>
          <w:p w14:paraId="15BDA33E" w14:textId="77777777" w:rsidR="00451CC2" w:rsidRPr="00C91BE7" w:rsidRDefault="00451CC2" w:rsidP="00C91BE7">
            <w:pPr>
              <w:pStyle w:val="Tabletext"/>
              <w:rPr>
                <w:rFonts w:eastAsia="Calibri"/>
              </w:rPr>
            </w:pPr>
            <w:r w:rsidRPr="00C91BE7">
              <w:rPr>
                <w:rFonts w:eastAsia="Calibri"/>
              </w:rPr>
              <w:t>Fair green &amp; digital transition</w:t>
            </w:r>
          </w:p>
        </w:tc>
        <w:tc>
          <w:tcPr>
            <w:tcW w:w="2025" w:type="dxa"/>
            <w:tcMar>
              <w:top w:w="0" w:type="dxa"/>
              <w:left w:w="100" w:type="dxa"/>
              <w:bottom w:w="0" w:type="dxa"/>
              <w:right w:w="100" w:type="dxa"/>
            </w:tcMar>
            <w:vAlign w:val="center"/>
          </w:tcPr>
          <w:p w14:paraId="272C306E" w14:textId="77777777" w:rsidR="00451CC2" w:rsidRPr="00C91BE7" w:rsidRDefault="00451CC2" w:rsidP="00C91BE7">
            <w:pPr>
              <w:pStyle w:val="Tabletext"/>
              <w:rPr>
                <w:rFonts w:eastAsia="Calibri"/>
              </w:rPr>
            </w:pPr>
            <w:r w:rsidRPr="00C91BE7">
              <w:rPr>
                <w:rFonts w:eastAsia="Calibri"/>
              </w:rPr>
              <w:t>On track</w:t>
            </w:r>
          </w:p>
        </w:tc>
      </w:tr>
      <w:tr w:rsidR="00451CC2" w:rsidRPr="00C91BE7" w14:paraId="5F9B02E8" w14:textId="77777777" w:rsidTr="00425017">
        <w:trPr>
          <w:trHeight w:val="113"/>
          <w:jc w:val="center"/>
        </w:trPr>
        <w:tc>
          <w:tcPr>
            <w:tcW w:w="2820" w:type="dxa"/>
            <w:tcMar>
              <w:top w:w="0" w:type="dxa"/>
              <w:left w:w="40" w:type="dxa"/>
              <w:bottom w:w="0" w:type="dxa"/>
              <w:right w:w="40" w:type="dxa"/>
            </w:tcMar>
            <w:vAlign w:val="center"/>
          </w:tcPr>
          <w:p w14:paraId="7EE3EE8A" w14:textId="77777777" w:rsidR="00451CC2" w:rsidRPr="00C91BE7" w:rsidRDefault="00540671" w:rsidP="00C91BE7">
            <w:pPr>
              <w:pStyle w:val="Tabletext"/>
              <w:rPr>
                <w:rFonts w:eastAsia="Calibri"/>
              </w:rPr>
            </w:pPr>
            <w:r w:rsidRPr="00540671">
              <w:rPr>
                <w:rFonts w:eastAsia="Calibri"/>
                <w:b/>
              </w:rPr>
              <w:t>INVESTMENT 9:</w:t>
            </w:r>
            <w:r w:rsidR="00451CC2" w:rsidRPr="00C91BE7">
              <w:rPr>
                <w:rFonts w:eastAsia="Calibri"/>
              </w:rPr>
              <w:t xml:space="preserve"> Vehicle Registry Clearance</w:t>
            </w:r>
          </w:p>
        </w:tc>
        <w:tc>
          <w:tcPr>
            <w:tcW w:w="1200" w:type="dxa"/>
            <w:tcMar>
              <w:top w:w="0" w:type="dxa"/>
              <w:left w:w="40" w:type="dxa"/>
              <w:bottom w:w="0" w:type="dxa"/>
              <w:right w:w="40" w:type="dxa"/>
            </w:tcMar>
            <w:vAlign w:val="center"/>
          </w:tcPr>
          <w:p w14:paraId="0943283C" w14:textId="77777777" w:rsidR="00451CC2" w:rsidRPr="00C91BE7" w:rsidRDefault="00451CC2" w:rsidP="00C91BE7">
            <w:pPr>
              <w:pStyle w:val="Tabletext"/>
              <w:rPr>
                <w:rFonts w:eastAsia="Calibri"/>
              </w:rPr>
            </w:pPr>
            <w:r w:rsidRPr="00C91BE7">
              <w:rPr>
                <w:rFonts w:eastAsia="Calibri"/>
              </w:rPr>
              <w:t>-</w:t>
            </w:r>
          </w:p>
        </w:tc>
        <w:tc>
          <w:tcPr>
            <w:tcW w:w="1545" w:type="dxa"/>
            <w:tcMar>
              <w:top w:w="0" w:type="dxa"/>
              <w:left w:w="40" w:type="dxa"/>
              <w:bottom w:w="0" w:type="dxa"/>
              <w:right w:w="40" w:type="dxa"/>
            </w:tcMar>
            <w:vAlign w:val="center"/>
          </w:tcPr>
          <w:p w14:paraId="706B4243" w14:textId="77777777" w:rsidR="00451CC2" w:rsidRPr="00C91BE7" w:rsidRDefault="00451CC2" w:rsidP="00C91BE7">
            <w:pPr>
              <w:pStyle w:val="Tabletext"/>
              <w:rPr>
                <w:rFonts w:eastAsia="Calibri"/>
              </w:rPr>
            </w:pPr>
            <w:r w:rsidRPr="00C91BE7">
              <w:rPr>
                <w:rFonts w:eastAsia="Calibri"/>
              </w:rPr>
              <w:t>2020 CSR 3.4</w:t>
            </w:r>
          </w:p>
          <w:p w14:paraId="5DD9F495" w14:textId="77777777" w:rsidR="00451CC2" w:rsidRPr="00C91BE7" w:rsidRDefault="00451CC2" w:rsidP="00C91BE7">
            <w:pPr>
              <w:pStyle w:val="Tabletext"/>
              <w:rPr>
                <w:rFonts w:eastAsia="Calibri"/>
              </w:rPr>
            </w:pPr>
            <w:r w:rsidRPr="00C91BE7">
              <w:rPr>
                <w:rFonts w:eastAsia="Calibri"/>
              </w:rPr>
              <w:t>2020 CSR 3.9</w:t>
            </w:r>
          </w:p>
        </w:tc>
        <w:tc>
          <w:tcPr>
            <w:tcW w:w="1770" w:type="dxa"/>
            <w:tcMar>
              <w:top w:w="0" w:type="dxa"/>
              <w:left w:w="40" w:type="dxa"/>
              <w:bottom w:w="0" w:type="dxa"/>
              <w:right w:w="40" w:type="dxa"/>
            </w:tcMar>
            <w:vAlign w:val="center"/>
          </w:tcPr>
          <w:p w14:paraId="0D88D5DE" w14:textId="77777777" w:rsidR="00451CC2" w:rsidRPr="00C91BE7" w:rsidRDefault="00451CC2" w:rsidP="00C91BE7">
            <w:pPr>
              <w:pStyle w:val="Tabletext"/>
              <w:rPr>
                <w:rFonts w:eastAsia="Calibri"/>
              </w:rPr>
            </w:pPr>
            <w:r w:rsidRPr="00C91BE7">
              <w:rPr>
                <w:rFonts w:eastAsia="Calibri"/>
              </w:rPr>
              <w:t>Fair green &amp; digital transition</w:t>
            </w:r>
          </w:p>
        </w:tc>
        <w:tc>
          <w:tcPr>
            <w:tcW w:w="2025" w:type="dxa"/>
            <w:tcMar>
              <w:top w:w="0" w:type="dxa"/>
              <w:left w:w="100" w:type="dxa"/>
              <w:bottom w:w="0" w:type="dxa"/>
              <w:right w:w="100" w:type="dxa"/>
            </w:tcMar>
            <w:vAlign w:val="center"/>
          </w:tcPr>
          <w:p w14:paraId="5581620A" w14:textId="77777777" w:rsidR="00451CC2" w:rsidRPr="00C91BE7" w:rsidRDefault="00451CC2" w:rsidP="00C91BE7">
            <w:pPr>
              <w:pStyle w:val="Tabletext"/>
              <w:rPr>
                <w:rFonts w:eastAsia="Calibri"/>
              </w:rPr>
            </w:pPr>
            <w:r w:rsidRPr="00C91BE7">
              <w:rPr>
                <w:rFonts w:eastAsia="Calibri"/>
              </w:rPr>
              <w:t>On track</w:t>
            </w:r>
          </w:p>
        </w:tc>
      </w:tr>
      <w:tr w:rsidR="00451CC2" w:rsidRPr="00C91BE7" w14:paraId="32BDE5E0" w14:textId="77777777" w:rsidTr="00425017">
        <w:trPr>
          <w:trHeight w:val="113"/>
          <w:jc w:val="center"/>
        </w:trPr>
        <w:tc>
          <w:tcPr>
            <w:tcW w:w="2820" w:type="dxa"/>
            <w:tcMar>
              <w:top w:w="0" w:type="dxa"/>
              <w:left w:w="40" w:type="dxa"/>
              <w:bottom w:w="0" w:type="dxa"/>
              <w:right w:w="40" w:type="dxa"/>
            </w:tcMar>
            <w:vAlign w:val="center"/>
          </w:tcPr>
          <w:p w14:paraId="58CB5FFD" w14:textId="77777777" w:rsidR="00451CC2" w:rsidRPr="00C91BE7" w:rsidRDefault="00540671" w:rsidP="00C91BE7">
            <w:pPr>
              <w:pStyle w:val="Tabletext"/>
              <w:rPr>
                <w:rFonts w:eastAsia="Calibri"/>
              </w:rPr>
            </w:pPr>
            <w:r w:rsidRPr="00540671">
              <w:rPr>
                <w:rFonts w:eastAsia="Calibri"/>
                <w:b/>
              </w:rPr>
              <w:t>INVESTMENT 10:</w:t>
            </w:r>
            <w:r w:rsidR="00451CC2" w:rsidRPr="00C91BE7">
              <w:rPr>
                <w:rFonts w:eastAsia="Calibri"/>
              </w:rPr>
              <w:t xml:space="preserve"> Digital certificates of traffic offenses</w:t>
            </w:r>
          </w:p>
        </w:tc>
        <w:tc>
          <w:tcPr>
            <w:tcW w:w="1200" w:type="dxa"/>
            <w:tcMar>
              <w:top w:w="0" w:type="dxa"/>
              <w:left w:w="40" w:type="dxa"/>
              <w:bottom w:w="0" w:type="dxa"/>
              <w:right w:w="40" w:type="dxa"/>
            </w:tcMar>
            <w:vAlign w:val="center"/>
          </w:tcPr>
          <w:p w14:paraId="0D2E415C" w14:textId="77777777" w:rsidR="00451CC2" w:rsidRPr="00C91BE7" w:rsidRDefault="00451CC2" w:rsidP="00C91BE7">
            <w:pPr>
              <w:pStyle w:val="Tabletext"/>
              <w:rPr>
                <w:rFonts w:eastAsia="Calibri"/>
              </w:rPr>
            </w:pPr>
            <w:r w:rsidRPr="00C91BE7">
              <w:rPr>
                <w:rFonts w:eastAsia="Calibri"/>
              </w:rPr>
              <w:t>-</w:t>
            </w:r>
          </w:p>
        </w:tc>
        <w:tc>
          <w:tcPr>
            <w:tcW w:w="1545" w:type="dxa"/>
            <w:tcMar>
              <w:top w:w="0" w:type="dxa"/>
              <w:left w:w="40" w:type="dxa"/>
              <w:bottom w:w="0" w:type="dxa"/>
              <w:right w:w="40" w:type="dxa"/>
            </w:tcMar>
            <w:vAlign w:val="center"/>
          </w:tcPr>
          <w:p w14:paraId="428E0EBC" w14:textId="77777777" w:rsidR="00451CC2" w:rsidRPr="00C91BE7" w:rsidRDefault="00451CC2" w:rsidP="00C91BE7">
            <w:pPr>
              <w:pStyle w:val="Tabletext"/>
              <w:rPr>
                <w:rFonts w:eastAsia="Calibri"/>
              </w:rPr>
            </w:pPr>
            <w:r w:rsidRPr="00C91BE7">
              <w:rPr>
                <w:rFonts w:eastAsia="Calibri"/>
              </w:rPr>
              <w:t>2020 CSR 3.4</w:t>
            </w:r>
          </w:p>
          <w:p w14:paraId="5ED8117F" w14:textId="77777777" w:rsidR="00451CC2" w:rsidRPr="00C91BE7" w:rsidRDefault="00451CC2" w:rsidP="00C91BE7">
            <w:pPr>
              <w:pStyle w:val="Tabletext"/>
              <w:rPr>
                <w:rFonts w:eastAsia="Calibri"/>
              </w:rPr>
            </w:pPr>
            <w:r w:rsidRPr="00C91BE7">
              <w:rPr>
                <w:rFonts w:eastAsia="Calibri"/>
              </w:rPr>
              <w:t>2020 CSR 3.9</w:t>
            </w:r>
          </w:p>
        </w:tc>
        <w:tc>
          <w:tcPr>
            <w:tcW w:w="1770" w:type="dxa"/>
            <w:tcMar>
              <w:top w:w="0" w:type="dxa"/>
              <w:left w:w="40" w:type="dxa"/>
              <w:bottom w:w="0" w:type="dxa"/>
              <w:right w:w="40" w:type="dxa"/>
            </w:tcMar>
            <w:vAlign w:val="center"/>
          </w:tcPr>
          <w:p w14:paraId="22240EC1" w14:textId="77777777" w:rsidR="00451CC2" w:rsidRPr="00C91BE7" w:rsidRDefault="00451CC2" w:rsidP="00C91BE7">
            <w:pPr>
              <w:pStyle w:val="Tabletext"/>
              <w:rPr>
                <w:rFonts w:eastAsia="Calibri"/>
              </w:rPr>
            </w:pPr>
            <w:r w:rsidRPr="00C91BE7">
              <w:rPr>
                <w:rFonts w:eastAsia="Calibri"/>
              </w:rPr>
              <w:t>Fair green &amp; digital transition</w:t>
            </w:r>
          </w:p>
        </w:tc>
        <w:tc>
          <w:tcPr>
            <w:tcW w:w="2025" w:type="dxa"/>
            <w:tcMar>
              <w:top w:w="0" w:type="dxa"/>
              <w:left w:w="100" w:type="dxa"/>
              <w:bottom w:w="0" w:type="dxa"/>
              <w:right w:w="100" w:type="dxa"/>
            </w:tcMar>
            <w:vAlign w:val="center"/>
          </w:tcPr>
          <w:p w14:paraId="5C56BEE1" w14:textId="77777777" w:rsidR="00451CC2" w:rsidRPr="00C91BE7" w:rsidRDefault="00451CC2" w:rsidP="00C91BE7">
            <w:pPr>
              <w:pStyle w:val="Tabletext"/>
              <w:rPr>
                <w:rFonts w:eastAsia="Calibri"/>
              </w:rPr>
            </w:pPr>
            <w:r w:rsidRPr="00C91BE7">
              <w:rPr>
                <w:rFonts w:eastAsia="Calibri"/>
              </w:rPr>
              <w:t>On track</w:t>
            </w:r>
          </w:p>
          <w:p w14:paraId="06E5A37F" w14:textId="77777777" w:rsidR="00451CC2" w:rsidRPr="00C91BE7" w:rsidRDefault="00451CC2" w:rsidP="00C91BE7">
            <w:pPr>
              <w:pStyle w:val="Tabletext"/>
              <w:rPr>
                <w:rFonts w:eastAsia="Calibri"/>
              </w:rPr>
            </w:pPr>
            <w:r w:rsidRPr="00C91BE7">
              <w:rPr>
                <w:rFonts w:eastAsia="Calibri"/>
              </w:rPr>
              <w:t xml:space="preserve"> </w:t>
            </w:r>
          </w:p>
        </w:tc>
      </w:tr>
    </w:tbl>
    <w:p w14:paraId="3A2898B1" w14:textId="77777777" w:rsidR="00451CC2" w:rsidRPr="00A746D8" w:rsidRDefault="00451CC2" w:rsidP="00353C6F">
      <w:pPr>
        <w:spacing w:before="240"/>
        <w:rPr>
          <w:rFonts w:eastAsia="Calibri"/>
          <w:highlight w:val="white"/>
          <w:lang w:val="en-US"/>
        </w:rPr>
      </w:pPr>
      <w:r w:rsidRPr="00A746D8">
        <w:rPr>
          <w:rFonts w:eastAsia="Calibri"/>
          <w:highlight w:val="white"/>
          <w:lang w:val="en-US"/>
        </w:rPr>
        <w:t xml:space="preserve">The </w:t>
      </w:r>
      <w:r w:rsidRPr="00A746D8">
        <w:rPr>
          <w:rFonts w:eastAsia="Calibri"/>
          <w:b/>
          <w:bCs/>
          <w:highlight w:val="white"/>
          <w:lang w:val="en-US"/>
        </w:rPr>
        <w:t>Personal Identification Number (PIN)</w:t>
      </w:r>
      <w:r w:rsidRPr="00A746D8">
        <w:rPr>
          <w:rFonts w:eastAsia="Calibri"/>
          <w:highlight w:val="white"/>
          <w:lang w:val="en-US"/>
        </w:rPr>
        <w:t xml:space="preserve"> is a unified identifier to enable consistent identity verification across public services and support interoperability between public sector information systems. Following the adoption of Law 5188/2025 and the issuance of Presidential Decree 40/2025, the PIN has been deployed through the </w:t>
      </w:r>
      <w:proofErr w:type="spellStart"/>
      <w:r w:rsidRPr="00A746D8">
        <w:rPr>
          <w:rFonts w:eastAsia="Calibri"/>
          <w:highlight w:val="white"/>
          <w:lang w:val="en-US"/>
        </w:rPr>
        <w:t>myInfo</w:t>
      </w:r>
      <w:proofErr w:type="spellEnd"/>
      <w:r w:rsidRPr="00A746D8">
        <w:rPr>
          <w:rFonts w:eastAsia="Calibri"/>
          <w:highlight w:val="white"/>
          <w:lang w:val="en-US"/>
        </w:rPr>
        <w:t xml:space="preserve"> digital platform and integrated into new identity cards. Implementation is progressing steadily: the PIN has already been assigned to over 9.3 million citizens and incorporated into more than 600,000 new identity cards. The transition towards its full use as a single identification number across public administration is ongoing.</w:t>
      </w:r>
    </w:p>
    <w:p w14:paraId="4276A1BB" w14:textId="77777777" w:rsidR="00451CC2" w:rsidRPr="00A746D8" w:rsidRDefault="00451CC2" w:rsidP="00353C6F">
      <w:pPr>
        <w:rPr>
          <w:rFonts w:eastAsia="Calibri"/>
          <w:highlight w:val="white"/>
          <w:lang w:val="en-US"/>
        </w:rPr>
      </w:pPr>
      <w:r w:rsidRPr="00A746D8">
        <w:rPr>
          <w:rFonts w:eastAsia="Calibri"/>
          <w:highlight w:val="white"/>
          <w:lang w:val="en-US"/>
        </w:rPr>
        <w:t xml:space="preserve">The </w:t>
      </w:r>
      <w:r w:rsidRPr="00A746D8">
        <w:rPr>
          <w:rFonts w:eastAsia="Calibri"/>
          <w:b/>
          <w:bCs/>
          <w:highlight w:val="white"/>
          <w:lang w:val="en-US"/>
        </w:rPr>
        <w:t>RRF</w:t>
      </w:r>
      <w:r w:rsidRPr="00A746D8">
        <w:rPr>
          <w:rFonts w:eastAsia="Calibri"/>
          <w:highlight w:val="white"/>
          <w:lang w:val="en-US"/>
        </w:rPr>
        <w:t xml:space="preserve"> </w:t>
      </w:r>
      <w:r w:rsidRPr="00A746D8">
        <w:rPr>
          <w:rFonts w:eastAsia="Calibri"/>
          <w:b/>
          <w:highlight w:val="white"/>
          <w:lang w:val="en-US"/>
        </w:rPr>
        <w:t>reform</w:t>
      </w:r>
      <w:r w:rsidRPr="00A746D8">
        <w:rPr>
          <w:rFonts w:eastAsia="Calibri"/>
          <w:b/>
          <w:bCs/>
          <w:highlight w:val="white"/>
          <w:lang w:val="en-US"/>
        </w:rPr>
        <w:t xml:space="preserve"> “Hellenic </w:t>
      </w:r>
      <w:proofErr w:type="spellStart"/>
      <w:r w:rsidRPr="00A746D8">
        <w:rPr>
          <w:rFonts w:eastAsia="Calibri"/>
          <w:b/>
          <w:bCs/>
          <w:highlight w:val="white"/>
          <w:lang w:val="en-US"/>
        </w:rPr>
        <w:t>Cadastre</w:t>
      </w:r>
      <w:proofErr w:type="spellEnd"/>
      <w:r w:rsidRPr="00A746D8">
        <w:rPr>
          <w:rFonts w:eastAsia="Calibri"/>
          <w:b/>
          <w:bCs/>
          <w:highlight w:val="white"/>
          <w:lang w:val="en-US"/>
        </w:rPr>
        <w:t>”</w:t>
      </w:r>
      <w:r w:rsidRPr="00A746D8">
        <w:rPr>
          <w:rFonts w:eastAsia="Calibri"/>
          <w:highlight w:val="white"/>
          <w:lang w:val="en-US"/>
        </w:rPr>
        <w:t xml:space="preserve"> aims to establish a unified and modern property registration system, enhancing transparency and legal certainty in real estate transactions. Following the completion of the transition from the legacy mortgage office system to the </w:t>
      </w:r>
      <w:r w:rsidRPr="00A746D8">
        <w:rPr>
          <w:rFonts w:eastAsia="Calibri"/>
          <w:highlight w:val="white"/>
          <w:lang w:val="en-US"/>
        </w:rPr>
        <w:lastRenderedPageBreak/>
        <w:t xml:space="preserve">Hellenic </w:t>
      </w:r>
      <w:proofErr w:type="spellStart"/>
      <w:r w:rsidRPr="00A746D8">
        <w:rPr>
          <w:rFonts w:eastAsia="Calibri"/>
          <w:highlight w:val="white"/>
          <w:lang w:val="en-US"/>
        </w:rPr>
        <w:t>Cadastre</w:t>
      </w:r>
      <w:proofErr w:type="spellEnd"/>
      <w:r w:rsidRPr="00A746D8">
        <w:rPr>
          <w:rFonts w:eastAsia="Calibri"/>
          <w:highlight w:val="white"/>
          <w:lang w:val="en-US"/>
        </w:rPr>
        <w:t xml:space="preserve"> and the full operation of all regional cadastral offices, cadastral mapping is advancing steadily. Coverage has reached 95.57% of total property rights nationwide, while additional contracts </w:t>
      </w:r>
      <w:r w:rsidR="00896363">
        <w:rPr>
          <w:lang w:val="en-US"/>
        </w:rPr>
        <w:t>—</w:t>
      </w:r>
      <w:r w:rsidRPr="00A746D8">
        <w:rPr>
          <w:rFonts w:eastAsia="Calibri"/>
          <w:highlight w:val="white"/>
          <w:lang w:val="en-US"/>
        </w:rPr>
        <w:t>representing approximately 3.25% of total coverage</w:t>
      </w:r>
      <w:r w:rsidR="00896363">
        <w:rPr>
          <w:lang w:val="en-US"/>
        </w:rPr>
        <w:t>—</w:t>
      </w:r>
      <w:r w:rsidRPr="00A746D8">
        <w:rPr>
          <w:rFonts w:eastAsia="Calibri"/>
          <w:highlight w:val="white"/>
          <w:lang w:val="en-US"/>
        </w:rPr>
        <w:t xml:space="preserve"> are at an advanced stage of implementation and are expected to bring overall coverage close to 99%.</w:t>
      </w:r>
    </w:p>
    <w:p w14:paraId="5C275E32" w14:textId="77777777" w:rsidR="00451CC2" w:rsidRPr="002E4482" w:rsidRDefault="00451CC2" w:rsidP="00353C6F">
      <w:pPr>
        <w:rPr>
          <w:rFonts w:eastAsia="Calibri"/>
          <w:highlight w:val="white"/>
          <w:lang w:val="en-US"/>
        </w:rPr>
      </w:pPr>
      <w:r w:rsidRPr="00A746D8">
        <w:rPr>
          <w:rFonts w:eastAsia="Calibri"/>
          <w:highlight w:val="white"/>
          <w:lang w:val="en-US"/>
        </w:rPr>
        <w:t xml:space="preserve">The </w:t>
      </w:r>
      <w:r w:rsidRPr="00A746D8">
        <w:rPr>
          <w:rFonts w:eastAsia="Calibri"/>
          <w:b/>
          <w:bCs/>
          <w:highlight w:val="white"/>
          <w:lang w:val="en-US"/>
        </w:rPr>
        <w:t>RRF investment “Digital Transformation of SMEs”</w:t>
      </w:r>
      <w:r w:rsidRPr="00A746D8">
        <w:rPr>
          <w:rFonts w:eastAsia="Calibri"/>
          <w:highlight w:val="white"/>
          <w:lang w:val="en-US"/>
        </w:rPr>
        <w:t xml:space="preserve"> aims to address the digital gap and enhance the competitiveness of Small and Medium-sized Enterprises (SMEs) in Greece. </w:t>
      </w:r>
      <w:r w:rsidRPr="00651BB8">
        <w:rPr>
          <w:rFonts w:eastAsia="Calibri"/>
          <w:highlight w:val="white"/>
          <w:lang w:val="en-US"/>
        </w:rPr>
        <w:t xml:space="preserve">It is structured around three main components: </w:t>
      </w:r>
    </w:p>
    <w:p w14:paraId="6D558724" w14:textId="77777777" w:rsidR="00451CC2" w:rsidRPr="00A746D8" w:rsidRDefault="00451CC2" w:rsidP="00353C6F">
      <w:pPr>
        <w:rPr>
          <w:highlight w:val="white"/>
          <w:lang w:val="en-US"/>
        </w:rPr>
      </w:pPr>
      <w:r w:rsidRPr="00A746D8">
        <w:rPr>
          <w:rFonts w:eastAsia="Calibri"/>
          <w:b/>
          <w:bCs/>
          <w:highlight w:val="white"/>
          <w:lang w:val="en-US"/>
        </w:rPr>
        <w:t>Digital Tools for SMEs:</w:t>
      </w:r>
      <w:r w:rsidRPr="00A746D8">
        <w:rPr>
          <w:rFonts w:eastAsia="Calibri"/>
          <w:highlight w:val="white"/>
          <w:lang w:val="en-US"/>
        </w:rPr>
        <w:t xml:space="preserve"> Supports the improvement of SMEs’ digital maturity across sectors, enabling businesses to </w:t>
      </w:r>
      <w:proofErr w:type="spellStart"/>
      <w:r w:rsidRPr="00A746D8">
        <w:rPr>
          <w:rFonts w:eastAsia="Calibri"/>
          <w:highlight w:val="white"/>
          <w:lang w:val="en-US"/>
        </w:rPr>
        <w:t>modernise</w:t>
      </w:r>
      <w:proofErr w:type="spellEnd"/>
      <w:r w:rsidRPr="00A746D8">
        <w:rPr>
          <w:rFonts w:eastAsia="Calibri"/>
          <w:highlight w:val="white"/>
          <w:lang w:val="en-US"/>
        </w:rPr>
        <w:t xml:space="preserve"> their operational, commercial, and administrative functions.</w:t>
      </w:r>
    </w:p>
    <w:p w14:paraId="052E6E43" w14:textId="77777777" w:rsidR="00451CC2" w:rsidRPr="00A746D8" w:rsidRDefault="00451CC2" w:rsidP="00353C6F">
      <w:pPr>
        <w:rPr>
          <w:highlight w:val="white"/>
          <w:lang w:val="en-US"/>
        </w:rPr>
      </w:pPr>
      <w:r w:rsidRPr="00A746D8">
        <w:rPr>
          <w:rFonts w:eastAsia="Calibri"/>
          <w:b/>
          <w:bCs/>
          <w:highlight w:val="white"/>
          <w:lang w:val="en-US"/>
        </w:rPr>
        <w:t>Development of Digital Products and Services:</w:t>
      </w:r>
      <w:r w:rsidRPr="00A746D8">
        <w:rPr>
          <w:rFonts w:eastAsia="Calibri"/>
          <w:highlight w:val="white"/>
          <w:lang w:val="en-US"/>
        </w:rPr>
        <w:t xml:space="preserve"> Supports investments in the development of innovative digital products and services within the ICT sector, providing grants covering the development phase up to the operational stage.</w:t>
      </w:r>
    </w:p>
    <w:p w14:paraId="6148AF51" w14:textId="77777777" w:rsidR="00451CC2" w:rsidRPr="00A746D8" w:rsidRDefault="00451CC2" w:rsidP="00353C6F">
      <w:pPr>
        <w:rPr>
          <w:highlight w:val="white"/>
          <w:lang w:val="en-US"/>
        </w:rPr>
      </w:pPr>
      <w:r w:rsidRPr="00A746D8">
        <w:rPr>
          <w:rFonts w:eastAsia="Calibri"/>
          <w:b/>
          <w:bCs/>
          <w:highlight w:val="white"/>
          <w:lang w:val="en-US"/>
        </w:rPr>
        <w:t xml:space="preserve">Digital Transactions: </w:t>
      </w:r>
      <w:r w:rsidRPr="00A746D8">
        <w:rPr>
          <w:rFonts w:eastAsia="Calibri"/>
          <w:highlight w:val="white"/>
          <w:lang w:val="en-US"/>
        </w:rPr>
        <w:t>Promotes the adoption of modern digital tools to streamline invoicing, tax document issuance and processing, and electronic payments.</w:t>
      </w:r>
    </w:p>
    <w:p w14:paraId="3C7AB25C" w14:textId="77777777" w:rsidR="00451CC2" w:rsidRPr="00A746D8" w:rsidRDefault="00451CC2" w:rsidP="00353C6F">
      <w:pPr>
        <w:rPr>
          <w:rFonts w:eastAsia="Calibri"/>
          <w:highlight w:val="white"/>
          <w:lang w:val="en-US"/>
        </w:rPr>
      </w:pPr>
      <w:r w:rsidRPr="00A746D8">
        <w:rPr>
          <w:rFonts w:eastAsia="Calibri"/>
          <w:highlight w:val="white"/>
          <w:lang w:val="en-US"/>
        </w:rPr>
        <w:t xml:space="preserve">Under Programme I, approximately 100,000 voucher applications have been approved across its two cycles, and the programme has now been completed. At the same time, under Programme II, it is expected that approximately 100 to 120 business plans, for the development of digital products and services, will reach the implementation stage. Programme III has reviewed and approved approximately 100,000 voucher applications across its two cycles. The respective RRF measure is currently under revision to </w:t>
      </w:r>
      <w:proofErr w:type="spellStart"/>
      <w:r w:rsidRPr="00A746D8">
        <w:rPr>
          <w:rFonts w:eastAsia="Calibri"/>
          <w:highlight w:val="white"/>
          <w:lang w:val="en-US"/>
        </w:rPr>
        <w:t>finalise</w:t>
      </w:r>
      <w:proofErr w:type="spellEnd"/>
      <w:r w:rsidRPr="00A746D8">
        <w:rPr>
          <w:rFonts w:eastAsia="Calibri"/>
          <w:highlight w:val="white"/>
          <w:lang w:val="en-US"/>
        </w:rPr>
        <w:t xml:space="preserve"> its targets, while all actions across the initiative are expected to be completed by August 2026.</w:t>
      </w:r>
    </w:p>
    <w:p w14:paraId="4A193788" w14:textId="77777777" w:rsidR="00451CC2" w:rsidRPr="00A746D8" w:rsidRDefault="00451CC2" w:rsidP="00353C6F">
      <w:pPr>
        <w:rPr>
          <w:rFonts w:eastAsia="Calibri"/>
          <w:highlight w:val="white"/>
          <w:lang w:val="en-US"/>
        </w:rPr>
      </w:pPr>
      <w:r w:rsidRPr="00A746D8">
        <w:rPr>
          <w:rFonts w:eastAsia="Calibri"/>
          <w:highlight w:val="white"/>
          <w:lang w:val="en-US"/>
        </w:rPr>
        <w:t xml:space="preserve">The </w:t>
      </w:r>
      <w:r w:rsidRPr="00A746D8">
        <w:rPr>
          <w:rFonts w:eastAsia="Calibri"/>
          <w:b/>
          <w:bCs/>
          <w:highlight w:val="white"/>
          <w:lang w:val="en-US"/>
        </w:rPr>
        <w:t xml:space="preserve">RRF </w:t>
      </w:r>
      <w:r w:rsidRPr="00A746D8">
        <w:rPr>
          <w:rFonts w:eastAsia="Calibri"/>
          <w:b/>
          <w:highlight w:val="white"/>
          <w:lang w:val="en-US"/>
        </w:rPr>
        <w:t>investments</w:t>
      </w:r>
      <w:r w:rsidRPr="00A746D8">
        <w:rPr>
          <w:rFonts w:eastAsia="Calibri"/>
          <w:b/>
          <w:bCs/>
          <w:highlight w:val="white"/>
          <w:lang w:val="en-US"/>
        </w:rPr>
        <w:t xml:space="preserve"> “Smart Readiness”</w:t>
      </w:r>
      <w:r w:rsidRPr="00A746D8">
        <w:rPr>
          <w:rFonts w:eastAsia="Calibri"/>
          <w:highlight w:val="white"/>
          <w:lang w:val="en-US"/>
        </w:rPr>
        <w:t xml:space="preserve"> and </w:t>
      </w:r>
      <w:r w:rsidRPr="00A746D8">
        <w:rPr>
          <w:rFonts w:eastAsia="Calibri"/>
          <w:b/>
          <w:bCs/>
          <w:highlight w:val="white"/>
          <w:lang w:val="en-US"/>
        </w:rPr>
        <w:t xml:space="preserve">“Gigabit Voucher Scheme” </w:t>
      </w:r>
      <w:r w:rsidRPr="00A746D8">
        <w:rPr>
          <w:rFonts w:eastAsia="Calibri"/>
          <w:highlight w:val="white"/>
          <w:lang w:val="en-US"/>
        </w:rPr>
        <w:t xml:space="preserve">aim to boost high-speed broadband connectivity across Greece. The </w:t>
      </w:r>
      <w:r w:rsidRPr="00A746D8">
        <w:rPr>
          <w:rFonts w:eastAsia="Calibri"/>
          <w:b/>
          <w:bCs/>
          <w:highlight w:val="white"/>
          <w:lang w:val="en-US"/>
        </w:rPr>
        <w:t>Smart Readiness</w:t>
      </w:r>
      <w:r w:rsidRPr="00A746D8">
        <w:rPr>
          <w:rFonts w:eastAsia="Calibri"/>
          <w:highlight w:val="white"/>
          <w:lang w:val="en-US"/>
        </w:rPr>
        <w:t xml:space="preserve"> program supports the upgrade of private buildings with </w:t>
      </w:r>
      <w:proofErr w:type="spellStart"/>
      <w:r w:rsidRPr="00A746D8">
        <w:rPr>
          <w:rFonts w:eastAsia="Calibri"/>
          <w:highlight w:val="white"/>
          <w:lang w:val="en-US"/>
        </w:rPr>
        <w:t>Fibre</w:t>
      </w:r>
      <w:proofErr w:type="spellEnd"/>
      <w:r w:rsidRPr="00A746D8">
        <w:rPr>
          <w:rFonts w:eastAsia="Calibri"/>
          <w:highlight w:val="white"/>
          <w:lang w:val="en-US"/>
        </w:rPr>
        <w:t xml:space="preserve">-to-the-Home (FTTH) infrastructure, including smart meter installations and related works, without limiting end-user choice of provider. The </w:t>
      </w:r>
      <w:r w:rsidRPr="00A746D8">
        <w:rPr>
          <w:rFonts w:eastAsia="Calibri"/>
          <w:b/>
          <w:bCs/>
          <w:highlight w:val="white"/>
          <w:lang w:val="en-US"/>
        </w:rPr>
        <w:t>Gigabit Scheme</w:t>
      </w:r>
      <w:r w:rsidRPr="00A746D8">
        <w:rPr>
          <w:rFonts w:eastAsia="Calibri"/>
          <w:highlight w:val="white"/>
          <w:lang w:val="en-US"/>
        </w:rPr>
        <w:t xml:space="preserve"> complements this by encouraging households and SMEs to adopt ultra-fast broadband, offering subsidies for installation and monthly fees over a 24-month period. Together, these initiatives aim to increase demand, improve digital infrastructure, and support broader adoption of high-speed services, addressing relevant recommendations. As of 30 March 2026, the Smart Readiness programme is progressing steadily, with 83,417 applications submitted, 68,715 vouchers issued and 21,339 vouchers redeemed. Meanwhile, the Gigabit scheme has reached a significantly larger scale, with 438,208 applications submitted, 417,795 vouchers issued and 277,619 vouchers redeemed.</w:t>
      </w:r>
    </w:p>
    <w:p w14:paraId="44743A84" w14:textId="77777777" w:rsidR="00451CC2" w:rsidRPr="00A746D8" w:rsidRDefault="00451CC2" w:rsidP="00353C6F">
      <w:pPr>
        <w:rPr>
          <w:rFonts w:eastAsia="Calibri"/>
          <w:highlight w:val="white"/>
          <w:lang w:val="en-US"/>
        </w:rPr>
      </w:pPr>
      <w:r w:rsidRPr="00A746D8">
        <w:rPr>
          <w:rFonts w:eastAsia="Calibri"/>
          <w:highlight w:val="white"/>
          <w:lang w:val="en-US"/>
        </w:rPr>
        <w:t xml:space="preserve">The </w:t>
      </w:r>
      <w:r w:rsidRPr="00A746D8">
        <w:rPr>
          <w:rFonts w:eastAsia="Calibri"/>
          <w:b/>
          <w:bCs/>
          <w:highlight w:val="white"/>
          <w:lang w:val="en-US"/>
        </w:rPr>
        <w:t>Ultra-Fast Broadband (UFBB) investment</w:t>
      </w:r>
      <w:r w:rsidRPr="00A746D8">
        <w:rPr>
          <w:rFonts w:eastAsia="Calibri"/>
          <w:highlight w:val="white"/>
          <w:lang w:val="en-US"/>
        </w:rPr>
        <w:t xml:space="preserve"> is a major Public-Private Partnership and a large-scale initiative aimed at expanding high-speed internet connectivity in areas of Greece that are underserved by the market. Co-funded by national and EU resources under the ESIF 2021–2027 framework (phasing project), it targets approximately 2.4 million citizens, covering nearly 18% of the population across 68 regional units. The project will deliver speeds of at least 100 Mbps, upgradeable to 1 Gbps, contributing to bridging the digital divide and support regional </w:t>
      </w:r>
      <w:r w:rsidRPr="00A746D8">
        <w:rPr>
          <w:rFonts w:eastAsia="Calibri"/>
          <w:highlight w:val="white"/>
          <w:lang w:val="en-US"/>
        </w:rPr>
        <w:lastRenderedPageBreak/>
        <w:t>development in line with the National Broadband Plan 2021–2027. Contracts for all lots have now been signed, and the project is under full implementation.</w:t>
      </w:r>
    </w:p>
    <w:p w14:paraId="39F5B930" w14:textId="77777777" w:rsidR="00451CC2" w:rsidRPr="00A746D8" w:rsidRDefault="00451CC2" w:rsidP="00353C6F">
      <w:pPr>
        <w:rPr>
          <w:rFonts w:eastAsia="Calibri"/>
          <w:highlight w:val="white"/>
          <w:lang w:val="en-US"/>
        </w:rPr>
      </w:pPr>
      <w:r w:rsidRPr="00A746D8">
        <w:rPr>
          <w:rFonts w:eastAsia="Calibri"/>
          <w:highlight w:val="white"/>
          <w:lang w:val="en-US"/>
        </w:rPr>
        <w:t xml:space="preserve">The </w:t>
      </w:r>
      <w:r w:rsidRPr="00A746D8">
        <w:rPr>
          <w:rFonts w:eastAsia="Calibri"/>
          <w:b/>
          <w:bCs/>
          <w:highlight w:val="white"/>
          <w:lang w:val="en-US"/>
        </w:rPr>
        <w:t xml:space="preserve">RRF </w:t>
      </w:r>
      <w:r w:rsidRPr="00A746D8">
        <w:rPr>
          <w:rFonts w:eastAsia="Calibri"/>
          <w:b/>
          <w:highlight w:val="white"/>
          <w:lang w:val="en-US"/>
        </w:rPr>
        <w:t>investment</w:t>
      </w:r>
      <w:r w:rsidRPr="00A746D8">
        <w:rPr>
          <w:rFonts w:eastAsia="Calibri"/>
          <w:b/>
          <w:bCs/>
          <w:highlight w:val="white"/>
          <w:lang w:val="en-US"/>
        </w:rPr>
        <w:t xml:space="preserve"> "Microsatellites"</w:t>
      </w:r>
      <w:r w:rsidRPr="00A746D8">
        <w:rPr>
          <w:rFonts w:eastAsia="Calibri"/>
          <w:highlight w:val="white"/>
          <w:lang w:val="en-US"/>
        </w:rPr>
        <w:t xml:space="preserve"> initiative focuses on the design, production, and deployment of microsatellites capable of carrying multiple payloads to provide secure connectivity and a range of auxiliary services. This investment represents a significant step towards Greece's objective of leveraging space technologies and their applications to deliver advanced telecommunications services and integrate these capabilities into the national economy. By the conclusion of the project, the development of these small satellites is expected to enhance the capabilities of Greek high-tech firms and support applications such as earth observation and forest fire monitoring through a national satellite-based system. The European Space Agency (ESA) has signed 17 contracts with European and Greek entities, all currently under implementation, while several microsatellites have already been launched, including five CubeSats in March 2026. Building on this progress, an amendment has been proposed introducing the new “HELLAS-SPACE 2.0” programme, significantly expanding the scope of the investment. Subject to the approval of the proposed amendment, the programme aims to sustain and scale national space capabilities through advanced infrastructures, including high-resolution earth observation, secure connectivity, and space domain awareness systems, while strengthening European strategic autonomy and fostering innovation. With a total additional budget of €350 million (bringing the total to €550 million), </w:t>
      </w:r>
      <w:r>
        <w:rPr>
          <w:rFonts w:eastAsia="Calibri"/>
          <w:highlight w:val="white"/>
          <w:lang w:val="en-US"/>
        </w:rPr>
        <w:t>it</w:t>
      </w:r>
      <w:r w:rsidRPr="00A746D8">
        <w:rPr>
          <w:rFonts w:eastAsia="Calibri"/>
          <w:highlight w:val="white"/>
          <w:lang w:val="en-US"/>
        </w:rPr>
        <w:t xml:space="preserve"> is expected to generate substantial economic impact and employment. The related Contribution Agreement between Greece and ESA is under preparation, </w:t>
      </w:r>
      <w:r w:rsidRPr="00A746D8">
        <w:rPr>
          <w:shd w:val="clear" w:color="auto" w:fill="FFFFFF"/>
          <w:lang w:val="en-US"/>
        </w:rPr>
        <w:t>and it is expected to be signed</w:t>
      </w:r>
      <w:r w:rsidRPr="00A746D8">
        <w:rPr>
          <w:rFonts w:eastAsia="Calibri"/>
          <w:highlight w:val="white"/>
          <w:lang w:val="en-US"/>
        </w:rPr>
        <w:t xml:space="preserve"> by June 2026, ensuring continuity and long-term sustainability of the initiative.</w:t>
      </w:r>
    </w:p>
    <w:p w14:paraId="22CE3B1C" w14:textId="77777777" w:rsidR="00451CC2" w:rsidRPr="00A746D8" w:rsidRDefault="00451CC2" w:rsidP="00353C6F">
      <w:pPr>
        <w:rPr>
          <w:rFonts w:eastAsia="Calibri"/>
          <w:highlight w:val="white"/>
          <w:lang w:val="en-US"/>
        </w:rPr>
      </w:pPr>
      <w:r w:rsidRPr="00A746D8">
        <w:rPr>
          <w:rFonts w:eastAsia="Calibri"/>
          <w:highlight w:val="white"/>
          <w:lang w:val="en-US"/>
        </w:rPr>
        <w:t xml:space="preserve">The </w:t>
      </w:r>
      <w:r w:rsidRPr="00A746D8">
        <w:rPr>
          <w:rFonts w:eastAsia="Calibri"/>
          <w:b/>
          <w:bCs/>
          <w:highlight w:val="white"/>
          <w:lang w:val="en-US"/>
        </w:rPr>
        <w:t xml:space="preserve">RRF </w:t>
      </w:r>
      <w:r w:rsidRPr="00A746D8">
        <w:rPr>
          <w:rFonts w:eastAsia="Calibri"/>
          <w:b/>
          <w:highlight w:val="white"/>
          <w:lang w:val="en-US"/>
        </w:rPr>
        <w:t>investment</w:t>
      </w:r>
      <w:r w:rsidRPr="00A746D8">
        <w:rPr>
          <w:rFonts w:eastAsia="Calibri"/>
          <w:b/>
          <w:bCs/>
          <w:highlight w:val="white"/>
          <w:lang w:val="en-US"/>
        </w:rPr>
        <w:t xml:space="preserve"> "Upgrade of cloud computing infrastructure and services for the National Infrastructures for Research and Technology (GRNET)"</w:t>
      </w:r>
      <w:r w:rsidRPr="00A746D8">
        <w:rPr>
          <w:rFonts w:eastAsia="Calibri"/>
          <w:highlight w:val="white"/>
          <w:lang w:val="en-US"/>
        </w:rPr>
        <w:t xml:space="preserve"> focuses on enhancing GRNET's capabilities, including upgrade of software and cloud services for the research and academic community, the expansion of the National High-Performance Computing System, and the development of </w:t>
      </w:r>
      <w:proofErr w:type="spellStart"/>
      <w:r w:rsidRPr="00A746D8">
        <w:rPr>
          <w:rFonts w:eastAsia="Calibri"/>
          <w:highlight w:val="white"/>
          <w:lang w:val="en-US"/>
        </w:rPr>
        <w:t>fibre</w:t>
      </w:r>
      <w:proofErr w:type="spellEnd"/>
      <w:r w:rsidRPr="00A746D8">
        <w:rPr>
          <w:rFonts w:eastAsia="Calibri"/>
          <w:highlight w:val="white"/>
          <w:lang w:val="en-US"/>
        </w:rPr>
        <w:t xml:space="preserve"> optic infrastructure. Implementation is progressing across all core components, with multiple contracts already completed or underway. In the cloud services domain, several key contracts are ongoing through mid-2026, while others </w:t>
      </w:r>
      <w:r w:rsidR="00534293">
        <w:rPr>
          <w:lang w:val="en-US"/>
        </w:rPr>
        <w:t>—</w:t>
      </w:r>
      <w:r w:rsidRPr="00A746D8">
        <w:rPr>
          <w:rFonts w:eastAsia="Calibri"/>
          <w:highlight w:val="white"/>
          <w:lang w:val="en-US"/>
        </w:rPr>
        <w:t xml:space="preserve">such as GEANT cloud services and preparatory studies for the </w:t>
      </w:r>
      <w:proofErr w:type="spellStart"/>
      <w:r w:rsidRPr="00A746D8">
        <w:rPr>
          <w:rFonts w:eastAsia="Calibri"/>
          <w:highlight w:val="white"/>
          <w:lang w:val="en-US"/>
        </w:rPr>
        <w:t>Lavrion</w:t>
      </w:r>
      <w:proofErr w:type="spellEnd"/>
      <w:r w:rsidRPr="00A746D8">
        <w:rPr>
          <w:rFonts w:eastAsia="Calibri"/>
          <w:highlight w:val="white"/>
          <w:lang w:val="en-US"/>
        </w:rPr>
        <w:t xml:space="preserve"> data </w:t>
      </w:r>
      <w:proofErr w:type="spellStart"/>
      <w:r w:rsidRPr="00A746D8">
        <w:rPr>
          <w:rFonts w:eastAsia="Calibri"/>
          <w:highlight w:val="white"/>
          <w:lang w:val="en-US"/>
        </w:rPr>
        <w:t>centre</w:t>
      </w:r>
      <w:proofErr w:type="spellEnd"/>
      <w:r w:rsidR="00534293">
        <w:rPr>
          <w:lang w:val="en-US"/>
        </w:rPr>
        <w:t>—</w:t>
      </w:r>
      <w:r w:rsidRPr="00A746D8">
        <w:rPr>
          <w:rFonts w:eastAsia="Calibri"/>
          <w:highlight w:val="white"/>
          <w:lang w:val="en-US"/>
        </w:rPr>
        <w:t xml:space="preserve"> have been completed. Regarding the “Daedalus” supercomputer, the deployment of computing hardware and software is progressing according to plan. However, delays in the construction of the hosting data </w:t>
      </w:r>
      <w:proofErr w:type="spellStart"/>
      <w:r w:rsidRPr="00A746D8">
        <w:rPr>
          <w:rFonts w:eastAsia="Calibri"/>
          <w:highlight w:val="white"/>
          <w:lang w:val="en-US"/>
        </w:rPr>
        <w:t>centre</w:t>
      </w:r>
      <w:proofErr w:type="spellEnd"/>
      <w:r w:rsidRPr="00A746D8">
        <w:rPr>
          <w:rFonts w:eastAsia="Calibri"/>
          <w:highlight w:val="white"/>
          <w:lang w:val="en-US"/>
        </w:rPr>
        <w:t xml:space="preserve"> </w:t>
      </w:r>
      <w:r w:rsidRPr="00A746D8">
        <w:rPr>
          <w:rFonts w:eastAsia="Calibri"/>
          <w:lang w:val="en-US"/>
        </w:rPr>
        <w:t xml:space="preserve">have led to setbacks in </w:t>
      </w:r>
      <w:r w:rsidRPr="00A746D8">
        <w:rPr>
          <w:rFonts w:eastAsia="Calibri"/>
          <w:highlight w:val="white"/>
          <w:lang w:val="en-US"/>
        </w:rPr>
        <w:t xml:space="preserve">the overall delivery timeline, leading to a planned extension of the relevant contract until June 2026. In terms of </w:t>
      </w:r>
      <w:proofErr w:type="spellStart"/>
      <w:r w:rsidRPr="00A746D8">
        <w:rPr>
          <w:rFonts w:eastAsia="Calibri"/>
          <w:highlight w:val="white"/>
          <w:lang w:val="en-US"/>
        </w:rPr>
        <w:t>fibre</w:t>
      </w:r>
      <w:proofErr w:type="spellEnd"/>
      <w:r w:rsidRPr="00A746D8">
        <w:rPr>
          <w:rFonts w:eastAsia="Calibri"/>
          <w:highlight w:val="white"/>
          <w:lang w:val="en-US"/>
        </w:rPr>
        <w:t xml:space="preserve"> optic infrastructure, two 15-year IRU contracts were successfully completed on schedule by the end of 2025, while a third contract for network expansion </w:t>
      </w:r>
      <w:r w:rsidR="005A4D9E">
        <w:rPr>
          <w:lang w:val="en-US"/>
        </w:rPr>
        <w:t>—</w:t>
      </w:r>
      <w:r w:rsidRPr="00A746D8">
        <w:rPr>
          <w:rFonts w:eastAsia="Calibri"/>
          <w:highlight w:val="white"/>
          <w:lang w:val="en-US"/>
        </w:rPr>
        <w:t>critical for supporting the Daedalus facility</w:t>
      </w:r>
      <w:r w:rsidR="005A4D9E">
        <w:rPr>
          <w:lang w:val="en-US"/>
        </w:rPr>
        <w:t>—</w:t>
      </w:r>
      <w:r w:rsidRPr="00A746D8">
        <w:rPr>
          <w:rFonts w:eastAsia="Calibri"/>
          <w:highlight w:val="white"/>
          <w:lang w:val="en-US"/>
        </w:rPr>
        <w:t xml:space="preserve"> is currently under implementation and expected to be </w:t>
      </w:r>
      <w:proofErr w:type="spellStart"/>
      <w:r w:rsidRPr="00A746D8">
        <w:rPr>
          <w:rFonts w:eastAsia="Calibri"/>
          <w:highlight w:val="white"/>
          <w:lang w:val="en-US"/>
        </w:rPr>
        <w:t>finalised</w:t>
      </w:r>
      <w:proofErr w:type="spellEnd"/>
      <w:r w:rsidRPr="00A746D8">
        <w:rPr>
          <w:rFonts w:eastAsia="Calibri"/>
          <w:highlight w:val="white"/>
          <w:lang w:val="en-US"/>
        </w:rPr>
        <w:t xml:space="preserve"> by mid-2026. </w:t>
      </w:r>
    </w:p>
    <w:p w14:paraId="5CBE5E63" w14:textId="77777777" w:rsidR="00451CC2" w:rsidRPr="00A746D8" w:rsidRDefault="00451CC2" w:rsidP="00353C6F">
      <w:pPr>
        <w:rPr>
          <w:rFonts w:eastAsia="Calibri"/>
          <w:highlight w:val="white"/>
          <w:lang w:val="en-US"/>
        </w:rPr>
      </w:pPr>
      <w:r w:rsidRPr="00A746D8">
        <w:rPr>
          <w:rFonts w:eastAsia="Calibri"/>
          <w:highlight w:val="white"/>
          <w:lang w:val="en-US"/>
        </w:rPr>
        <w:t xml:space="preserve">The </w:t>
      </w:r>
      <w:r w:rsidRPr="00A746D8">
        <w:rPr>
          <w:rFonts w:eastAsia="Calibri"/>
          <w:b/>
          <w:bCs/>
          <w:highlight w:val="white"/>
          <w:lang w:val="en-US"/>
        </w:rPr>
        <w:t xml:space="preserve">RRF investment "Supply of Central Cloud Computing Infrastructure and Service" </w:t>
      </w:r>
      <w:r w:rsidRPr="00A746D8">
        <w:rPr>
          <w:rFonts w:eastAsia="Calibri"/>
          <w:highlight w:val="white"/>
          <w:lang w:val="en-US"/>
        </w:rPr>
        <w:t xml:space="preserve">aims to upgrade the government's cloud infrastructure, enhancing the operations of the Ministry of Digital Governance and its key entities, namely the General Secretariat of Information Systems and Digital Governance (GSISDG) and the Electronic Governance of Social Security (IDIKA SA). The project involves the deployment of a hybrid cloud infrastructure, comprising two tenants: one for the Government Cloud and another for the Health Cloud. The contract for the </w:t>
      </w:r>
      <w:r w:rsidRPr="00A746D8">
        <w:rPr>
          <w:rFonts w:eastAsia="Calibri"/>
          <w:highlight w:val="white"/>
          <w:lang w:val="en-US"/>
        </w:rPr>
        <w:lastRenderedPageBreak/>
        <w:t>computing infrastructure and service integration is currently under implementation. Data migration services are currently in progress, with completion expected by the end of June 2026. This will lead to the overall project completion by the end of August 2026.</w:t>
      </w:r>
    </w:p>
    <w:p w14:paraId="0E37E52B" w14:textId="77777777" w:rsidR="00451CC2" w:rsidRPr="00A746D8" w:rsidRDefault="00451CC2" w:rsidP="00353C6F">
      <w:pPr>
        <w:rPr>
          <w:rFonts w:eastAsia="Calibri"/>
          <w:highlight w:val="white"/>
          <w:lang w:val="en-US"/>
        </w:rPr>
      </w:pPr>
      <w:r w:rsidRPr="00A746D8">
        <w:rPr>
          <w:rFonts w:eastAsia="Calibri"/>
          <w:highlight w:val="white"/>
          <w:lang w:val="en-US"/>
        </w:rPr>
        <w:t xml:space="preserve">The </w:t>
      </w:r>
      <w:r w:rsidRPr="00A746D8">
        <w:rPr>
          <w:rFonts w:eastAsia="Calibri"/>
          <w:b/>
          <w:bCs/>
          <w:highlight w:val="white"/>
          <w:lang w:val="en-US"/>
        </w:rPr>
        <w:t>"SYZEFXIS II"</w:t>
      </w:r>
      <w:r w:rsidRPr="00A746D8">
        <w:rPr>
          <w:rFonts w:eastAsia="Calibri"/>
          <w:highlight w:val="white"/>
          <w:lang w:val="en-US"/>
        </w:rPr>
        <w:t xml:space="preserve"> project is a key initiative for establishing the Public Sector Network, addressing telecommunication needs and upgrading broadband connectivity across public administration. The project is structured into distinct subprojects, each responsible for delivering specific components of the overall architecture. Central infrastructure sub projects focus on the deployment and operation of core systems, including central interface infrastructure, internet provision and security services. Regional infrastructure and services subprojects support the provision of connectivity and telephony services to public institutions, as well as the installation of access, telephony and teleconferencing equipment. The project is funded by MFF, while RRF funds supports the expansion of the network. It is expected to include approximately 34,000 entities, with the progressive transition alongside pilot and full operational deployment of services. By completion, public institutions are expected to benefit from upgraded telecommunications services and increased internet speeds, enabling more efficient operations and improved service delivery. Recent progress in the RRF part, indicates that most contracts for infrastructure, connectivity, and power supply upgrades have been completed (5 subprojects) or are on track for delivery by mid-2026, supported by formal acceptance and operational evidence. </w:t>
      </w:r>
    </w:p>
    <w:p w14:paraId="115F5700" w14:textId="77777777" w:rsidR="00451CC2" w:rsidRPr="00A746D8" w:rsidRDefault="00451CC2" w:rsidP="00353C6F">
      <w:pPr>
        <w:rPr>
          <w:rFonts w:eastAsia="Calibri"/>
          <w:highlight w:val="white"/>
          <w:lang w:val="en-US"/>
        </w:rPr>
      </w:pPr>
      <w:r>
        <w:rPr>
          <w:rFonts w:eastAsia="Calibri"/>
          <w:highlight w:val="white"/>
        </w:rPr>
        <w:t>Τ</w:t>
      </w:r>
      <w:r w:rsidRPr="00A746D8">
        <w:rPr>
          <w:rFonts w:eastAsia="Calibri"/>
          <w:highlight w:val="white"/>
          <w:lang w:val="en-US"/>
        </w:rPr>
        <w:t>he</w:t>
      </w:r>
      <w:r w:rsidRPr="00082C42">
        <w:rPr>
          <w:rFonts w:eastAsia="Calibri"/>
          <w:highlight w:val="white"/>
          <w:lang w:val="en-US"/>
        </w:rPr>
        <w:t xml:space="preserve"> </w:t>
      </w:r>
      <w:r w:rsidRPr="00082C42">
        <w:rPr>
          <w:rFonts w:eastAsia="Calibri"/>
          <w:b/>
          <w:highlight w:val="white"/>
          <w:lang w:val="en-US"/>
        </w:rPr>
        <w:t>RRF investment</w:t>
      </w:r>
      <w:r w:rsidRPr="00A746D8">
        <w:rPr>
          <w:rFonts w:eastAsia="Calibri"/>
          <w:highlight w:val="white"/>
          <w:lang w:val="en-US"/>
        </w:rPr>
        <w:t xml:space="preserve"> </w:t>
      </w:r>
      <w:r w:rsidRPr="00A746D8">
        <w:rPr>
          <w:rFonts w:eastAsia="Calibri"/>
          <w:b/>
          <w:bCs/>
          <w:highlight w:val="white"/>
          <w:lang w:val="en-US"/>
        </w:rPr>
        <w:t>“Digitalisation of Archives”</w:t>
      </w:r>
      <w:r w:rsidRPr="00A746D8">
        <w:rPr>
          <w:rFonts w:eastAsia="Calibri"/>
          <w:highlight w:val="white"/>
          <w:lang w:val="en-US"/>
        </w:rPr>
        <w:t xml:space="preserve">, one of the largest projects funded under the RRP, comprises nine subprojects aiming to digitize nearly 1.2 billion pages across key sectors, including </w:t>
      </w:r>
      <w:proofErr w:type="spellStart"/>
      <w:r w:rsidRPr="00A746D8">
        <w:rPr>
          <w:rFonts w:eastAsia="Calibri"/>
          <w:highlight w:val="white"/>
          <w:lang w:val="en-US"/>
        </w:rPr>
        <w:t>cadastre</w:t>
      </w:r>
      <w:proofErr w:type="spellEnd"/>
      <w:r w:rsidRPr="00A746D8">
        <w:rPr>
          <w:rFonts w:eastAsia="Calibri"/>
          <w:highlight w:val="white"/>
          <w:lang w:val="en-US"/>
        </w:rPr>
        <w:t xml:space="preserve"> records, justice files, and urban planning archives. </w:t>
      </w:r>
      <w:proofErr w:type="spellStart"/>
      <w:r w:rsidRPr="00A746D8">
        <w:rPr>
          <w:rFonts w:eastAsia="Calibri"/>
          <w:highlight w:val="white"/>
          <w:lang w:val="en-US"/>
        </w:rPr>
        <w:t>Digitisation</w:t>
      </w:r>
      <w:proofErr w:type="spellEnd"/>
      <w:r w:rsidRPr="00A746D8">
        <w:rPr>
          <w:rFonts w:eastAsia="Calibri"/>
          <w:highlight w:val="white"/>
          <w:lang w:val="en-US"/>
        </w:rPr>
        <w:t xml:space="preserve"> of these public sector archives enhances accessibility and efficiency, while supporting fiscal savings and the broader digital transformation of the state through improved data management. Significant progress has been achieved, with over 1.17 billion pages </w:t>
      </w:r>
      <w:proofErr w:type="spellStart"/>
      <w:r w:rsidRPr="00A746D8">
        <w:rPr>
          <w:rFonts w:eastAsia="Calibri"/>
          <w:highlight w:val="white"/>
          <w:lang w:val="en-US"/>
        </w:rPr>
        <w:t>digitised</w:t>
      </w:r>
      <w:proofErr w:type="spellEnd"/>
      <w:r w:rsidRPr="00A746D8">
        <w:rPr>
          <w:rFonts w:eastAsia="Calibri"/>
          <w:highlight w:val="white"/>
          <w:lang w:val="en-US"/>
        </w:rPr>
        <w:t xml:space="preserve"> (exceeding 100% of the initial target) overall, while metadata creation has reached approximately 75% and system integration around 75%.  Implementation is well advanced, and the project is expected to be completed by August 2026.</w:t>
      </w:r>
    </w:p>
    <w:p w14:paraId="11994D35" w14:textId="77777777" w:rsidR="00451CC2" w:rsidRPr="00A746D8" w:rsidRDefault="00451CC2" w:rsidP="00353C6F">
      <w:pPr>
        <w:rPr>
          <w:rFonts w:eastAsia="Calibri"/>
          <w:highlight w:val="white"/>
          <w:lang w:val="en-US"/>
        </w:rPr>
      </w:pPr>
      <w:r w:rsidRPr="00A746D8">
        <w:rPr>
          <w:rFonts w:eastAsia="Calibri"/>
          <w:highlight w:val="white"/>
          <w:lang w:val="en-US"/>
        </w:rPr>
        <w:t xml:space="preserve">The new </w:t>
      </w:r>
      <w:r w:rsidRPr="00A746D8">
        <w:rPr>
          <w:rFonts w:eastAsia="Calibri"/>
          <w:b/>
          <w:bCs/>
          <w:highlight w:val="white"/>
          <w:lang w:val="en-US"/>
        </w:rPr>
        <w:t>Central Vehicle Registry</w:t>
      </w:r>
      <w:r w:rsidRPr="00A746D8">
        <w:rPr>
          <w:rFonts w:eastAsia="Calibri"/>
          <w:highlight w:val="white"/>
          <w:lang w:val="en-US"/>
        </w:rPr>
        <w:t xml:space="preserve"> consolidates and manages all vehicle-related information in the country by integrating data from multiple existing registries and systems. This initiative aims to improve data accuracy, provide comprehensive services to citizens and enable effective regulatory oversight. Key functionalities include the collection and processing of data through interoperability and file exchange, the identification and removal of inactive vehicles following notification to owners, and the automation of fine enforcement, including the handling of appeals. The initiative enhances transparency by preventing fraud and tax evasion, improves road safety for drivers, passengers and pedestrians, and simplifies administrative and commercial processes. The Vehicle Clearance Registry was established under Article 18 of Law 5113/2024, with its implementation further specified by two Joint Ministerial Decisions (OJ 584 B’ / 2025 and OJ 667 B’ / 2025), which define interoperability requirements and related provisions. Following the signing of the contract at the end of 2024, the initial phase of system development </w:t>
      </w:r>
      <w:r w:rsidR="00E601A4">
        <w:rPr>
          <w:lang w:val="en-US"/>
        </w:rPr>
        <w:t>—</w:t>
      </w:r>
      <w:r w:rsidRPr="00A746D8">
        <w:rPr>
          <w:rFonts w:eastAsia="Calibri"/>
          <w:highlight w:val="white"/>
          <w:lang w:val="en-US"/>
        </w:rPr>
        <w:t>focusing on parameterization</w:t>
      </w:r>
      <w:r w:rsidR="00E601A4">
        <w:rPr>
          <w:lang w:val="en-US"/>
        </w:rPr>
        <w:t>—</w:t>
      </w:r>
      <w:r w:rsidRPr="00A746D8">
        <w:rPr>
          <w:rFonts w:eastAsia="Calibri"/>
          <w:highlight w:val="white"/>
          <w:lang w:val="en-US"/>
        </w:rPr>
        <w:t xml:space="preserve"> was completed in summer 2025. Building on this progress, enforcement activities have already delivered measurable results. Between 2025 and January 2026, cross-checks identified over 263,000 cases of insurance non-compliance and </w:t>
      </w:r>
      <w:r w:rsidRPr="00A746D8">
        <w:rPr>
          <w:rFonts w:eastAsia="Calibri"/>
          <w:highlight w:val="white"/>
          <w:lang w:val="en-US"/>
        </w:rPr>
        <w:lastRenderedPageBreak/>
        <w:t xml:space="preserve">over 223,000 cases of unpaid road taxes. More than 125,000 fines were imposed for uninsured vehicles and over 172,000 fines for road-tax non-compliance, generating total revenues of approximately €109.5 million. The second phase is currently underway and includes software development, expected to be completed by the end of June 2026, along with the necessary training activities, ensuring the overall completion of the project. </w:t>
      </w:r>
    </w:p>
    <w:p w14:paraId="41339231" w14:textId="77777777" w:rsidR="00451CC2" w:rsidRPr="00A746D8" w:rsidRDefault="00451CC2" w:rsidP="00353C6F">
      <w:pPr>
        <w:rPr>
          <w:rFonts w:eastAsia="Calibri"/>
          <w:highlight w:val="white"/>
          <w:lang w:val="en-US"/>
        </w:rPr>
      </w:pPr>
      <w:r w:rsidRPr="00A746D8">
        <w:rPr>
          <w:rFonts w:eastAsia="Calibri"/>
          <w:highlight w:val="white"/>
          <w:lang w:val="en-US"/>
        </w:rPr>
        <w:t xml:space="preserve">The </w:t>
      </w:r>
      <w:r w:rsidRPr="00A746D8">
        <w:rPr>
          <w:rFonts w:eastAsia="Calibri"/>
          <w:b/>
          <w:bCs/>
          <w:highlight w:val="white"/>
          <w:lang w:val="en-US"/>
        </w:rPr>
        <w:t>Digital Certificates of Traffic Offences</w:t>
      </w:r>
      <w:r w:rsidRPr="00A746D8">
        <w:rPr>
          <w:rFonts w:eastAsia="Calibri"/>
          <w:highlight w:val="white"/>
          <w:lang w:val="en-US"/>
        </w:rPr>
        <w:t xml:space="preserve"> serves as the central platform for recording and managing police controls and fines at national level, while interoperating with traffic control cameras for the prevention and detection of violations. It will process and </w:t>
      </w:r>
      <w:proofErr w:type="spellStart"/>
      <w:r w:rsidRPr="00A746D8">
        <w:rPr>
          <w:rFonts w:eastAsia="Calibri"/>
          <w:highlight w:val="white"/>
          <w:lang w:val="en-US"/>
        </w:rPr>
        <w:t>analyse</w:t>
      </w:r>
      <w:proofErr w:type="spellEnd"/>
      <w:r w:rsidRPr="00A746D8">
        <w:rPr>
          <w:rFonts w:eastAsia="Calibri"/>
          <w:highlight w:val="white"/>
          <w:lang w:val="en-US"/>
        </w:rPr>
        <w:t xml:space="preserve"> camera-generated data, </w:t>
      </w:r>
      <w:proofErr w:type="spellStart"/>
      <w:r w:rsidRPr="00A746D8">
        <w:rPr>
          <w:rFonts w:eastAsia="Calibri"/>
          <w:highlight w:val="white"/>
          <w:lang w:val="en-US"/>
        </w:rPr>
        <w:t>digitise</w:t>
      </w:r>
      <w:proofErr w:type="spellEnd"/>
      <w:r w:rsidRPr="00A746D8">
        <w:rPr>
          <w:rFonts w:eastAsia="Calibri"/>
          <w:highlight w:val="white"/>
          <w:lang w:val="en-US"/>
        </w:rPr>
        <w:t xml:space="preserve"> control and sanctioning procedures, and manage fine-related information. The system will also interoperate with public sector information systems for automated real-time data retrieval, enable the submission of digital objections and electronic fines, and provide real-time data interfaces to third-party systems within their respective areas of competence. By </w:t>
      </w:r>
      <w:proofErr w:type="spellStart"/>
      <w:r w:rsidRPr="00A746D8">
        <w:rPr>
          <w:rFonts w:eastAsia="Calibri"/>
          <w:highlight w:val="white"/>
          <w:lang w:val="en-US"/>
        </w:rPr>
        <w:t>centralising</w:t>
      </w:r>
      <w:proofErr w:type="spellEnd"/>
      <w:r w:rsidRPr="00A746D8">
        <w:rPr>
          <w:rFonts w:eastAsia="Calibri"/>
          <w:highlight w:val="white"/>
          <w:lang w:val="en-US"/>
        </w:rPr>
        <w:t xml:space="preserve"> currently fragmented processes and datasets, the project supports evidence-based policy making, improves road safety and reduces administrative burden, while accelerating service delivery to citizens. The issuance of the relevant legislation (OJ 223 A’/2025), followed by a Joint Ministerial Decision (OJ 543 B’/2026), has established the legal framework for the deployment of the first cameras equipped with integrated Artificial Intelligence functions at selected points of the road network. These systems will feed a pilot information system for the recording and analysis of traffic violation data. The full roll-out of the integrated information system is scheduled for completion by the end of October 2026.</w:t>
      </w:r>
    </w:p>
    <w:p w14:paraId="727C3485" w14:textId="77777777" w:rsidR="00451CC2" w:rsidRPr="00A746D8" w:rsidRDefault="00451CC2" w:rsidP="00451CC2">
      <w:pPr>
        <w:spacing w:before="240"/>
        <w:rPr>
          <w:rFonts w:ascii="Calibri" w:eastAsia="Calibri" w:hAnsi="Calibri" w:cs="Calibri"/>
          <w:sz w:val="24"/>
          <w:szCs w:val="24"/>
          <w:lang w:val="en-US"/>
        </w:rPr>
      </w:pPr>
    </w:p>
    <w:p w14:paraId="21F7C08A" w14:textId="77777777" w:rsidR="00451CC2" w:rsidRPr="003566DC" w:rsidRDefault="003566DC" w:rsidP="00425017">
      <w:pPr>
        <w:pStyle w:val="Heading2"/>
        <w:pBdr>
          <w:bottom w:val="single" w:sz="4" w:space="1" w:color="4F81BD" w:themeColor="accent1"/>
        </w:pBdr>
        <w:spacing w:before="960"/>
        <w:rPr>
          <w:rFonts w:eastAsia="Calibri"/>
          <w:sz w:val="36"/>
          <w:lang w:val="en-US"/>
        </w:rPr>
      </w:pPr>
      <w:bookmarkStart w:id="82" w:name="_Toc227932511"/>
      <w:bookmarkStart w:id="83" w:name="_Toc228279104"/>
      <w:r>
        <w:rPr>
          <w:rFonts w:eastAsia="Calibri"/>
          <w:sz w:val="36"/>
          <w:lang w:val="en-US"/>
        </w:rPr>
        <w:t>M</w:t>
      </w:r>
      <w:r w:rsidRPr="003566DC">
        <w:rPr>
          <w:rFonts w:eastAsia="Calibri"/>
          <w:sz w:val="36"/>
          <w:lang w:val="en-US"/>
        </w:rPr>
        <w:t xml:space="preserve">inistry of </w:t>
      </w:r>
      <w:r>
        <w:rPr>
          <w:rFonts w:eastAsia="Calibri"/>
          <w:sz w:val="36"/>
          <w:lang w:val="en-US"/>
        </w:rPr>
        <w:t>C</w:t>
      </w:r>
      <w:r w:rsidRPr="003566DC">
        <w:rPr>
          <w:rFonts w:eastAsia="Calibri"/>
          <w:sz w:val="36"/>
          <w:lang w:val="en-US"/>
        </w:rPr>
        <w:t xml:space="preserve">limate </w:t>
      </w:r>
      <w:r>
        <w:rPr>
          <w:rFonts w:eastAsia="Calibri"/>
          <w:sz w:val="36"/>
          <w:lang w:val="en-US"/>
        </w:rPr>
        <w:t>C</w:t>
      </w:r>
      <w:r w:rsidRPr="003566DC">
        <w:rPr>
          <w:rFonts w:eastAsia="Calibri"/>
          <w:sz w:val="36"/>
          <w:lang w:val="en-US"/>
        </w:rPr>
        <w:t xml:space="preserve">risis and </w:t>
      </w:r>
      <w:r>
        <w:rPr>
          <w:rFonts w:eastAsia="Calibri"/>
          <w:sz w:val="36"/>
          <w:lang w:val="en-US"/>
        </w:rPr>
        <w:t>C</w:t>
      </w:r>
      <w:r w:rsidRPr="003566DC">
        <w:rPr>
          <w:rFonts w:eastAsia="Calibri"/>
          <w:sz w:val="36"/>
          <w:lang w:val="en-US"/>
        </w:rPr>
        <w:t xml:space="preserve">ivil </w:t>
      </w:r>
      <w:r>
        <w:rPr>
          <w:rFonts w:eastAsia="Calibri"/>
          <w:sz w:val="36"/>
          <w:lang w:val="en-US"/>
        </w:rPr>
        <w:t>P</w:t>
      </w:r>
      <w:r w:rsidRPr="003566DC">
        <w:rPr>
          <w:rFonts w:eastAsia="Calibri"/>
          <w:sz w:val="36"/>
          <w:lang w:val="en-US"/>
        </w:rPr>
        <w:t>rotection</w:t>
      </w:r>
      <w:bookmarkEnd w:id="82"/>
      <w:bookmarkEnd w:id="83"/>
    </w:p>
    <w:tbl>
      <w:tblPr>
        <w:tblW w:w="8935" w:type="dxa"/>
        <w:jc w:val="center"/>
        <w:tblBorders>
          <w:top w:val="single" w:sz="2" w:space="0" w:color="4F81BD" w:themeColor="accent1"/>
          <w:left w:val="single" w:sz="2" w:space="0" w:color="4F81BD" w:themeColor="accent1"/>
          <w:bottom w:val="single" w:sz="2" w:space="0" w:color="4F81BD" w:themeColor="accent1"/>
          <w:right w:val="single" w:sz="2" w:space="0" w:color="4F81BD" w:themeColor="accent1"/>
          <w:insideH w:val="single" w:sz="2" w:space="0" w:color="4F81BD" w:themeColor="accent1"/>
          <w:insideV w:val="single" w:sz="2" w:space="0" w:color="4F81BD" w:themeColor="accent1"/>
        </w:tblBorders>
        <w:tblLayout w:type="fixed"/>
        <w:tblLook w:val="0600" w:firstRow="0" w:lastRow="0" w:firstColumn="0" w:lastColumn="0" w:noHBand="1" w:noVBand="1"/>
      </w:tblPr>
      <w:tblGrid>
        <w:gridCol w:w="3966"/>
        <w:gridCol w:w="977"/>
        <w:gridCol w:w="1547"/>
        <w:gridCol w:w="1445"/>
        <w:gridCol w:w="1000"/>
      </w:tblGrid>
      <w:tr w:rsidR="00451CC2" w:rsidRPr="00AF4CDD" w14:paraId="181DC513" w14:textId="77777777" w:rsidTr="00E06BFF">
        <w:trPr>
          <w:trHeight w:val="170"/>
          <w:jc w:val="center"/>
        </w:trPr>
        <w:tc>
          <w:tcPr>
            <w:tcW w:w="3966" w:type="dxa"/>
            <w:shd w:val="clear" w:color="auto" w:fill="CFE2F3"/>
            <w:vAlign w:val="center"/>
          </w:tcPr>
          <w:p w14:paraId="38A2291A" w14:textId="77777777" w:rsidR="00451CC2" w:rsidRPr="00AF4CDD" w:rsidRDefault="00451CC2" w:rsidP="00AF4CDD">
            <w:pPr>
              <w:pStyle w:val="Tabletext"/>
              <w:rPr>
                <w:rFonts w:eastAsia="Calibri"/>
                <w:b/>
              </w:rPr>
            </w:pPr>
            <w:r w:rsidRPr="00AF4CDD">
              <w:rPr>
                <w:rFonts w:eastAsia="Calibri"/>
                <w:b/>
              </w:rPr>
              <w:t>REFORM / INVESTMENT</w:t>
            </w:r>
          </w:p>
        </w:tc>
        <w:tc>
          <w:tcPr>
            <w:tcW w:w="977" w:type="dxa"/>
            <w:shd w:val="clear" w:color="auto" w:fill="CFE2F3"/>
            <w:vAlign w:val="center"/>
          </w:tcPr>
          <w:p w14:paraId="400FA269" w14:textId="77777777" w:rsidR="00451CC2" w:rsidRPr="00AF4CDD" w:rsidRDefault="00451CC2" w:rsidP="00AF4CDD">
            <w:pPr>
              <w:pStyle w:val="Tabletext"/>
              <w:rPr>
                <w:rFonts w:eastAsia="Calibri"/>
                <w:b/>
              </w:rPr>
            </w:pPr>
            <w:r w:rsidRPr="00AF4CDD">
              <w:rPr>
                <w:rFonts w:eastAsia="Calibri"/>
                <w:b/>
              </w:rPr>
              <w:t xml:space="preserve">RRF / MFF </w:t>
            </w:r>
          </w:p>
        </w:tc>
        <w:tc>
          <w:tcPr>
            <w:tcW w:w="1547" w:type="dxa"/>
            <w:shd w:val="clear" w:color="auto" w:fill="CFE2F3"/>
            <w:vAlign w:val="center"/>
          </w:tcPr>
          <w:p w14:paraId="32D6796D" w14:textId="77777777" w:rsidR="00451CC2" w:rsidRPr="00AF4CDD" w:rsidRDefault="00451CC2" w:rsidP="00AF4CDD">
            <w:pPr>
              <w:pStyle w:val="Tabletext"/>
              <w:rPr>
                <w:rFonts w:eastAsia="Calibri"/>
                <w:b/>
              </w:rPr>
            </w:pPr>
            <w:r w:rsidRPr="00AF4CDD">
              <w:rPr>
                <w:rFonts w:eastAsia="Calibri"/>
                <w:b/>
              </w:rPr>
              <w:t xml:space="preserve">CSR </w:t>
            </w:r>
          </w:p>
        </w:tc>
        <w:tc>
          <w:tcPr>
            <w:tcW w:w="1445" w:type="dxa"/>
            <w:shd w:val="clear" w:color="auto" w:fill="CFE2F3"/>
            <w:vAlign w:val="center"/>
          </w:tcPr>
          <w:p w14:paraId="68FD17EC" w14:textId="77777777" w:rsidR="00451CC2" w:rsidRPr="00AF4CDD" w:rsidRDefault="00451CC2" w:rsidP="00AF4CDD">
            <w:pPr>
              <w:pStyle w:val="Tabletext"/>
              <w:rPr>
                <w:rFonts w:eastAsia="Calibri"/>
                <w:b/>
              </w:rPr>
            </w:pPr>
            <w:r w:rsidRPr="00AF4CDD">
              <w:rPr>
                <w:rFonts w:eastAsia="Calibri"/>
                <w:b/>
              </w:rPr>
              <w:t>COMMON PRIORITIES</w:t>
            </w:r>
          </w:p>
        </w:tc>
        <w:tc>
          <w:tcPr>
            <w:tcW w:w="1000" w:type="dxa"/>
            <w:shd w:val="clear" w:color="auto" w:fill="CFE2F3"/>
            <w:vAlign w:val="center"/>
          </w:tcPr>
          <w:p w14:paraId="508BA3F5" w14:textId="77777777" w:rsidR="00451CC2" w:rsidRPr="00AF4CDD" w:rsidRDefault="00451CC2" w:rsidP="00AF4CDD">
            <w:pPr>
              <w:pStyle w:val="Tabletext"/>
              <w:rPr>
                <w:rFonts w:eastAsia="Calibri"/>
                <w:b/>
              </w:rPr>
            </w:pPr>
            <w:r w:rsidRPr="00AF4CDD">
              <w:rPr>
                <w:rFonts w:eastAsia="Calibri"/>
                <w:b/>
              </w:rPr>
              <w:t>On-track status</w:t>
            </w:r>
          </w:p>
        </w:tc>
      </w:tr>
      <w:tr w:rsidR="00451CC2" w:rsidRPr="00AF4CDD" w14:paraId="62590670" w14:textId="77777777" w:rsidTr="00E06BFF">
        <w:trPr>
          <w:trHeight w:val="170"/>
          <w:jc w:val="center"/>
        </w:trPr>
        <w:tc>
          <w:tcPr>
            <w:tcW w:w="3966" w:type="dxa"/>
            <w:tcMar>
              <w:top w:w="0" w:type="dxa"/>
              <w:left w:w="100" w:type="dxa"/>
              <w:bottom w:w="0" w:type="dxa"/>
              <w:right w:w="100" w:type="dxa"/>
            </w:tcMar>
            <w:vAlign w:val="center"/>
          </w:tcPr>
          <w:p w14:paraId="491E1FED" w14:textId="77777777" w:rsidR="00451CC2" w:rsidRPr="00AF4CDD" w:rsidRDefault="00451CC2" w:rsidP="00AF4CDD">
            <w:pPr>
              <w:pStyle w:val="Tabletext"/>
              <w:rPr>
                <w:rFonts w:eastAsia="Calibri"/>
              </w:rPr>
            </w:pPr>
            <w:r w:rsidRPr="00FA1AB3">
              <w:rPr>
                <w:rFonts w:eastAsia="Calibri"/>
                <w:b/>
              </w:rPr>
              <w:t>REFORM  1:</w:t>
            </w:r>
            <w:r w:rsidRPr="00AF4CDD">
              <w:rPr>
                <w:rFonts w:eastAsia="Calibri"/>
              </w:rPr>
              <w:t xml:space="preserve"> National Disaster Risk Management Action Plan</w:t>
            </w:r>
          </w:p>
        </w:tc>
        <w:tc>
          <w:tcPr>
            <w:tcW w:w="977" w:type="dxa"/>
            <w:tcMar>
              <w:top w:w="0" w:type="dxa"/>
              <w:left w:w="100" w:type="dxa"/>
              <w:bottom w:w="0" w:type="dxa"/>
              <w:right w:w="100" w:type="dxa"/>
            </w:tcMar>
            <w:vAlign w:val="center"/>
          </w:tcPr>
          <w:p w14:paraId="23BB9F84" w14:textId="77777777" w:rsidR="00451CC2" w:rsidRPr="00AF4CDD" w:rsidRDefault="00451CC2" w:rsidP="00AF4CDD">
            <w:pPr>
              <w:pStyle w:val="Tabletext"/>
              <w:rPr>
                <w:rFonts w:eastAsia="Calibri"/>
              </w:rPr>
            </w:pPr>
            <w:r w:rsidRPr="00AF4CDD">
              <w:rPr>
                <w:rFonts w:eastAsia="Calibri"/>
              </w:rPr>
              <w:t>-</w:t>
            </w:r>
          </w:p>
        </w:tc>
        <w:tc>
          <w:tcPr>
            <w:tcW w:w="1547" w:type="dxa"/>
            <w:tcMar>
              <w:top w:w="0" w:type="dxa"/>
              <w:left w:w="100" w:type="dxa"/>
              <w:bottom w:w="0" w:type="dxa"/>
              <w:right w:w="100" w:type="dxa"/>
            </w:tcMar>
            <w:vAlign w:val="center"/>
          </w:tcPr>
          <w:p w14:paraId="6FE34B50" w14:textId="77777777" w:rsidR="00451CC2" w:rsidRPr="00AF4CDD" w:rsidRDefault="00451CC2" w:rsidP="00AF4CDD">
            <w:pPr>
              <w:pStyle w:val="Tabletext"/>
              <w:rPr>
                <w:rFonts w:eastAsia="Calibri"/>
              </w:rPr>
            </w:pPr>
            <w:r w:rsidRPr="00AF4CDD">
              <w:rPr>
                <w:rFonts w:eastAsia="Calibri"/>
              </w:rPr>
              <w:t>2025 CSR 4.6 2024.CSR 4.2</w:t>
            </w:r>
            <w:r w:rsidRPr="00AF4CDD">
              <w:rPr>
                <w:rFonts w:eastAsia="Calibri"/>
              </w:rPr>
              <w:br/>
              <w:t>2023.CSR 1.9</w:t>
            </w:r>
          </w:p>
        </w:tc>
        <w:tc>
          <w:tcPr>
            <w:tcW w:w="1445" w:type="dxa"/>
            <w:tcMar>
              <w:top w:w="0" w:type="dxa"/>
              <w:left w:w="100" w:type="dxa"/>
              <w:bottom w:w="0" w:type="dxa"/>
              <w:right w:w="100" w:type="dxa"/>
            </w:tcMar>
            <w:vAlign w:val="center"/>
          </w:tcPr>
          <w:p w14:paraId="7DCD3D63" w14:textId="77777777" w:rsidR="00451CC2" w:rsidRPr="00AF4CDD" w:rsidRDefault="00451CC2" w:rsidP="00AF4CDD">
            <w:pPr>
              <w:pStyle w:val="Tabletext"/>
              <w:rPr>
                <w:rFonts w:eastAsia="Calibri"/>
              </w:rPr>
            </w:pPr>
            <w:r w:rsidRPr="00AF4CDD">
              <w:rPr>
                <w:rFonts w:eastAsia="Calibri"/>
              </w:rPr>
              <w:t>Social and Economic resilience</w:t>
            </w:r>
          </w:p>
        </w:tc>
        <w:tc>
          <w:tcPr>
            <w:tcW w:w="1000" w:type="dxa"/>
            <w:tcMar>
              <w:top w:w="0" w:type="dxa"/>
              <w:left w:w="100" w:type="dxa"/>
              <w:bottom w:w="0" w:type="dxa"/>
              <w:right w:w="100" w:type="dxa"/>
            </w:tcMar>
            <w:vAlign w:val="center"/>
          </w:tcPr>
          <w:p w14:paraId="45B8EC96" w14:textId="77777777" w:rsidR="00451CC2" w:rsidRPr="00AF4CDD" w:rsidRDefault="00451CC2" w:rsidP="00AF4CDD">
            <w:pPr>
              <w:pStyle w:val="Tabletext"/>
              <w:rPr>
                <w:rFonts w:eastAsia="Calibri"/>
              </w:rPr>
            </w:pPr>
            <w:r w:rsidRPr="00AF4CDD">
              <w:rPr>
                <w:rFonts w:eastAsia="Calibri"/>
              </w:rPr>
              <w:t>On track</w:t>
            </w:r>
          </w:p>
        </w:tc>
      </w:tr>
      <w:tr w:rsidR="00451CC2" w:rsidRPr="00AF4CDD" w14:paraId="65409C29" w14:textId="77777777" w:rsidTr="00E06BFF">
        <w:trPr>
          <w:trHeight w:val="170"/>
          <w:jc w:val="center"/>
        </w:trPr>
        <w:tc>
          <w:tcPr>
            <w:tcW w:w="3966" w:type="dxa"/>
            <w:tcMar>
              <w:top w:w="0" w:type="dxa"/>
              <w:left w:w="100" w:type="dxa"/>
              <w:bottom w:w="0" w:type="dxa"/>
              <w:right w:w="100" w:type="dxa"/>
            </w:tcMar>
            <w:vAlign w:val="center"/>
          </w:tcPr>
          <w:p w14:paraId="0C58EFA0" w14:textId="77777777" w:rsidR="00451CC2" w:rsidRPr="00AF4CDD" w:rsidRDefault="00540671" w:rsidP="00AF4CDD">
            <w:pPr>
              <w:pStyle w:val="Tabletext"/>
              <w:rPr>
                <w:rFonts w:eastAsia="Calibri"/>
              </w:rPr>
            </w:pPr>
            <w:bookmarkStart w:id="84" w:name="_heading=h.3znysh7" w:colFirst="0" w:colLast="0"/>
            <w:bookmarkEnd w:id="84"/>
            <w:r w:rsidRPr="00540671">
              <w:rPr>
                <w:rFonts w:eastAsia="Calibri"/>
                <w:b/>
              </w:rPr>
              <w:t>REFORM 2:</w:t>
            </w:r>
            <w:r w:rsidR="00451CC2" w:rsidRPr="00AF4CDD">
              <w:rPr>
                <w:rFonts w:eastAsia="Calibri"/>
              </w:rPr>
              <w:t xml:space="preserve"> Implementation of enhanced prevention regulations and control mechanism as regards fire protection violations </w:t>
            </w:r>
          </w:p>
        </w:tc>
        <w:tc>
          <w:tcPr>
            <w:tcW w:w="977" w:type="dxa"/>
            <w:tcMar>
              <w:top w:w="0" w:type="dxa"/>
              <w:left w:w="100" w:type="dxa"/>
              <w:bottom w:w="0" w:type="dxa"/>
              <w:right w:w="100" w:type="dxa"/>
            </w:tcMar>
            <w:vAlign w:val="center"/>
          </w:tcPr>
          <w:p w14:paraId="4AED870B" w14:textId="77777777" w:rsidR="00451CC2" w:rsidRPr="00AF4CDD" w:rsidRDefault="00451CC2" w:rsidP="00AF4CDD">
            <w:pPr>
              <w:pStyle w:val="Tabletext"/>
              <w:rPr>
                <w:rFonts w:eastAsia="Calibri"/>
              </w:rPr>
            </w:pPr>
            <w:r w:rsidRPr="00AF4CDD">
              <w:rPr>
                <w:rFonts w:eastAsia="Calibri"/>
              </w:rPr>
              <w:t>-</w:t>
            </w:r>
          </w:p>
        </w:tc>
        <w:tc>
          <w:tcPr>
            <w:tcW w:w="1547" w:type="dxa"/>
            <w:tcMar>
              <w:top w:w="0" w:type="dxa"/>
              <w:left w:w="100" w:type="dxa"/>
              <w:bottom w:w="0" w:type="dxa"/>
              <w:right w:w="100" w:type="dxa"/>
            </w:tcMar>
            <w:vAlign w:val="center"/>
          </w:tcPr>
          <w:p w14:paraId="15629A80" w14:textId="77777777" w:rsidR="00451CC2" w:rsidRPr="00AF4CDD" w:rsidRDefault="00451CC2" w:rsidP="00AF4CDD">
            <w:pPr>
              <w:pStyle w:val="Tabletext"/>
              <w:rPr>
                <w:rFonts w:eastAsia="Calibri"/>
              </w:rPr>
            </w:pPr>
            <w:r w:rsidRPr="00AF4CDD">
              <w:rPr>
                <w:rFonts w:eastAsia="Calibri"/>
              </w:rPr>
              <w:t>2025 CSR 4.6 2024.CSR 4.2 2019.CSR 2.2</w:t>
            </w:r>
          </w:p>
        </w:tc>
        <w:tc>
          <w:tcPr>
            <w:tcW w:w="1445" w:type="dxa"/>
            <w:tcMar>
              <w:top w:w="0" w:type="dxa"/>
              <w:left w:w="100" w:type="dxa"/>
              <w:bottom w:w="0" w:type="dxa"/>
              <w:right w:w="100" w:type="dxa"/>
            </w:tcMar>
            <w:vAlign w:val="center"/>
          </w:tcPr>
          <w:p w14:paraId="2465970A" w14:textId="77777777" w:rsidR="00022E7C" w:rsidRDefault="00451CC2" w:rsidP="00AF4CDD">
            <w:pPr>
              <w:pStyle w:val="Tabletext"/>
              <w:rPr>
                <w:rFonts w:eastAsia="Calibri"/>
              </w:rPr>
            </w:pPr>
            <w:r w:rsidRPr="00AF4CDD">
              <w:rPr>
                <w:rFonts w:eastAsia="Calibri"/>
              </w:rPr>
              <w:t xml:space="preserve">Fair green </w:t>
            </w:r>
          </w:p>
          <w:p w14:paraId="02CDCA64" w14:textId="302C0917" w:rsidR="00451CC2" w:rsidRPr="00AF4CDD" w:rsidRDefault="00451CC2" w:rsidP="00AF4CDD">
            <w:pPr>
              <w:pStyle w:val="Tabletext"/>
              <w:rPr>
                <w:rFonts w:eastAsia="Calibri"/>
              </w:rPr>
            </w:pPr>
            <w:r w:rsidRPr="00AF4CDD">
              <w:rPr>
                <w:rFonts w:eastAsia="Calibri"/>
              </w:rPr>
              <w:t>&amp; digital transition</w:t>
            </w:r>
          </w:p>
        </w:tc>
        <w:tc>
          <w:tcPr>
            <w:tcW w:w="1000" w:type="dxa"/>
            <w:tcMar>
              <w:top w:w="0" w:type="dxa"/>
              <w:left w:w="100" w:type="dxa"/>
              <w:bottom w:w="0" w:type="dxa"/>
              <w:right w:w="100" w:type="dxa"/>
            </w:tcMar>
            <w:vAlign w:val="center"/>
          </w:tcPr>
          <w:p w14:paraId="2BDA000C" w14:textId="77777777" w:rsidR="00451CC2" w:rsidRPr="00AF4CDD" w:rsidRDefault="00451CC2" w:rsidP="00AF4CDD">
            <w:pPr>
              <w:pStyle w:val="Tabletext"/>
              <w:rPr>
                <w:rFonts w:eastAsia="Calibri"/>
              </w:rPr>
            </w:pPr>
            <w:r w:rsidRPr="00AF4CDD">
              <w:rPr>
                <w:rFonts w:eastAsia="Calibri"/>
              </w:rPr>
              <w:t>On track</w:t>
            </w:r>
          </w:p>
        </w:tc>
      </w:tr>
      <w:tr w:rsidR="00451CC2" w:rsidRPr="00AF4CDD" w14:paraId="7F09FB48" w14:textId="77777777" w:rsidTr="00E06BFF">
        <w:trPr>
          <w:trHeight w:val="170"/>
          <w:jc w:val="center"/>
        </w:trPr>
        <w:tc>
          <w:tcPr>
            <w:tcW w:w="3966" w:type="dxa"/>
            <w:tcMar>
              <w:top w:w="0" w:type="dxa"/>
              <w:left w:w="100" w:type="dxa"/>
              <w:bottom w:w="0" w:type="dxa"/>
              <w:right w:w="100" w:type="dxa"/>
            </w:tcMar>
            <w:vAlign w:val="center"/>
          </w:tcPr>
          <w:p w14:paraId="7AB3AC87" w14:textId="77777777" w:rsidR="00451CC2" w:rsidRPr="00AF4CDD" w:rsidRDefault="00540671" w:rsidP="00AF4CDD">
            <w:pPr>
              <w:pStyle w:val="Tabletext"/>
              <w:rPr>
                <w:rFonts w:eastAsia="Calibri"/>
              </w:rPr>
            </w:pPr>
            <w:r w:rsidRPr="00540671">
              <w:rPr>
                <w:rFonts w:eastAsia="Calibri"/>
                <w:b/>
              </w:rPr>
              <w:t>REFORM 3:</w:t>
            </w:r>
            <w:r w:rsidR="00451CC2" w:rsidRPr="00AF4CDD">
              <w:rPr>
                <w:rFonts w:eastAsia="Calibri"/>
              </w:rPr>
              <w:t xml:space="preserve"> Enhancement of the Earthquake Planning and Protection Organization's (EPPO) readiness and response</w:t>
            </w:r>
          </w:p>
        </w:tc>
        <w:tc>
          <w:tcPr>
            <w:tcW w:w="977" w:type="dxa"/>
            <w:tcMar>
              <w:top w:w="0" w:type="dxa"/>
              <w:left w:w="100" w:type="dxa"/>
              <w:bottom w:w="0" w:type="dxa"/>
              <w:right w:w="100" w:type="dxa"/>
            </w:tcMar>
            <w:vAlign w:val="center"/>
          </w:tcPr>
          <w:p w14:paraId="59EEBCDD" w14:textId="77777777" w:rsidR="00451CC2" w:rsidRPr="00AF4CDD" w:rsidRDefault="00451CC2" w:rsidP="00AF4CDD">
            <w:pPr>
              <w:pStyle w:val="Tabletext"/>
              <w:rPr>
                <w:rFonts w:eastAsia="Calibri"/>
              </w:rPr>
            </w:pPr>
          </w:p>
        </w:tc>
        <w:tc>
          <w:tcPr>
            <w:tcW w:w="1547" w:type="dxa"/>
            <w:tcMar>
              <w:top w:w="0" w:type="dxa"/>
              <w:left w:w="100" w:type="dxa"/>
              <w:bottom w:w="0" w:type="dxa"/>
              <w:right w:w="100" w:type="dxa"/>
            </w:tcMar>
            <w:vAlign w:val="center"/>
          </w:tcPr>
          <w:p w14:paraId="36D05403" w14:textId="77777777" w:rsidR="00451CC2" w:rsidRPr="00AF4CDD" w:rsidRDefault="00451CC2" w:rsidP="00AF4CDD">
            <w:pPr>
              <w:pStyle w:val="Tabletext"/>
              <w:rPr>
                <w:rFonts w:eastAsia="Calibri"/>
              </w:rPr>
            </w:pPr>
            <w:r w:rsidRPr="00AF4CDD">
              <w:rPr>
                <w:rFonts w:eastAsia="Calibri"/>
              </w:rPr>
              <w:t>2024.CSR 4.2</w:t>
            </w:r>
            <w:r w:rsidRPr="00AF4CDD">
              <w:rPr>
                <w:rFonts w:eastAsia="Calibri"/>
              </w:rPr>
              <w:br/>
              <w:t>2020.CSR 3.8</w:t>
            </w:r>
            <w:r w:rsidRPr="00AF4CDD">
              <w:rPr>
                <w:rFonts w:eastAsia="Calibri"/>
              </w:rPr>
              <w:br/>
              <w:t>2019.CSR 2.5</w:t>
            </w:r>
            <w:r w:rsidRPr="00AF4CDD">
              <w:rPr>
                <w:rFonts w:eastAsia="Calibri"/>
              </w:rPr>
              <w:br/>
              <w:t>2019.CSR 2.6</w:t>
            </w:r>
          </w:p>
        </w:tc>
        <w:tc>
          <w:tcPr>
            <w:tcW w:w="1445" w:type="dxa"/>
            <w:tcMar>
              <w:top w:w="0" w:type="dxa"/>
              <w:left w:w="100" w:type="dxa"/>
              <w:bottom w:w="0" w:type="dxa"/>
              <w:right w:w="100" w:type="dxa"/>
            </w:tcMar>
            <w:vAlign w:val="center"/>
          </w:tcPr>
          <w:p w14:paraId="7133B5E1" w14:textId="77777777" w:rsidR="00451CC2" w:rsidRPr="00AF4CDD" w:rsidRDefault="00451CC2" w:rsidP="00AF4CDD">
            <w:pPr>
              <w:pStyle w:val="Tabletext"/>
              <w:rPr>
                <w:rFonts w:eastAsia="Calibri"/>
              </w:rPr>
            </w:pPr>
            <w:r w:rsidRPr="00AF4CDD">
              <w:rPr>
                <w:rFonts w:eastAsia="Calibri"/>
              </w:rPr>
              <w:t>Social and Economic resilience</w:t>
            </w:r>
          </w:p>
        </w:tc>
        <w:tc>
          <w:tcPr>
            <w:tcW w:w="1000" w:type="dxa"/>
            <w:tcMar>
              <w:top w:w="0" w:type="dxa"/>
              <w:left w:w="100" w:type="dxa"/>
              <w:bottom w:w="0" w:type="dxa"/>
              <w:right w:w="100" w:type="dxa"/>
            </w:tcMar>
            <w:vAlign w:val="center"/>
          </w:tcPr>
          <w:p w14:paraId="67D55AD1" w14:textId="77777777" w:rsidR="00451CC2" w:rsidRPr="00AF4CDD" w:rsidRDefault="00451CC2" w:rsidP="00AF4CDD">
            <w:pPr>
              <w:pStyle w:val="Tabletext"/>
              <w:rPr>
                <w:rFonts w:eastAsia="Calibri"/>
              </w:rPr>
            </w:pPr>
            <w:r w:rsidRPr="00AF4CDD">
              <w:rPr>
                <w:rFonts w:eastAsia="Calibri"/>
              </w:rPr>
              <w:t>On track</w:t>
            </w:r>
          </w:p>
        </w:tc>
      </w:tr>
      <w:tr w:rsidR="00451CC2" w:rsidRPr="00AF4CDD" w14:paraId="7A7A492E" w14:textId="77777777" w:rsidTr="00E06BFF">
        <w:trPr>
          <w:trHeight w:val="170"/>
          <w:jc w:val="center"/>
        </w:trPr>
        <w:tc>
          <w:tcPr>
            <w:tcW w:w="3966" w:type="dxa"/>
            <w:tcMar>
              <w:top w:w="0" w:type="dxa"/>
              <w:left w:w="100" w:type="dxa"/>
              <w:bottom w:w="0" w:type="dxa"/>
              <w:right w:w="100" w:type="dxa"/>
            </w:tcMar>
            <w:vAlign w:val="center"/>
          </w:tcPr>
          <w:p w14:paraId="3CFA06EC" w14:textId="77777777" w:rsidR="00451CC2" w:rsidRPr="00AF4CDD" w:rsidRDefault="00540671" w:rsidP="00AF4CDD">
            <w:pPr>
              <w:pStyle w:val="Tabletext"/>
              <w:rPr>
                <w:rFonts w:eastAsia="Calibri"/>
              </w:rPr>
            </w:pPr>
            <w:r w:rsidRPr="00540671">
              <w:rPr>
                <w:rFonts w:eastAsia="Calibri"/>
                <w:b/>
              </w:rPr>
              <w:t>REFORM 4:</w:t>
            </w:r>
            <w:r w:rsidR="00451CC2" w:rsidRPr="00AF4CDD">
              <w:rPr>
                <w:rFonts w:eastAsia="Calibri"/>
              </w:rPr>
              <w:t xml:space="preserve"> Extension of risk methodology to fire safety regulations as well as establishing new risk assessment and evaluation methodologies </w:t>
            </w:r>
          </w:p>
        </w:tc>
        <w:tc>
          <w:tcPr>
            <w:tcW w:w="977" w:type="dxa"/>
            <w:tcMar>
              <w:top w:w="0" w:type="dxa"/>
              <w:left w:w="100" w:type="dxa"/>
              <w:bottom w:w="0" w:type="dxa"/>
              <w:right w:w="100" w:type="dxa"/>
            </w:tcMar>
            <w:vAlign w:val="center"/>
          </w:tcPr>
          <w:p w14:paraId="5EE858AF" w14:textId="77777777" w:rsidR="00451CC2" w:rsidRPr="00AF4CDD" w:rsidRDefault="00451CC2" w:rsidP="00AF4CDD">
            <w:pPr>
              <w:pStyle w:val="Tabletext"/>
              <w:rPr>
                <w:rFonts w:eastAsia="Calibri"/>
              </w:rPr>
            </w:pPr>
            <w:r w:rsidRPr="00AF4CDD">
              <w:rPr>
                <w:rFonts w:eastAsia="Calibri"/>
              </w:rPr>
              <w:t>RRF 16591</w:t>
            </w:r>
          </w:p>
        </w:tc>
        <w:tc>
          <w:tcPr>
            <w:tcW w:w="1547" w:type="dxa"/>
            <w:tcMar>
              <w:top w:w="0" w:type="dxa"/>
              <w:left w:w="100" w:type="dxa"/>
              <w:bottom w:w="0" w:type="dxa"/>
              <w:right w:w="100" w:type="dxa"/>
            </w:tcMar>
            <w:vAlign w:val="center"/>
          </w:tcPr>
          <w:p w14:paraId="129F2052" w14:textId="77777777" w:rsidR="00451CC2" w:rsidRPr="00AF4CDD" w:rsidRDefault="00451CC2" w:rsidP="00AF4CDD">
            <w:pPr>
              <w:pStyle w:val="Tabletext"/>
              <w:rPr>
                <w:rFonts w:eastAsia="Calibri"/>
              </w:rPr>
            </w:pPr>
            <w:r w:rsidRPr="00AF4CDD">
              <w:rPr>
                <w:rFonts w:eastAsia="Calibri"/>
              </w:rPr>
              <w:t xml:space="preserve">2025.CSR 3.1 2024.CSR 1.7 </w:t>
            </w:r>
          </w:p>
          <w:p w14:paraId="7DA7AF18" w14:textId="77777777" w:rsidR="00451CC2" w:rsidRPr="00AF4CDD" w:rsidRDefault="00451CC2" w:rsidP="00AF4CDD">
            <w:pPr>
              <w:pStyle w:val="Tabletext"/>
              <w:rPr>
                <w:rFonts w:eastAsia="Calibri"/>
              </w:rPr>
            </w:pPr>
            <w:r w:rsidRPr="00AF4CDD">
              <w:rPr>
                <w:rFonts w:eastAsia="Calibri"/>
              </w:rPr>
              <w:t>2020.CSR 3.3</w:t>
            </w:r>
          </w:p>
          <w:p w14:paraId="24F52C99" w14:textId="77777777" w:rsidR="00451CC2" w:rsidRPr="00AF4CDD" w:rsidRDefault="00451CC2" w:rsidP="00AF4CDD">
            <w:pPr>
              <w:pStyle w:val="Tabletext"/>
              <w:rPr>
                <w:rFonts w:eastAsia="Calibri"/>
              </w:rPr>
            </w:pPr>
            <w:r w:rsidRPr="00AF4CDD">
              <w:rPr>
                <w:rFonts w:eastAsia="Calibri"/>
              </w:rPr>
              <w:t>2020.CSR 3.9</w:t>
            </w:r>
          </w:p>
        </w:tc>
        <w:tc>
          <w:tcPr>
            <w:tcW w:w="1445" w:type="dxa"/>
            <w:tcMar>
              <w:top w:w="0" w:type="dxa"/>
              <w:left w:w="100" w:type="dxa"/>
              <w:bottom w:w="0" w:type="dxa"/>
              <w:right w:w="100" w:type="dxa"/>
            </w:tcMar>
            <w:vAlign w:val="center"/>
          </w:tcPr>
          <w:p w14:paraId="1AF7BDC2" w14:textId="77777777" w:rsidR="00022E7C" w:rsidRDefault="00451CC2" w:rsidP="00AF4CDD">
            <w:pPr>
              <w:pStyle w:val="Tabletext"/>
              <w:rPr>
                <w:rFonts w:eastAsia="Calibri"/>
              </w:rPr>
            </w:pPr>
            <w:r w:rsidRPr="00AF4CDD">
              <w:rPr>
                <w:rFonts w:eastAsia="Calibri"/>
              </w:rPr>
              <w:t xml:space="preserve">Fair green </w:t>
            </w:r>
          </w:p>
          <w:p w14:paraId="6CBCAD3D" w14:textId="0717111A" w:rsidR="00451CC2" w:rsidRPr="00AF4CDD" w:rsidRDefault="00451CC2" w:rsidP="00AF4CDD">
            <w:pPr>
              <w:pStyle w:val="Tabletext"/>
              <w:rPr>
                <w:rFonts w:eastAsia="Calibri"/>
              </w:rPr>
            </w:pPr>
            <w:r w:rsidRPr="00AF4CDD">
              <w:rPr>
                <w:rFonts w:eastAsia="Calibri"/>
              </w:rPr>
              <w:t>&amp; digital transition</w:t>
            </w:r>
          </w:p>
        </w:tc>
        <w:tc>
          <w:tcPr>
            <w:tcW w:w="1000" w:type="dxa"/>
            <w:tcMar>
              <w:top w:w="0" w:type="dxa"/>
              <w:left w:w="100" w:type="dxa"/>
              <w:bottom w:w="0" w:type="dxa"/>
              <w:right w:w="100" w:type="dxa"/>
            </w:tcMar>
            <w:vAlign w:val="center"/>
          </w:tcPr>
          <w:p w14:paraId="1D4EFE30" w14:textId="77777777" w:rsidR="00451CC2" w:rsidRPr="00AF4CDD" w:rsidRDefault="00451CC2" w:rsidP="00AF4CDD">
            <w:pPr>
              <w:pStyle w:val="Tabletext"/>
              <w:rPr>
                <w:rFonts w:eastAsia="Calibri"/>
              </w:rPr>
            </w:pPr>
            <w:r w:rsidRPr="00AF4CDD">
              <w:rPr>
                <w:rFonts w:eastAsia="Calibri"/>
              </w:rPr>
              <w:t>On track</w:t>
            </w:r>
          </w:p>
        </w:tc>
      </w:tr>
      <w:tr w:rsidR="00451CC2" w:rsidRPr="00AF4CDD" w14:paraId="7232463C" w14:textId="77777777" w:rsidTr="00E06BFF">
        <w:trPr>
          <w:trHeight w:val="170"/>
          <w:jc w:val="center"/>
        </w:trPr>
        <w:tc>
          <w:tcPr>
            <w:tcW w:w="3966" w:type="dxa"/>
            <w:tcMar>
              <w:top w:w="0" w:type="dxa"/>
              <w:left w:w="100" w:type="dxa"/>
              <w:bottom w:w="0" w:type="dxa"/>
              <w:right w:w="100" w:type="dxa"/>
            </w:tcMar>
            <w:vAlign w:val="center"/>
          </w:tcPr>
          <w:p w14:paraId="4056706F" w14:textId="77777777" w:rsidR="00451CC2" w:rsidRPr="00AF4CDD" w:rsidRDefault="00540671" w:rsidP="00AF4CDD">
            <w:pPr>
              <w:pStyle w:val="Tabletext"/>
              <w:rPr>
                <w:rFonts w:eastAsia="Calibri"/>
              </w:rPr>
            </w:pPr>
            <w:r w:rsidRPr="00540671">
              <w:rPr>
                <w:rFonts w:eastAsia="Calibri"/>
                <w:b/>
              </w:rPr>
              <w:t>REFORM 5:</w:t>
            </w:r>
            <w:r w:rsidR="00451CC2" w:rsidRPr="00AF4CDD">
              <w:rPr>
                <w:rFonts w:eastAsia="Calibri"/>
              </w:rPr>
              <w:t xml:space="preserve"> Preliminary inspection of seismic resistance of buildings  </w:t>
            </w:r>
          </w:p>
        </w:tc>
        <w:tc>
          <w:tcPr>
            <w:tcW w:w="977" w:type="dxa"/>
            <w:tcMar>
              <w:top w:w="0" w:type="dxa"/>
              <w:left w:w="100" w:type="dxa"/>
              <w:bottom w:w="0" w:type="dxa"/>
              <w:right w:w="100" w:type="dxa"/>
            </w:tcMar>
            <w:vAlign w:val="center"/>
          </w:tcPr>
          <w:p w14:paraId="4F241C94" w14:textId="77777777" w:rsidR="00451CC2" w:rsidRPr="00AF4CDD" w:rsidRDefault="00451CC2" w:rsidP="00AF4CDD">
            <w:pPr>
              <w:pStyle w:val="Tabletext"/>
              <w:rPr>
                <w:rFonts w:eastAsia="Calibri"/>
              </w:rPr>
            </w:pPr>
            <w:r w:rsidRPr="00AF4CDD">
              <w:rPr>
                <w:rFonts w:eastAsia="Calibri"/>
              </w:rPr>
              <w:t>RRF 16983</w:t>
            </w:r>
          </w:p>
        </w:tc>
        <w:tc>
          <w:tcPr>
            <w:tcW w:w="1547" w:type="dxa"/>
            <w:tcMar>
              <w:top w:w="0" w:type="dxa"/>
              <w:left w:w="100" w:type="dxa"/>
              <w:bottom w:w="0" w:type="dxa"/>
              <w:right w:w="100" w:type="dxa"/>
            </w:tcMar>
            <w:vAlign w:val="center"/>
          </w:tcPr>
          <w:p w14:paraId="376933D5" w14:textId="77777777" w:rsidR="00451CC2" w:rsidRPr="00AF4CDD" w:rsidRDefault="00451CC2" w:rsidP="00AF4CDD">
            <w:pPr>
              <w:pStyle w:val="Tabletext"/>
              <w:rPr>
                <w:rFonts w:eastAsia="Calibri"/>
              </w:rPr>
            </w:pPr>
            <w:r w:rsidRPr="00AF4CDD">
              <w:rPr>
                <w:rFonts w:eastAsia="Calibri"/>
              </w:rPr>
              <w:t xml:space="preserve">2024.CSR 4.2 2020 CSR 3.6                </w:t>
            </w:r>
          </w:p>
        </w:tc>
        <w:tc>
          <w:tcPr>
            <w:tcW w:w="1445" w:type="dxa"/>
            <w:tcMar>
              <w:top w:w="0" w:type="dxa"/>
              <w:left w:w="100" w:type="dxa"/>
              <w:bottom w:w="0" w:type="dxa"/>
              <w:right w:w="100" w:type="dxa"/>
            </w:tcMar>
            <w:vAlign w:val="center"/>
          </w:tcPr>
          <w:p w14:paraId="59F63297" w14:textId="77777777" w:rsidR="00451CC2" w:rsidRPr="00AF4CDD" w:rsidRDefault="00451CC2" w:rsidP="00AF4CDD">
            <w:pPr>
              <w:pStyle w:val="Tabletext"/>
              <w:rPr>
                <w:rFonts w:eastAsia="Calibri"/>
              </w:rPr>
            </w:pPr>
            <w:r w:rsidRPr="00AF4CDD">
              <w:rPr>
                <w:rFonts w:eastAsia="Calibri"/>
              </w:rPr>
              <w:t>Social and Economic resilience</w:t>
            </w:r>
          </w:p>
        </w:tc>
        <w:tc>
          <w:tcPr>
            <w:tcW w:w="1000" w:type="dxa"/>
            <w:tcMar>
              <w:top w:w="0" w:type="dxa"/>
              <w:left w:w="100" w:type="dxa"/>
              <w:bottom w:w="0" w:type="dxa"/>
              <w:right w:w="100" w:type="dxa"/>
            </w:tcMar>
            <w:vAlign w:val="center"/>
          </w:tcPr>
          <w:p w14:paraId="54FFBE3E" w14:textId="77777777" w:rsidR="00451CC2" w:rsidRPr="00AF4CDD" w:rsidRDefault="00451CC2" w:rsidP="00AF4CDD">
            <w:pPr>
              <w:pStyle w:val="Tabletext"/>
              <w:rPr>
                <w:rFonts w:eastAsia="Calibri"/>
              </w:rPr>
            </w:pPr>
            <w:r w:rsidRPr="00AF4CDD">
              <w:rPr>
                <w:rFonts w:eastAsia="Calibri"/>
              </w:rPr>
              <w:t>On track</w:t>
            </w:r>
          </w:p>
        </w:tc>
      </w:tr>
      <w:tr w:rsidR="00451CC2" w:rsidRPr="00AF4CDD" w14:paraId="6A34273D" w14:textId="77777777" w:rsidTr="00E06BFF">
        <w:trPr>
          <w:trHeight w:val="170"/>
          <w:jc w:val="center"/>
        </w:trPr>
        <w:tc>
          <w:tcPr>
            <w:tcW w:w="3966" w:type="dxa"/>
            <w:tcMar>
              <w:top w:w="0" w:type="dxa"/>
              <w:left w:w="100" w:type="dxa"/>
              <w:bottom w:w="0" w:type="dxa"/>
              <w:right w:w="100" w:type="dxa"/>
            </w:tcMar>
            <w:vAlign w:val="center"/>
          </w:tcPr>
          <w:p w14:paraId="0DBD535A" w14:textId="77777777" w:rsidR="00451CC2" w:rsidRPr="00AF4CDD" w:rsidRDefault="00540671" w:rsidP="00AF4CDD">
            <w:pPr>
              <w:pStyle w:val="Tabletext"/>
              <w:rPr>
                <w:rFonts w:eastAsia="Calibri"/>
              </w:rPr>
            </w:pPr>
            <w:r w:rsidRPr="00540671">
              <w:rPr>
                <w:rFonts w:eastAsia="Calibri"/>
                <w:b/>
              </w:rPr>
              <w:t>INVESTMENT 1:</w:t>
            </w:r>
            <w:r w:rsidR="00451CC2" w:rsidRPr="00AF4CDD">
              <w:rPr>
                <w:rFonts w:eastAsia="Calibri"/>
              </w:rPr>
              <w:t xml:space="preserve"> Monitoring and Management System regarding (a) </w:t>
            </w:r>
            <w:r w:rsidR="00451CC2" w:rsidRPr="00AF4CDD">
              <w:rPr>
                <w:rFonts w:eastAsia="Calibri"/>
              </w:rPr>
              <w:lastRenderedPageBreak/>
              <w:t xml:space="preserve">Upgrading and extending the country‘s Network of Meteorological Stations to provide early warning for natural disasters, (b) Fire detection and fire extinguishing systems (c) Stations for emergency communications and provision of climate data </w:t>
            </w:r>
          </w:p>
        </w:tc>
        <w:tc>
          <w:tcPr>
            <w:tcW w:w="977" w:type="dxa"/>
            <w:tcMar>
              <w:top w:w="0" w:type="dxa"/>
              <w:left w:w="100" w:type="dxa"/>
              <w:bottom w:w="0" w:type="dxa"/>
              <w:right w:w="100" w:type="dxa"/>
            </w:tcMar>
            <w:vAlign w:val="center"/>
          </w:tcPr>
          <w:p w14:paraId="3333585F" w14:textId="77777777" w:rsidR="00451CC2" w:rsidRPr="00AF4CDD" w:rsidRDefault="00451CC2" w:rsidP="00AF4CDD">
            <w:pPr>
              <w:pStyle w:val="Tabletext"/>
              <w:rPr>
                <w:rFonts w:eastAsia="Calibri"/>
              </w:rPr>
            </w:pPr>
            <w:r w:rsidRPr="00AF4CDD">
              <w:rPr>
                <w:rFonts w:eastAsia="Calibri"/>
              </w:rPr>
              <w:lastRenderedPageBreak/>
              <w:t>RRF 16910,</w:t>
            </w:r>
          </w:p>
          <w:p w14:paraId="53D20296" w14:textId="77777777" w:rsidR="00451CC2" w:rsidRPr="00AF4CDD" w:rsidRDefault="00451CC2" w:rsidP="00AF4CDD">
            <w:pPr>
              <w:pStyle w:val="Tabletext"/>
              <w:rPr>
                <w:rFonts w:eastAsia="Calibri"/>
              </w:rPr>
            </w:pPr>
            <w:r w:rsidRPr="00AF4CDD">
              <w:rPr>
                <w:rFonts w:eastAsia="Calibri"/>
              </w:rPr>
              <w:lastRenderedPageBreak/>
              <w:t>MFF</w:t>
            </w:r>
          </w:p>
        </w:tc>
        <w:tc>
          <w:tcPr>
            <w:tcW w:w="1547" w:type="dxa"/>
            <w:tcMar>
              <w:top w:w="0" w:type="dxa"/>
              <w:left w:w="100" w:type="dxa"/>
              <w:bottom w:w="0" w:type="dxa"/>
              <w:right w:w="100" w:type="dxa"/>
            </w:tcMar>
            <w:vAlign w:val="center"/>
          </w:tcPr>
          <w:p w14:paraId="3ABA18AC" w14:textId="77777777" w:rsidR="00451CC2" w:rsidRPr="00AF4CDD" w:rsidRDefault="00451CC2" w:rsidP="00AF4CDD">
            <w:pPr>
              <w:pStyle w:val="Tabletext"/>
              <w:rPr>
                <w:rFonts w:eastAsia="Calibri"/>
              </w:rPr>
            </w:pPr>
            <w:r w:rsidRPr="00AF4CDD">
              <w:rPr>
                <w:rFonts w:eastAsia="Calibri"/>
              </w:rPr>
              <w:lastRenderedPageBreak/>
              <w:t>2024.CSR 4.2</w:t>
            </w:r>
            <w:r w:rsidRPr="00AF4CDD">
              <w:rPr>
                <w:rFonts w:eastAsia="Calibri"/>
              </w:rPr>
              <w:br/>
              <w:t>2020.CSR 3.6</w:t>
            </w:r>
            <w:r w:rsidRPr="00AF4CDD">
              <w:rPr>
                <w:rFonts w:eastAsia="Calibri"/>
              </w:rPr>
              <w:br/>
            </w:r>
            <w:r w:rsidRPr="00AF4CDD">
              <w:rPr>
                <w:rFonts w:eastAsia="Calibri"/>
              </w:rPr>
              <w:lastRenderedPageBreak/>
              <w:t>2020.CSR 3.9</w:t>
            </w:r>
            <w:r w:rsidRPr="00AF4CDD">
              <w:rPr>
                <w:rFonts w:eastAsia="Calibri"/>
              </w:rPr>
              <w:br/>
              <w:t>2019.CSR 2.2</w:t>
            </w:r>
            <w:r w:rsidRPr="00AF4CDD">
              <w:rPr>
                <w:rFonts w:eastAsia="Calibri"/>
              </w:rPr>
              <w:br/>
            </w:r>
          </w:p>
        </w:tc>
        <w:tc>
          <w:tcPr>
            <w:tcW w:w="1445" w:type="dxa"/>
            <w:tcMar>
              <w:top w:w="0" w:type="dxa"/>
              <w:left w:w="100" w:type="dxa"/>
              <w:bottom w:w="0" w:type="dxa"/>
              <w:right w:w="100" w:type="dxa"/>
            </w:tcMar>
            <w:vAlign w:val="center"/>
          </w:tcPr>
          <w:p w14:paraId="42971917" w14:textId="77777777" w:rsidR="00022E7C" w:rsidRDefault="00451CC2" w:rsidP="00AF4CDD">
            <w:pPr>
              <w:pStyle w:val="Tabletext"/>
              <w:rPr>
                <w:rFonts w:eastAsia="Calibri"/>
              </w:rPr>
            </w:pPr>
            <w:r w:rsidRPr="00AF4CDD">
              <w:rPr>
                <w:rFonts w:eastAsia="Calibri"/>
              </w:rPr>
              <w:lastRenderedPageBreak/>
              <w:t xml:space="preserve">Fair green </w:t>
            </w:r>
          </w:p>
          <w:p w14:paraId="105152B5" w14:textId="2D376E81" w:rsidR="00451CC2" w:rsidRPr="00AF4CDD" w:rsidRDefault="00451CC2" w:rsidP="00AF4CDD">
            <w:pPr>
              <w:pStyle w:val="Tabletext"/>
              <w:rPr>
                <w:rFonts w:eastAsia="Calibri"/>
              </w:rPr>
            </w:pPr>
            <w:r w:rsidRPr="00AF4CDD">
              <w:rPr>
                <w:rFonts w:eastAsia="Calibri"/>
              </w:rPr>
              <w:lastRenderedPageBreak/>
              <w:t>&amp; digital transition</w:t>
            </w:r>
          </w:p>
        </w:tc>
        <w:tc>
          <w:tcPr>
            <w:tcW w:w="1000" w:type="dxa"/>
            <w:tcMar>
              <w:top w:w="0" w:type="dxa"/>
              <w:left w:w="100" w:type="dxa"/>
              <w:bottom w:w="0" w:type="dxa"/>
              <w:right w:w="100" w:type="dxa"/>
            </w:tcMar>
            <w:vAlign w:val="center"/>
          </w:tcPr>
          <w:p w14:paraId="1ADEA387" w14:textId="77777777" w:rsidR="00451CC2" w:rsidRPr="00AF4CDD" w:rsidRDefault="00451CC2" w:rsidP="00AF4CDD">
            <w:pPr>
              <w:pStyle w:val="Tabletext"/>
              <w:rPr>
                <w:rFonts w:eastAsia="Calibri"/>
              </w:rPr>
            </w:pPr>
            <w:r w:rsidRPr="00AF4CDD">
              <w:rPr>
                <w:rFonts w:eastAsia="Calibri"/>
              </w:rPr>
              <w:lastRenderedPageBreak/>
              <w:t>On track</w:t>
            </w:r>
          </w:p>
        </w:tc>
      </w:tr>
      <w:tr w:rsidR="00451CC2" w:rsidRPr="00AF4CDD" w14:paraId="725D05C9" w14:textId="77777777" w:rsidTr="00E06BFF">
        <w:trPr>
          <w:trHeight w:val="170"/>
          <w:jc w:val="center"/>
        </w:trPr>
        <w:tc>
          <w:tcPr>
            <w:tcW w:w="3966" w:type="dxa"/>
            <w:tcMar>
              <w:top w:w="0" w:type="dxa"/>
              <w:left w:w="100" w:type="dxa"/>
              <w:bottom w:w="0" w:type="dxa"/>
              <w:right w:w="100" w:type="dxa"/>
            </w:tcMar>
            <w:vAlign w:val="center"/>
          </w:tcPr>
          <w:p w14:paraId="6DD24E03" w14:textId="77777777" w:rsidR="00451CC2" w:rsidRPr="00AF4CDD" w:rsidRDefault="00540671" w:rsidP="00AF4CDD">
            <w:pPr>
              <w:pStyle w:val="Tabletext"/>
              <w:rPr>
                <w:rFonts w:eastAsia="Calibri"/>
              </w:rPr>
            </w:pPr>
            <w:r w:rsidRPr="00540671">
              <w:rPr>
                <w:rFonts w:eastAsia="Calibri"/>
                <w:b/>
              </w:rPr>
              <w:t>INVESTMENT 2:</w:t>
            </w:r>
            <w:r w:rsidR="00451CC2" w:rsidRPr="00AF4CDD">
              <w:rPr>
                <w:rFonts w:eastAsia="Calibri"/>
              </w:rPr>
              <w:t xml:space="preserve"> Installation of an Integrated Next Generation Emergency Call Management System (Next Generation 112) </w:t>
            </w:r>
          </w:p>
        </w:tc>
        <w:tc>
          <w:tcPr>
            <w:tcW w:w="977" w:type="dxa"/>
            <w:tcMar>
              <w:top w:w="0" w:type="dxa"/>
              <w:left w:w="100" w:type="dxa"/>
              <w:bottom w:w="0" w:type="dxa"/>
              <w:right w:w="100" w:type="dxa"/>
            </w:tcMar>
            <w:vAlign w:val="center"/>
          </w:tcPr>
          <w:p w14:paraId="3807B6C9" w14:textId="77777777" w:rsidR="00451CC2" w:rsidRPr="00AF4CDD" w:rsidRDefault="00451CC2" w:rsidP="00AF4CDD">
            <w:pPr>
              <w:pStyle w:val="Tabletext"/>
              <w:rPr>
                <w:rFonts w:eastAsia="Calibri"/>
              </w:rPr>
            </w:pPr>
            <w:r w:rsidRPr="00AF4CDD">
              <w:rPr>
                <w:rFonts w:eastAsia="Calibri"/>
              </w:rPr>
              <w:t>MFF</w:t>
            </w:r>
          </w:p>
        </w:tc>
        <w:tc>
          <w:tcPr>
            <w:tcW w:w="1547" w:type="dxa"/>
            <w:tcMar>
              <w:top w:w="0" w:type="dxa"/>
              <w:left w:w="100" w:type="dxa"/>
              <w:bottom w:w="0" w:type="dxa"/>
              <w:right w:w="100" w:type="dxa"/>
            </w:tcMar>
            <w:vAlign w:val="center"/>
          </w:tcPr>
          <w:p w14:paraId="1AFC13DD" w14:textId="77777777" w:rsidR="00451CC2" w:rsidRPr="00AF4CDD" w:rsidRDefault="00451CC2" w:rsidP="00AF4CDD">
            <w:pPr>
              <w:pStyle w:val="Tabletext"/>
              <w:rPr>
                <w:rFonts w:eastAsia="Calibri"/>
              </w:rPr>
            </w:pPr>
            <w:r w:rsidRPr="00AF4CDD">
              <w:rPr>
                <w:rFonts w:eastAsia="Calibri"/>
              </w:rPr>
              <w:t>2024.CSR 4.2</w:t>
            </w:r>
            <w:r w:rsidRPr="00AF4CDD">
              <w:rPr>
                <w:rFonts w:eastAsia="Calibri"/>
              </w:rPr>
              <w:br/>
              <w:t>2019.CSR 2.3</w:t>
            </w:r>
          </w:p>
        </w:tc>
        <w:tc>
          <w:tcPr>
            <w:tcW w:w="1445" w:type="dxa"/>
            <w:tcMar>
              <w:top w:w="0" w:type="dxa"/>
              <w:left w:w="100" w:type="dxa"/>
              <w:bottom w:w="0" w:type="dxa"/>
              <w:right w:w="100" w:type="dxa"/>
            </w:tcMar>
            <w:vAlign w:val="center"/>
          </w:tcPr>
          <w:p w14:paraId="56432526" w14:textId="77777777" w:rsidR="00022E7C" w:rsidRDefault="00451CC2" w:rsidP="00AF4CDD">
            <w:pPr>
              <w:pStyle w:val="Tabletext"/>
              <w:rPr>
                <w:rFonts w:eastAsia="Calibri"/>
              </w:rPr>
            </w:pPr>
            <w:r w:rsidRPr="00AF4CDD">
              <w:rPr>
                <w:rFonts w:eastAsia="Calibri"/>
              </w:rPr>
              <w:t xml:space="preserve">Fair green </w:t>
            </w:r>
          </w:p>
          <w:p w14:paraId="5392CCC4" w14:textId="39AA531C" w:rsidR="00451CC2" w:rsidRPr="00AF4CDD" w:rsidRDefault="00451CC2" w:rsidP="00AF4CDD">
            <w:pPr>
              <w:pStyle w:val="Tabletext"/>
              <w:rPr>
                <w:rFonts w:eastAsia="Calibri"/>
              </w:rPr>
            </w:pPr>
            <w:r w:rsidRPr="00AF4CDD">
              <w:rPr>
                <w:rFonts w:eastAsia="Calibri"/>
              </w:rPr>
              <w:t>&amp; digital transition</w:t>
            </w:r>
          </w:p>
        </w:tc>
        <w:tc>
          <w:tcPr>
            <w:tcW w:w="1000" w:type="dxa"/>
            <w:tcMar>
              <w:top w:w="0" w:type="dxa"/>
              <w:left w:w="100" w:type="dxa"/>
              <w:bottom w:w="0" w:type="dxa"/>
              <w:right w:w="100" w:type="dxa"/>
            </w:tcMar>
            <w:vAlign w:val="center"/>
          </w:tcPr>
          <w:p w14:paraId="41C65FFB" w14:textId="77777777" w:rsidR="00451CC2" w:rsidRPr="00AF4CDD" w:rsidRDefault="00451CC2" w:rsidP="00AF4CDD">
            <w:pPr>
              <w:pStyle w:val="Tabletext"/>
              <w:rPr>
                <w:rFonts w:eastAsia="Calibri"/>
              </w:rPr>
            </w:pPr>
            <w:r w:rsidRPr="00AF4CDD">
              <w:rPr>
                <w:rFonts w:eastAsia="Calibri"/>
              </w:rPr>
              <w:t>On track</w:t>
            </w:r>
          </w:p>
        </w:tc>
      </w:tr>
      <w:tr w:rsidR="00451CC2" w:rsidRPr="00AF4CDD" w14:paraId="14D152A8" w14:textId="77777777" w:rsidTr="00E06BFF">
        <w:trPr>
          <w:trHeight w:val="170"/>
          <w:jc w:val="center"/>
        </w:trPr>
        <w:tc>
          <w:tcPr>
            <w:tcW w:w="3966" w:type="dxa"/>
            <w:tcMar>
              <w:top w:w="0" w:type="dxa"/>
              <w:left w:w="100" w:type="dxa"/>
              <w:bottom w:w="0" w:type="dxa"/>
              <w:right w:w="100" w:type="dxa"/>
            </w:tcMar>
            <w:vAlign w:val="center"/>
          </w:tcPr>
          <w:p w14:paraId="75B3D58B" w14:textId="77777777" w:rsidR="00451CC2" w:rsidRPr="00AF4CDD" w:rsidRDefault="00540671" w:rsidP="00AF4CDD">
            <w:pPr>
              <w:pStyle w:val="Tabletext"/>
              <w:rPr>
                <w:rFonts w:eastAsia="Calibri"/>
              </w:rPr>
            </w:pPr>
            <w:r w:rsidRPr="00540671">
              <w:rPr>
                <w:rFonts w:eastAsia="Calibri"/>
                <w:b/>
              </w:rPr>
              <w:t>INVESTMENT 3:</w:t>
            </w:r>
            <w:r w:rsidR="00451CC2" w:rsidRPr="00AF4CDD">
              <w:rPr>
                <w:rFonts w:eastAsia="Calibri"/>
              </w:rPr>
              <w:t xml:space="preserve"> Establishment of a strategic National Disaster Risk Management through the provision of mobile administration and on-site control centers in the 13 Regions </w:t>
            </w:r>
          </w:p>
        </w:tc>
        <w:tc>
          <w:tcPr>
            <w:tcW w:w="977" w:type="dxa"/>
            <w:tcMar>
              <w:top w:w="0" w:type="dxa"/>
              <w:left w:w="100" w:type="dxa"/>
              <w:bottom w:w="0" w:type="dxa"/>
              <w:right w:w="100" w:type="dxa"/>
            </w:tcMar>
            <w:vAlign w:val="center"/>
          </w:tcPr>
          <w:p w14:paraId="0F143A7F" w14:textId="77777777" w:rsidR="00451CC2" w:rsidRPr="00AF4CDD" w:rsidRDefault="00451CC2" w:rsidP="00AF4CDD">
            <w:pPr>
              <w:pStyle w:val="Tabletext"/>
              <w:rPr>
                <w:rFonts w:eastAsia="Calibri"/>
              </w:rPr>
            </w:pPr>
            <w:r w:rsidRPr="00AF4CDD">
              <w:rPr>
                <w:rFonts w:eastAsia="Calibri"/>
              </w:rPr>
              <w:t>RRF 16909</w:t>
            </w:r>
          </w:p>
        </w:tc>
        <w:tc>
          <w:tcPr>
            <w:tcW w:w="1547" w:type="dxa"/>
            <w:tcMar>
              <w:top w:w="0" w:type="dxa"/>
              <w:left w:w="100" w:type="dxa"/>
              <w:bottom w:w="0" w:type="dxa"/>
              <w:right w:w="100" w:type="dxa"/>
            </w:tcMar>
            <w:vAlign w:val="center"/>
          </w:tcPr>
          <w:p w14:paraId="1614DD80" w14:textId="77777777" w:rsidR="00451CC2" w:rsidRPr="00AF4CDD" w:rsidRDefault="00451CC2" w:rsidP="00AF4CDD">
            <w:pPr>
              <w:pStyle w:val="Tabletext"/>
              <w:rPr>
                <w:rFonts w:eastAsia="Calibri"/>
              </w:rPr>
            </w:pPr>
            <w:r w:rsidRPr="00AF4CDD">
              <w:rPr>
                <w:rFonts w:eastAsia="Calibri"/>
              </w:rPr>
              <w:t>2025.CSR 4.8 2024.CSR 4.2 2020.CSR 3.6     2020.CSR 3.9</w:t>
            </w:r>
            <w:r w:rsidRPr="00AF4CDD">
              <w:rPr>
                <w:rFonts w:eastAsia="Calibri"/>
              </w:rPr>
              <w:br/>
              <w:t>2019.CSR 2.2</w:t>
            </w:r>
          </w:p>
        </w:tc>
        <w:tc>
          <w:tcPr>
            <w:tcW w:w="1445" w:type="dxa"/>
            <w:tcMar>
              <w:top w:w="0" w:type="dxa"/>
              <w:left w:w="100" w:type="dxa"/>
              <w:bottom w:w="0" w:type="dxa"/>
              <w:right w:w="100" w:type="dxa"/>
            </w:tcMar>
            <w:vAlign w:val="center"/>
          </w:tcPr>
          <w:p w14:paraId="3982364A" w14:textId="77777777" w:rsidR="00451CC2" w:rsidRPr="00AF4CDD" w:rsidRDefault="00451CC2" w:rsidP="00AF4CDD">
            <w:pPr>
              <w:pStyle w:val="Tabletext"/>
              <w:rPr>
                <w:rFonts w:eastAsia="Calibri"/>
              </w:rPr>
            </w:pPr>
            <w:r w:rsidRPr="00AF4CDD">
              <w:rPr>
                <w:rFonts w:eastAsia="Calibri"/>
              </w:rPr>
              <w:t>Social and Economic resilience</w:t>
            </w:r>
          </w:p>
        </w:tc>
        <w:tc>
          <w:tcPr>
            <w:tcW w:w="1000" w:type="dxa"/>
            <w:tcMar>
              <w:top w:w="0" w:type="dxa"/>
              <w:left w:w="100" w:type="dxa"/>
              <w:bottom w:w="0" w:type="dxa"/>
              <w:right w:w="100" w:type="dxa"/>
            </w:tcMar>
            <w:vAlign w:val="center"/>
          </w:tcPr>
          <w:p w14:paraId="536996F7" w14:textId="77777777" w:rsidR="00451CC2" w:rsidRPr="00AF4CDD" w:rsidRDefault="00451CC2" w:rsidP="00AF4CDD">
            <w:pPr>
              <w:pStyle w:val="Tabletext"/>
              <w:rPr>
                <w:rFonts w:eastAsia="Calibri"/>
              </w:rPr>
            </w:pPr>
            <w:r w:rsidRPr="00AF4CDD">
              <w:rPr>
                <w:rFonts w:eastAsia="Calibri"/>
              </w:rPr>
              <w:t>Delayed</w:t>
            </w:r>
          </w:p>
        </w:tc>
      </w:tr>
      <w:tr w:rsidR="00451CC2" w:rsidRPr="00AF4CDD" w14:paraId="02E04721" w14:textId="77777777" w:rsidTr="00E06BFF">
        <w:trPr>
          <w:trHeight w:val="170"/>
          <w:jc w:val="center"/>
        </w:trPr>
        <w:tc>
          <w:tcPr>
            <w:tcW w:w="3966" w:type="dxa"/>
            <w:tcMar>
              <w:top w:w="0" w:type="dxa"/>
              <w:left w:w="100" w:type="dxa"/>
              <w:bottom w:w="0" w:type="dxa"/>
              <w:right w:w="100" w:type="dxa"/>
            </w:tcMar>
            <w:vAlign w:val="center"/>
          </w:tcPr>
          <w:p w14:paraId="3D5CB11A" w14:textId="77777777" w:rsidR="00451CC2" w:rsidRPr="00AF4CDD" w:rsidRDefault="00540671" w:rsidP="00AF4CDD">
            <w:pPr>
              <w:pStyle w:val="Tabletext"/>
              <w:rPr>
                <w:rFonts w:eastAsia="Calibri"/>
              </w:rPr>
            </w:pPr>
            <w:r w:rsidRPr="00540671">
              <w:rPr>
                <w:rFonts w:eastAsia="Calibri"/>
                <w:b/>
              </w:rPr>
              <w:t>INVESTMENT 4:</w:t>
            </w:r>
            <w:r w:rsidR="00451CC2" w:rsidRPr="00AF4CDD">
              <w:rPr>
                <w:rFonts w:eastAsia="Calibri"/>
              </w:rPr>
              <w:t xml:space="preserve"> Development of an Integrated Information System (IIS) for Risk Management and Natural Disaster Prevention, including the evolution of a National Database </w:t>
            </w:r>
          </w:p>
        </w:tc>
        <w:tc>
          <w:tcPr>
            <w:tcW w:w="977" w:type="dxa"/>
            <w:tcMar>
              <w:top w:w="0" w:type="dxa"/>
              <w:left w:w="100" w:type="dxa"/>
              <w:bottom w:w="0" w:type="dxa"/>
              <w:right w:w="100" w:type="dxa"/>
            </w:tcMar>
            <w:vAlign w:val="center"/>
          </w:tcPr>
          <w:p w14:paraId="28030385" w14:textId="77777777" w:rsidR="00451CC2" w:rsidRPr="00AF4CDD" w:rsidRDefault="00451CC2" w:rsidP="00AF4CDD">
            <w:pPr>
              <w:pStyle w:val="Tabletext"/>
              <w:rPr>
                <w:rFonts w:eastAsia="Calibri"/>
              </w:rPr>
            </w:pPr>
            <w:r w:rsidRPr="00AF4CDD">
              <w:rPr>
                <w:rFonts w:eastAsia="Calibri"/>
              </w:rPr>
              <w:t>MFF</w:t>
            </w:r>
          </w:p>
        </w:tc>
        <w:tc>
          <w:tcPr>
            <w:tcW w:w="1547" w:type="dxa"/>
            <w:tcMar>
              <w:top w:w="0" w:type="dxa"/>
              <w:left w:w="100" w:type="dxa"/>
              <w:bottom w:w="0" w:type="dxa"/>
              <w:right w:w="100" w:type="dxa"/>
            </w:tcMar>
            <w:vAlign w:val="center"/>
          </w:tcPr>
          <w:p w14:paraId="16AACD53" w14:textId="77777777" w:rsidR="00451CC2" w:rsidRPr="00AF4CDD" w:rsidRDefault="00451CC2" w:rsidP="00AF4CDD">
            <w:pPr>
              <w:pStyle w:val="Tabletext"/>
              <w:rPr>
                <w:rFonts w:eastAsia="Calibri"/>
              </w:rPr>
            </w:pPr>
            <w:r w:rsidRPr="00AF4CDD">
              <w:rPr>
                <w:rFonts w:eastAsia="Calibri"/>
              </w:rPr>
              <w:t>2025 CSR 4.6 2024.CSR 4.2</w:t>
            </w:r>
            <w:r w:rsidRPr="00AF4CDD">
              <w:rPr>
                <w:rFonts w:eastAsia="Calibri"/>
              </w:rPr>
              <w:br/>
              <w:t>2020.CSR 3.9</w:t>
            </w:r>
            <w:r w:rsidRPr="00AF4CDD">
              <w:rPr>
                <w:rFonts w:eastAsia="Calibri"/>
              </w:rPr>
              <w:br/>
              <w:t>2019.CSR 2.4</w:t>
            </w:r>
          </w:p>
        </w:tc>
        <w:tc>
          <w:tcPr>
            <w:tcW w:w="1445" w:type="dxa"/>
            <w:tcMar>
              <w:top w:w="0" w:type="dxa"/>
              <w:left w:w="100" w:type="dxa"/>
              <w:bottom w:w="0" w:type="dxa"/>
              <w:right w:w="100" w:type="dxa"/>
            </w:tcMar>
            <w:vAlign w:val="center"/>
          </w:tcPr>
          <w:p w14:paraId="1A9B4B76" w14:textId="77777777" w:rsidR="00022E7C" w:rsidRDefault="00451CC2" w:rsidP="00AF4CDD">
            <w:pPr>
              <w:pStyle w:val="Tabletext"/>
              <w:rPr>
                <w:rFonts w:eastAsia="Calibri"/>
              </w:rPr>
            </w:pPr>
            <w:r w:rsidRPr="00AF4CDD">
              <w:rPr>
                <w:rFonts w:eastAsia="Calibri"/>
              </w:rPr>
              <w:t xml:space="preserve">Fair green </w:t>
            </w:r>
          </w:p>
          <w:p w14:paraId="3193B1FC" w14:textId="68F503AF" w:rsidR="00451CC2" w:rsidRPr="00AF4CDD" w:rsidRDefault="00451CC2" w:rsidP="00AF4CDD">
            <w:pPr>
              <w:pStyle w:val="Tabletext"/>
              <w:rPr>
                <w:rFonts w:eastAsia="Calibri"/>
              </w:rPr>
            </w:pPr>
            <w:r w:rsidRPr="00AF4CDD">
              <w:rPr>
                <w:rFonts w:eastAsia="Calibri"/>
              </w:rPr>
              <w:t>&amp; digital transition</w:t>
            </w:r>
          </w:p>
        </w:tc>
        <w:tc>
          <w:tcPr>
            <w:tcW w:w="1000" w:type="dxa"/>
            <w:tcMar>
              <w:top w:w="0" w:type="dxa"/>
              <w:left w:w="100" w:type="dxa"/>
              <w:bottom w:w="0" w:type="dxa"/>
              <w:right w:w="100" w:type="dxa"/>
            </w:tcMar>
            <w:vAlign w:val="center"/>
          </w:tcPr>
          <w:p w14:paraId="0A1FD94E" w14:textId="77777777" w:rsidR="00451CC2" w:rsidRPr="00AF4CDD" w:rsidRDefault="00451CC2" w:rsidP="00AF4CDD">
            <w:pPr>
              <w:pStyle w:val="Tabletext"/>
              <w:rPr>
                <w:rFonts w:eastAsia="Calibri"/>
              </w:rPr>
            </w:pPr>
            <w:r w:rsidRPr="00AF4CDD">
              <w:rPr>
                <w:rFonts w:eastAsia="Calibri"/>
              </w:rPr>
              <w:t>Delayed</w:t>
            </w:r>
          </w:p>
        </w:tc>
      </w:tr>
      <w:tr w:rsidR="00451CC2" w:rsidRPr="00AF4CDD" w14:paraId="7A12286E" w14:textId="77777777" w:rsidTr="00E06BFF">
        <w:trPr>
          <w:trHeight w:val="170"/>
          <w:jc w:val="center"/>
        </w:trPr>
        <w:tc>
          <w:tcPr>
            <w:tcW w:w="3966" w:type="dxa"/>
            <w:tcMar>
              <w:top w:w="0" w:type="dxa"/>
              <w:left w:w="100" w:type="dxa"/>
              <w:bottom w:w="0" w:type="dxa"/>
              <w:right w:w="100" w:type="dxa"/>
            </w:tcMar>
            <w:vAlign w:val="center"/>
          </w:tcPr>
          <w:p w14:paraId="71155C88" w14:textId="77777777" w:rsidR="00451CC2" w:rsidRPr="00AF4CDD" w:rsidRDefault="00540671" w:rsidP="00AF4CDD">
            <w:pPr>
              <w:pStyle w:val="Tabletext"/>
              <w:rPr>
                <w:rFonts w:eastAsia="Calibri"/>
              </w:rPr>
            </w:pPr>
            <w:r w:rsidRPr="00540671">
              <w:rPr>
                <w:rFonts w:eastAsia="Calibri"/>
                <w:b/>
              </w:rPr>
              <w:t>INVESTMENT 5:</w:t>
            </w:r>
            <w:r w:rsidR="00451CC2" w:rsidRPr="00AF4CDD">
              <w:rPr>
                <w:rFonts w:eastAsia="Calibri"/>
              </w:rPr>
              <w:t xml:space="preserve"> Supply of prevention, response, management and early warning systems for natural and manmade hazards unmanned </w:t>
            </w:r>
            <w:proofErr w:type="spellStart"/>
            <w:r w:rsidR="00451CC2" w:rsidRPr="00AF4CDD">
              <w:rPr>
                <w:rFonts w:eastAsia="Calibri"/>
              </w:rPr>
              <w:t>Unmanned</w:t>
            </w:r>
            <w:proofErr w:type="spellEnd"/>
            <w:r w:rsidR="00451CC2" w:rsidRPr="00AF4CDD">
              <w:rPr>
                <w:rFonts w:eastAsia="Calibri"/>
              </w:rPr>
              <w:t xml:space="preserve"> Aerial Vehicles (Drones) for air surveillance </w:t>
            </w:r>
          </w:p>
        </w:tc>
        <w:tc>
          <w:tcPr>
            <w:tcW w:w="977" w:type="dxa"/>
            <w:tcMar>
              <w:top w:w="0" w:type="dxa"/>
              <w:left w:w="100" w:type="dxa"/>
              <w:bottom w:w="0" w:type="dxa"/>
              <w:right w:w="100" w:type="dxa"/>
            </w:tcMar>
            <w:vAlign w:val="center"/>
          </w:tcPr>
          <w:p w14:paraId="5B8BB94E" w14:textId="77777777" w:rsidR="00451CC2" w:rsidRPr="00AF4CDD" w:rsidRDefault="00451CC2" w:rsidP="00AF4CDD">
            <w:pPr>
              <w:pStyle w:val="Tabletext"/>
              <w:rPr>
                <w:rFonts w:eastAsia="Calibri"/>
              </w:rPr>
            </w:pPr>
            <w:r w:rsidRPr="00AF4CDD">
              <w:rPr>
                <w:rFonts w:eastAsia="Calibri"/>
              </w:rPr>
              <w:t>MFF, RRF 16911</w:t>
            </w:r>
          </w:p>
        </w:tc>
        <w:tc>
          <w:tcPr>
            <w:tcW w:w="1547" w:type="dxa"/>
            <w:tcMar>
              <w:top w:w="0" w:type="dxa"/>
              <w:left w:w="100" w:type="dxa"/>
              <w:bottom w:w="0" w:type="dxa"/>
              <w:right w:w="100" w:type="dxa"/>
            </w:tcMar>
            <w:vAlign w:val="center"/>
          </w:tcPr>
          <w:p w14:paraId="1A50C579" w14:textId="77777777" w:rsidR="00451CC2" w:rsidRPr="00AF4CDD" w:rsidRDefault="00451CC2" w:rsidP="00AF4CDD">
            <w:pPr>
              <w:pStyle w:val="Tabletext"/>
              <w:rPr>
                <w:rFonts w:eastAsia="Calibri"/>
              </w:rPr>
            </w:pPr>
            <w:r w:rsidRPr="00AF4CDD">
              <w:rPr>
                <w:rFonts w:eastAsia="Calibri"/>
              </w:rPr>
              <w:t>2024.CSR 4.2</w:t>
            </w:r>
            <w:r w:rsidRPr="00AF4CDD">
              <w:rPr>
                <w:rFonts w:eastAsia="Calibri"/>
              </w:rPr>
              <w:br/>
              <w:t>2020.CSR 3.6</w:t>
            </w:r>
          </w:p>
          <w:p w14:paraId="27B46828" w14:textId="77777777" w:rsidR="00451CC2" w:rsidRPr="00AF4CDD" w:rsidRDefault="00451CC2" w:rsidP="00AF4CDD">
            <w:pPr>
              <w:pStyle w:val="Tabletext"/>
              <w:rPr>
                <w:rFonts w:eastAsia="Calibri"/>
              </w:rPr>
            </w:pPr>
            <w:r w:rsidRPr="00AF4CDD">
              <w:rPr>
                <w:rFonts w:eastAsia="Calibri"/>
              </w:rPr>
              <w:t>2019.CSR 2.2</w:t>
            </w:r>
          </w:p>
        </w:tc>
        <w:tc>
          <w:tcPr>
            <w:tcW w:w="1445" w:type="dxa"/>
            <w:tcMar>
              <w:top w:w="0" w:type="dxa"/>
              <w:left w:w="100" w:type="dxa"/>
              <w:bottom w:w="0" w:type="dxa"/>
              <w:right w:w="100" w:type="dxa"/>
            </w:tcMar>
            <w:vAlign w:val="center"/>
          </w:tcPr>
          <w:p w14:paraId="765B85E1" w14:textId="77777777" w:rsidR="00022E7C" w:rsidRDefault="00451CC2" w:rsidP="00AF4CDD">
            <w:pPr>
              <w:pStyle w:val="Tabletext"/>
              <w:rPr>
                <w:rFonts w:eastAsia="Calibri"/>
              </w:rPr>
            </w:pPr>
            <w:r w:rsidRPr="00AF4CDD">
              <w:rPr>
                <w:rFonts w:eastAsia="Calibri"/>
              </w:rPr>
              <w:t xml:space="preserve">Fair green </w:t>
            </w:r>
          </w:p>
          <w:p w14:paraId="4F0C9F05" w14:textId="52AA9D25" w:rsidR="00451CC2" w:rsidRPr="00AF4CDD" w:rsidRDefault="00451CC2" w:rsidP="00AF4CDD">
            <w:pPr>
              <w:pStyle w:val="Tabletext"/>
              <w:rPr>
                <w:rFonts w:eastAsia="Calibri"/>
              </w:rPr>
            </w:pPr>
            <w:r w:rsidRPr="00AF4CDD">
              <w:rPr>
                <w:rFonts w:eastAsia="Calibri"/>
              </w:rPr>
              <w:t>&amp; digital transition</w:t>
            </w:r>
          </w:p>
        </w:tc>
        <w:tc>
          <w:tcPr>
            <w:tcW w:w="1000" w:type="dxa"/>
            <w:tcMar>
              <w:top w:w="0" w:type="dxa"/>
              <w:left w:w="100" w:type="dxa"/>
              <w:bottom w:w="0" w:type="dxa"/>
              <w:right w:w="100" w:type="dxa"/>
            </w:tcMar>
            <w:vAlign w:val="center"/>
          </w:tcPr>
          <w:p w14:paraId="323D7083" w14:textId="77777777" w:rsidR="00451CC2" w:rsidRPr="00AF4CDD" w:rsidRDefault="00451CC2" w:rsidP="00AF4CDD">
            <w:pPr>
              <w:pStyle w:val="Tabletext"/>
              <w:rPr>
                <w:rFonts w:eastAsia="Calibri"/>
              </w:rPr>
            </w:pPr>
            <w:r w:rsidRPr="00AF4CDD">
              <w:rPr>
                <w:rFonts w:eastAsia="Calibri"/>
              </w:rPr>
              <w:t>On track</w:t>
            </w:r>
          </w:p>
        </w:tc>
      </w:tr>
    </w:tbl>
    <w:p w14:paraId="25A5F1CF" w14:textId="77777777" w:rsidR="00451CC2" w:rsidRPr="00A746D8" w:rsidRDefault="00451CC2" w:rsidP="00C040AF">
      <w:pPr>
        <w:spacing w:before="240"/>
        <w:rPr>
          <w:rFonts w:eastAsia="Calibri"/>
          <w:lang w:val="en-US"/>
        </w:rPr>
      </w:pPr>
      <w:r w:rsidRPr="00A746D8">
        <w:rPr>
          <w:rFonts w:eastAsia="Calibri"/>
          <w:lang w:val="en-US"/>
        </w:rPr>
        <w:t xml:space="preserve">Aligned with the Sendai Framework for Disaster Risk Reduction 2015-2030 and the national regulatory framework, the </w:t>
      </w:r>
      <w:r w:rsidRPr="00A746D8">
        <w:rPr>
          <w:rFonts w:eastAsia="Calibri"/>
          <w:b/>
          <w:lang w:val="en-US"/>
        </w:rPr>
        <w:t>“</w:t>
      </w:r>
      <w:r w:rsidRPr="00A746D8">
        <w:rPr>
          <w:rFonts w:eastAsia="Calibri"/>
          <w:b/>
          <w:bCs/>
          <w:lang w:val="en-US"/>
        </w:rPr>
        <w:t>National Disaster Risk Management Plan” (NDRMP)</w:t>
      </w:r>
      <w:r w:rsidRPr="00A746D8">
        <w:rPr>
          <w:rFonts w:eastAsia="Calibri"/>
          <w:lang w:val="en-US"/>
        </w:rPr>
        <w:t xml:space="preserve"> represents a reform that focuses on priority measures for risk reduction, prevention and scaling up early warning systems (monitoring and forecasting), reinforcing the social and economic resilience. The enhancement of emergency preparedness and governance response, involving all stakeholders of the Civil Protection Mechanism and in particular local authorities, will strengthen the Mechanism's capacity to issue impact-based warnings. Regarding the progress of the reform's implementation, the members of the relevant working groups endorsed new measures, which led to the drafting of the preliminary version of the updated Action Plan on 16 March 2026, within the framework of the ongoing Technical Support Instrument (TSI 2024) EU project. Following consultation with stakeholders, the Action Plan is anticipated to be finalized by May 2026, and to be formally adopted by Ministerial Decision by July 2026.</w:t>
      </w:r>
    </w:p>
    <w:p w14:paraId="6A3A50C3" w14:textId="77777777" w:rsidR="00451CC2" w:rsidRPr="00A746D8" w:rsidRDefault="00451CC2" w:rsidP="00C040AF">
      <w:pPr>
        <w:rPr>
          <w:rFonts w:eastAsia="Calibri"/>
          <w:lang w:val="en-US"/>
        </w:rPr>
      </w:pPr>
      <w:r w:rsidRPr="00A746D8">
        <w:rPr>
          <w:rFonts w:eastAsia="Calibri"/>
          <w:lang w:val="en-US"/>
        </w:rPr>
        <w:t xml:space="preserve">Furthermore, the </w:t>
      </w:r>
      <w:r w:rsidRPr="00A746D8">
        <w:rPr>
          <w:rFonts w:eastAsia="Calibri"/>
          <w:b/>
          <w:bCs/>
          <w:lang w:val="en-US"/>
        </w:rPr>
        <w:t>development of</w:t>
      </w:r>
      <w:r w:rsidRPr="00A746D8">
        <w:rPr>
          <w:rFonts w:eastAsia="Calibri"/>
          <w:lang w:val="en-US"/>
        </w:rPr>
        <w:t xml:space="preserve"> </w:t>
      </w:r>
      <w:r w:rsidRPr="00A746D8">
        <w:rPr>
          <w:rFonts w:eastAsia="Calibri"/>
          <w:b/>
          <w:bCs/>
          <w:lang w:val="en-US"/>
        </w:rPr>
        <w:t>an Integrated Information System (IIS) for Risk Management and Prevention of Natural Disasters</w:t>
      </w:r>
      <w:r w:rsidRPr="00A746D8">
        <w:rPr>
          <w:rFonts w:eastAsia="Calibri"/>
          <w:lang w:val="en-US"/>
        </w:rPr>
        <w:t xml:space="preserve"> which includes the deployment of the National</w:t>
      </w:r>
      <w:r w:rsidRPr="00A746D8">
        <w:rPr>
          <w:rFonts w:eastAsia="Calibri"/>
          <w:b/>
          <w:bCs/>
          <w:lang w:val="en-US"/>
        </w:rPr>
        <w:t xml:space="preserve"> </w:t>
      </w:r>
      <w:proofErr w:type="spellStart"/>
      <w:r w:rsidRPr="00A746D8">
        <w:rPr>
          <w:rFonts w:eastAsia="Calibri"/>
          <w:b/>
          <w:bCs/>
          <w:lang w:val="en-US"/>
        </w:rPr>
        <w:t>DataBase</w:t>
      </w:r>
      <w:proofErr w:type="spellEnd"/>
      <w:r w:rsidRPr="00A746D8">
        <w:rPr>
          <w:rFonts w:eastAsia="Calibri"/>
          <w:lang w:val="en-US"/>
        </w:rPr>
        <w:t xml:space="preserve"> of Disaster Risks, Threats and Losses, represents an investment of crucial importance for the operation of the National Mechanism of Civil Protection. Through its implementation, all – mostly digitized- information required to support the disaster risk life cycle will be managed, resulting in the coordination of operational stakeholders and the support of field operations. Data and results recorded, will lead to generated knowledge to be disseminated, and research and collaboration will be facilitated. The main operational pillars comprise the National Crisis Management and Prevention System and the National Early Warning System. Currently, the contract for Subproject 1, “National Crisis Management System and National Database, Infrastructure Services and related services”, as part of an Integrated </w:t>
      </w:r>
      <w:r w:rsidRPr="00A746D8">
        <w:rPr>
          <w:rFonts w:eastAsia="Calibri"/>
          <w:lang w:val="en-US"/>
        </w:rPr>
        <w:lastRenderedPageBreak/>
        <w:t>Information System (IIS) for Risk Management and Natural Disaster Prevention, is progressing smoothly, through an ongoing data collection from relevant stakeholders. A request by the project owner to the contractor for a one-year extension of the contract, to provide new supporting infrastructure, is also currently under review. The tender for Subproject 2, “National Early Warning System using Artificial Intelligence”, was ultimately cancelled by the contracting authority, Information Society S.A. (IS S.A.), as the procedure proved unsuccessful due to the rejection of all submitted bids. The contract for Subproject 3, “Services for the management, processing and use of data for civil protection policies using artificial intelligence”, was signed on 13 May 2025, with a delivery period of 24 months. The finalization of the information governance framework was successfully completed in October 2025, in line with the contractual obligations. The project is progressing according to the timeline.</w:t>
      </w:r>
    </w:p>
    <w:p w14:paraId="5A393C61" w14:textId="77777777" w:rsidR="00451CC2" w:rsidRPr="00A746D8" w:rsidRDefault="00451CC2" w:rsidP="00C040AF">
      <w:pPr>
        <w:rPr>
          <w:rFonts w:eastAsia="Calibri"/>
          <w:lang w:val="en-US"/>
        </w:rPr>
      </w:pPr>
      <w:r w:rsidRPr="00A746D8">
        <w:rPr>
          <w:rFonts w:eastAsia="Calibri"/>
          <w:lang w:val="en-US"/>
        </w:rPr>
        <w:t xml:space="preserve">A major part of the </w:t>
      </w:r>
      <w:r w:rsidRPr="00A746D8">
        <w:rPr>
          <w:rFonts w:eastAsia="Calibri"/>
          <w:b/>
          <w:bCs/>
          <w:lang w:val="en-US"/>
        </w:rPr>
        <w:t>“Monitoring and management system”</w:t>
      </w:r>
      <w:r w:rsidRPr="00A746D8">
        <w:rPr>
          <w:rFonts w:eastAsia="Calibri"/>
          <w:lang w:val="en-US"/>
        </w:rPr>
        <w:t xml:space="preserve"> regarding natural disasters funded by RRF, is reflected through three investments: a. The procurement of </w:t>
      </w:r>
      <w:r w:rsidRPr="00A746D8">
        <w:rPr>
          <w:rFonts w:eastAsia="Calibri"/>
          <w:b/>
          <w:bCs/>
          <w:lang w:val="en-US"/>
        </w:rPr>
        <w:t>new meteorological stations</w:t>
      </w:r>
      <w:r w:rsidRPr="00A746D8">
        <w:rPr>
          <w:rFonts w:eastAsia="Calibri"/>
          <w:lang w:val="en-US"/>
        </w:rPr>
        <w:t xml:space="preserve"> to provide early warning</w:t>
      </w:r>
      <w:r w:rsidRPr="008D6FCA">
        <w:rPr>
          <w:rFonts w:eastAsia="Calibri"/>
          <w:lang w:val="en-US"/>
        </w:rPr>
        <w:t>s</w:t>
      </w:r>
      <w:r w:rsidRPr="00A746D8">
        <w:rPr>
          <w:rFonts w:eastAsia="Calibri"/>
          <w:lang w:val="en-US"/>
        </w:rPr>
        <w:t xml:space="preserve"> is currently under implementation. In particular, the installation of upgraded equipment for the National Network of Meteorological Stations, as well as the IT system at the Hellenic National Meteorological Service, the quality control and pilot operation, training and communication and publicity activities are all in progress. It is noted though that the scheduled workshop was cancelled due to enhanced security measures. The overall project schedule has been extended by one month, with the new completion date set for June 18, 2026. b. The contract for the </w:t>
      </w:r>
      <w:r w:rsidRPr="00A746D8">
        <w:rPr>
          <w:rFonts w:eastAsia="Calibri"/>
          <w:b/>
          <w:bCs/>
          <w:lang w:val="en-US"/>
        </w:rPr>
        <w:t>supply of fire detection and fire extinguishing systems</w:t>
      </w:r>
      <w:r w:rsidRPr="00A746D8">
        <w:rPr>
          <w:rFonts w:eastAsia="Calibri"/>
          <w:lang w:val="en-US"/>
        </w:rPr>
        <w:t xml:space="preserve"> was signed on 30 June 2025, with a 12-month delivery period. The project is currently at the licensing stage, and once the required permits have been obtained, the systems will be installed and the necessary testing will be carried out. Consequently, by the end of June 2026, the systems are expected to be installed at 21 archaeological sites, critical locations, and cultural monuments.</w:t>
      </w:r>
      <w:r w:rsidRPr="008D6FCA">
        <w:rPr>
          <w:rFonts w:eastAsia="Calibri"/>
          <w:lang w:val="en-US"/>
        </w:rPr>
        <w:t xml:space="preserve"> </w:t>
      </w:r>
      <w:r w:rsidRPr="00A746D8">
        <w:rPr>
          <w:rFonts w:eastAsia="Calibri"/>
          <w:lang w:val="en-US"/>
        </w:rPr>
        <w:t>c</w:t>
      </w:r>
      <w:r w:rsidRPr="008D6FCA">
        <w:rPr>
          <w:rFonts w:eastAsia="Calibri"/>
          <w:lang w:val="en-US"/>
        </w:rPr>
        <w:t xml:space="preserve">. </w:t>
      </w:r>
      <w:r w:rsidRPr="00A746D8">
        <w:rPr>
          <w:rFonts w:eastAsia="Calibri"/>
          <w:lang w:val="en-US"/>
        </w:rPr>
        <w:t xml:space="preserve">The project </w:t>
      </w:r>
      <w:r w:rsidRPr="00A746D8">
        <w:rPr>
          <w:rFonts w:eastAsia="Calibri"/>
          <w:b/>
          <w:bCs/>
          <w:lang w:val="en-US"/>
        </w:rPr>
        <w:t>stations for emergency communications and provision of climate data</w:t>
      </w:r>
      <w:r w:rsidRPr="00A746D8">
        <w:rPr>
          <w:rFonts w:eastAsia="Calibri"/>
          <w:lang w:val="en-US"/>
        </w:rPr>
        <w:t xml:space="preserve"> is currently underway regarding the implementation of the contract for the installation of four (4) weather radars and the central equipment, which is financed by the Recovery and Resilience Facility (RRF). Their delivery is expected by June 2026, while the installation of the first radar in Larissa has already been completed. At the same time, the remaining deliverables of the contract (3 radars and related equipment), which are co-financed by the NSRF 2021</w:t>
      </w:r>
      <w:r w:rsidRPr="008D6FCA">
        <w:rPr>
          <w:rFonts w:eastAsia="Calibri"/>
          <w:lang w:val="en-US"/>
        </w:rPr>
        <w:t>-</w:t>
      </w:r>
      <w:r w:rsidRPr="00A746D8">
        <w:rPr>
          <w:rFonts w:eastAsia="Calibri"/>
          <w:lang w:val="en-US"/>
        </w:rPr>
        <w:t>2027 programme, are currently in the production phase.</w:t>
      </w:r>
    </w:p>
    <w:p w14:paraId="60CE3286" w14:textId="77777777" w:rsidR="00451CC2" w:rsidRPr="00A746D8" w:rsidRDefault="00451CC2" w:rsidP="00C040AF">
      <w:pPr>
        <w:rPr>
          <w:rFonts w:eastAsia="Calibri"/>
          <w:lang w:val="en-US"/>
        </w:rPr>
      </w:pPr>
      <w:r w:rsidRPr="00A746D8">
        <w:rPr>
          <w:rFonts w:eastAsia="Calibri"/>
          <w:lang w:val="en-US"/>
        </w:rPr>
        <w:t xml:space="preserve">The </w:t>
      </w:r>
      <w:r w:rsidRPr="00A746D8">
        <w:rPr>
          <w:rFonts w:eastAsia="Calibri"/>
          <w:b/>
          <w:lang w:val="en-US"/>
        </w:rPr>
        <w:t>“</w:t>
      </w:r>
      <w:r w:rsidRPr="00A746D8">
        <w:rPr>
          <w:rFonts w:eastAsia="Calibri"/>
          <w:b/>
          <w:bCs/>
          <w:lang w:val="en-US"/>
        </w:rPr>
        <w:t>Supply of prevention, response, management and early warning systems for natural and manmade hazards</w:t>
      </w:r>
      <w:r w:rsidRPr="00A746D8">
        <w:rPr>
          <w:rFonts w:eastAsia="Calibri"/>
          <w:b/>
          <w:lang w:val="en-US"/>
        </w:rPr>
        <w:t>”</w:t>
      </w:r>
      <w:r w:rsidRPr="00A746D8">
        <w:rPr>
          <w:rFonts w:eastAsia="Calibri"/>
          <w:lang w:val="en-US"/>
        </w:rPr>
        <w:t xml:space="preserve"> and the </w:t>
      </w:r>
      <w:r w:rsidRPr="00A746D8">
        <w:rPr>
          <w:rFonts w:eastAsia="Calibri"/>
          <w:b/>
          <w:lang w:val="en-US"/>
        </w:rPr>
        <w:t>“</w:t>
      </w:r>
      <w:r w:rsidRPr="00A746D8">
        <w:rPr>
          <w:rFonts w:eastAsia="Calibri"/>
          <w:b/>
          <w:bCs/>
          <w:lang w:val="en-US"/>
        </w:rPr>
        <w:t>Delivery</w:t>
      </w:r>
      <w:r w:rsidRPr="00A746D8">
        <w:rPr>
          <w:rFonts w:eastAsia="Calibri"/>
          <w:lang w:val="en-US"/>
        </w:rPr>
        <w:t xml:space="preserve"> </w:t>
      </w:r>
      <w:r w:rsidRPr="00A746D8">
        <w:rPr>
          <w:rFonts w:eastAsia="Calibri"/>
          <w:b/>
          <w:bCs/>
          <w:lang w:val="en-US"/>
        </w:rPr>
        <w:t>of Unmanned Aerial Vehicles (UAV-Drones) for air surveillance”</w:t>
      </w:r>
      <w:r w:rsidRPr="00A746D8">
        <w:rPr>
          <w:rFonts w:eastAsia="Calibri"/>
          <w:lang w:val="en-US"/>
        </w:rPr>
        <w:t xml:space="preserve"> a strategic effort to strengthen management of natural disasters by putting in place an effective early warning and risk prevention system is reflected. As regards the supply of prevention, response, management, and early warning systems for natural and manmade hazards, a Framework Agreement was signed with the contractor in February 2025 under the project “Procurement of equipment for systems for prevention, response, management, and early warning – Fire detection systems using artificial intelligence”. It was further specified following the signing of the first Implementing Contract at the end of February 2026. Since then, the project has been under implementation, and by June 2026 the relevant studies are expected to be completed. It is funded by European Investment Bank (EIB) and European Regional Development Fund (ERDF), entailing fire surveillance, detection, and alarm, which will provide coverage in selected intervention areas and enable the transmission of information to the Single </w:t>
      </w:r>
      <w:r w:rsidRPr="00A746D8">
        <w:rPr>
          <w:rFonts w:eastAsia="Calibri"/>
          <w:lang w:val="en-US"/>
        </w:rPr>
        <w:lastRenderedPageBreak/>
        <w:t xml:space="preserve">Coordination Control Center. The detection and warning systems will incorporate advanced technologies, including optical sensor systems, a meteorological station, specialized sensors, telecommunications equipment, and systems for recording high-resolution video footage on a 24-hour basis. </w:t>
      </w:r>
    </w:p>
    <w:p w14:paraId="61751DFD" w14:textId="77777777" w:rsidR="00451CC2" w:rsidRPr="00A746D8" w:rsidRDefault="00451CC2" w:rsidP="00C040AF">
      <w:pPr>
        <w:rPr>
          <w:rFonts w:eastAsia="Calibri"/>
          <w:lang w:val="en-US"/>
        </w:rPr>
      </w:pPr>
      <w:r w:rsidRPr="00A746D8">
        <w:rPr>
          <w:rFonts w:eastAsia="Calibri"/>
          <w:lang w:val="en-US"/>
        </w:rPr>
        <w:t xml:space="preserve">The RRF investment </w:t>
      </w:r>
      <w:r w:rsidRPr="00A746D8">
        <w:rPr>
          <w:rFonts w:eastAsia="Calibri"/>
          <w:b/>
          <w:lang w:val="en-US"/>
        </w:rPr>
        <w:t>“Unmanned Aerial Vehicles (Drones) for Air Surveillance”</w:t>
      </w:r>
      <w:r w:rsidRPr="00A746D8">
        <w:rPr>
          <w:rFonts w:eastAsia="Calibri"/>
          <w:lang w:val="en-US"/>
        </w:rPr>
        <w:t xml:space="preserve"> has made significant progress in the delivery of equipment components.</w:t>
      </w:r>
      <w:r w:rsidRPr="00A746D8">
        <w:rPr>
          <w:rFonts w:eastAsia="Calibri"/>
          <w:color w:val="EE0000"/>
          <w:lang w:val="en-US"/>
        </w:rPr>
        <w:t xml:space="preserve"> </w:t>
      </w:r>
      <w:r w:rsidRPr="00A746D8">
        <w:rPr>
          <w:rFonts w:eastAsia="Calibri"/>
          <w:lang w:val="en-US"/>
        </w:rPr>
        <w:t xml:space="preserve">Three (3) smaller tethered unmanned aerial vehicles (UAVs) and eight (8) mini </w:t>
      </w:r>
      <w:proofErr w:type="spellStart"/>
      <w:r w:rsidRPr="00A746D8">
        <w:rPr>
          <w:rFonts w:eastAsia="Calibri"/>
          <w:lang w:val="en-US"/>
        </w:rPr>
        <w:t>multicopters</w:t>
      </w:r>
      <w:proofErr w:type="spellEnd"/>
      <w:r w:rsidRPr="00A746D8">
        <w:rPr>
          <w:rFonts w:eastAsia="Calibri"/>
          <w:lang w:val="en-US"/>
        </w:rPr>
        <w:t xml:space="preserve"> for indoor use have been successfully delivered. Seventy-one (71) </w:t>
      </w:r>
      <w:proofErr w:type="spellStart"/>
      <w:r w:rsidRPr="00A746D8">
        <w:rPr>
          <w:rFonts w:eastAsia="Calibri"/>
          <w:lang w:val="en-US"/>
        </w:rPr>
        <w:t>minicopters</w:t>
      </w:r>
      <w:proofErr w:type="spellEnd"/>
      <w:r w:rsidRPr="00A746D8">
        <w:rPr>
          <w:rFonts w:eastAsia="Calibri"/>
          <w:lang w:val="en-US"/>
        </w:rPr>
        <w:t xml:space="preserve"> are to be delivered by May</w:t>
      </w:r>
      <w:r w:rsidRPr="008D6FCA">
        <w:rPr>
          <w:rFonts w:eastAsia="Calibri"/>
          <w:lang w:val="en-US"/>
        </w:rPr>
        <w:t xml:space="preserve"> 2026</w:t>
      </w:r>
      <w:r w:rsidRPr="00A746D8">
        <w:rPr>
          <w:rFonts w:eastAsia="Calibri"/>
          <w:lang w:val="en-US"/>
        </w:rPr>
        <w:t>, and one (1) octocopter by June 2026. In parallel, the contract for the procurement of a fixed-wing unmanned aerial vehicle (UAV) for aerial surveillance, signed on 17 May 2025 and financed by the European Investment Bank (EIB), is currently under implementation, with delivery expected by September 2026.</w:t>
      </w:r>
    </w:p>
    <w:p w14:paraId="650C4E8C" w14:textId="77777777" w:rsidR="00451CC2" w:rsidRPr="00A746D8" w:rsidRDefault="00451CC2" w:rsidP="00C040AF">
      <w:pPr>
        <w:rPr>
          <w:rFonts w:eastAsia="Calibri"/>
          <w:lang w:val="en-US"/>
        </w:rPr>
      </w:pPr>
      <w:r w:rsidRPr="00A746D8">
        <w:rPr>
          <w:rFonts w:eastAsia="Calibri"/>
          <w:lang w:val="en-US"/>
        </w:rPr>
        <w:t xml:space="preserve">As regards seismic risks, the </w:t>
      </w:r>
      <w:r w:rsidRPr="00A746D8">
        <w:rPr>
          <w:rFonts w:eastAsia="Calibri"/>
          <w:b/>
          <w:lang w:val="en-US"/>
        </w:rPr>
        <w:t>“</w:t>
      </w:r>
      <w:r w:rsidRPr="00A746D8">
        <w:rPr>
          <w:rFonts w:eastAsia="Calibri"/>
          <w:b/>
          <w:bCs/>
          <w:lang w:val="en-US"/>
        </w:rPr>
        <w:t xml:space="preserve">Preliminary inspection of seismic resistance of buildings” </w:t>
      </w:r>
      <w:r w:rsidRPr="00A746D8">
        <w:rPr>
          <w:rFonts w:eastAsia="Calibri"/>
          <w:lang w:val="en-US"/>
        </w:rPr>
        <w:t>represents a key initiative, considering that Greece is a country with high seismic activity. The project will be carried out mainly on public and private educational units of all levels, public and private hospitals, health centers, Police Departments, the Hellenic Fire Service and Civil Protection Units (Local Administration), based on the degree of hazardousness. For this purpose, the Organization for Earthquake Planning and Protection (EPPO) and the Technical Chamber of Greece (TEE) have developed a digital platform to record the seismic capacity of the buildings, according to the specifications and methodology of the EPPO, along with an Electronic Register of Engineers for the Pre-Earthquake control of buildings. The initial project was completed in December 2025. Rapid visual Inspections were conducted in 22.145 buildings, exceeding the milestone target of 21.970 buildings. Following two amendments to Law 5037/2023 (OJ A 78/28.03.2023) in 2025, a Joint Ministerial Decision was published on March 6, 2026 (OJ B’ 1276), extending the target for conducting Primary Pre-seismic Inspections to 2.500 sports facilities. Rapid visual inspections of sports facilities have already launched, and it is expected that by April 30,2026 all inspections will be successfully completed.</w:t>
      </w:r>
    </w:p>
    <w:p w14:paraId="242E3052" w14:textId="77777777" w:rsidR="00451CC2" w:rsidRPr="00A746D8" w:rsidRDefault="00451CC2" w:rsidP="00C040AF">
      <w:pPr>
        <w:rPr>
          <w:rFonts w:eastAsia="Calibri"/>
          <w:lang w:val="en-US"/>
        </w:rPr>
      </w:pPr>
      <w:r w:rsidRPr="00A746D8">
        <w:rPr>
          <w:rFonts w:eastAsia="Calibri"/>
          <w:lang w:val="en-US"/>
        </w:rPr>
        <w:t>The</w:t>
      </w:r>
      <w:r w:rsidRPr="008D6FCA">
        <w:rPr>
          <w:rFonts w:eastAsia="Calibri"/>
          <w:lang w:val="en-US"/>
        </w:rPr>
        <w:t xml:space="preserve"> </w:t>
      </w:r>
      <w:r w:rsidRPr="00A746D8">
        <w:rPr>
          <w:rFonts w:eastAsia="Calibri"/>
          <w:b/>
          <w:bCs/>
          <w:lang w:val="en-US"/>
        </w:rPr>
        <w:t>enhancement of readiness and response</w:t>
      </w:r>
      <w:r w:rsidRPr="00A746D8">
        <w:rPr>
          <w:rFonts w:eastAsia="Calibri"/>
          <w:lang w:val="en-US"/>
        </w:rPr>
        <w:t xml:space="preserve"> of the competent </w:t>
      </w:r>
      <w:r w:rsidRPr="00A746D8">
        <w:rPr>
          <w:rFonts w:eastAsia="Calibri"/>
          <w:b/>
          <w:bCs/>
          <w:lang w:val="en-US"/>
        </w:rPr>
        <w:t xml:space="preserve">Organization for Earthquake Planning and Protection (EPPO) </w:t>
      </w:r>
      <w:r w:rsidRPr="00A746D8">
        <w:rPr>
          <w:rFonts w:eastAsia="Calibri"/>
          <w:lang w:val="en-US"/>
        </w:rPr>
        <w:t>in Greece, represents a reform which includes various training seminars, workshops and work meetings, along with a relevant exercise within the premises of EPPO. To that end, a series of training activities has been implemented for the personnel in Attica and Thessaloniki.  On June 25, 2025, a hybrid seminar was held on the topic: “EPPO Operational Plan in the Event of an Earthquake” to train personnel on the procedures outlined in the EPPO Operational Plan in the event of an earthquake of magnitude ≥ 4 (e.g. initial response actions, roles and responsibilities, situation assessment, coordination with other bodies, participation in coordinating bodies, and the convening of scientific committees). On October 16, 2025, a hybrid working meeting was held on issues related to seismic risk management in the workplace for EPPO staff, with the aim of assessing the Organization's Emergency (Evacuation) Plan and improving staff preparedness and response skills. Following the meeting, an earthquake drill was conducted in Athens and Thessaloniki.  On November 20, 2025, a hybrid, experience-based seminar was held on the topic “Fire Safety – Fire Protection in the Workplace”, with the aim of improving personnel knowledge and skills in the use of firefighting equipment.</w:t>
      </w:r>
    </w:p>
    <w:p w14:paraId="1B007D01" w14:textId="77777777" w:rsidR="00451CC2" w:rsidRPr="00451CC2" w:rsidRDefault="00451CC2" w:rsidP="00C040AF">
      <w:pPr>
        <w:rPr>
          <w:rFonts w:eastAsia="Calibri"/>
          <w:lang w:val="en-US"/>
        </w:rPr>
      </w:pPr>
      <w:r w:rsidRPr="00451CC2">
        <w:rPr>
          <w:rFonts w:eastAsia="Calibri"/>
          <w:lang w:val="en-US"/>
        </w:rPr>
        <w:lastRenderedPageBreak/>
        <w:t xml:space="preserve">Moreover, the </w:t>
      </w:r>
      <w:r w:rsidRPr="00451CC2">
        <w:rPr>
          <w:rFonts w:eastAsia="Calibri"/>
          <w:b/>
          <w:bCs/>
          <w:lang w:val="en-US"/>
        </w:rPr>
        <w:t xml:space="preserve">extension of risk methodology to fire safety regulations as well as establishing new risk assessment and evaluation methodologies </w:t>
      </w:r>
      <w:r w:rsidRPr="00451CC2">
        <w:rPr>
          <w:rFonts w:eastAsia="Calibri"/>
          <w:lang w:val="en-US"/>
        </w:rPr>
        <w:t>is also fundamental to prevention. With regard to the extension of risk methodology to fire safety regulations, the subproject entitled “Implement a risk-based approach in fire safety inspections and consider involving private sector expertise in fire safety to alleviate pressures on the Fire Department”, within the framework of the RRF measure “Ease of Doing Business”, was completed in early April 2025. Subsequently, the working groups, tasked with upgrading administrative procedures and integrating digital services for fire risk assessment and evaluation management, continued their activities throughout 2025 and were granted an extension until April 2026, during which they are expected to submit their findings. Based on these developments, a new legislative framework will be established by September 2026, followed by the establishment of evaluation criteria for Fire Safety Offices, and the implementation of certified training programmes for Fire Safety personnel. Moreover, as regards new risk assessment and evaluation methodologies, the Law 5281/2026 (OJ A’ 28/25.02.2026) introduced accountability and organizational learning mechanisms, through the establishment of a Scientific Review Committee for large forest fires and an annual fire season Review Committee, with the obligation to draft an annual report and develop performance indicators for prevention, operational response, and restoration. Legislation on the</w:t>
      </w:r>
      <w:r w:rsidRPr="00451CC2">
        <w:rPr>
          <w:lang w:val="en-US"/>
        </w:rPr>
        <w:t xml:space="preserve"> </w:t>
      </w:r>
      <w:r w:rsidRPr="008D6FCA">
        <w:rPr>
          <w:rFonts w:eastAsia="Calibri"/>
          <w:lang w:val="en-US"/>
        </w:rPr>
        <w:t>activation</w:t>
      </w:r>
      <w:r w:rsidRPr="00451CC2">
        <w:rPr>
          <w:rFonts w:eastAsia="Calibri"/>
          <w:lang w:val="en-US"/>
        </w:rPr>
        <w:t xml:space="preserve"> of the National Database on Risks, Threats, and Disaster Losses, as well as the establishment of a Strategic Plan for Integrated Forest Fire Management and the initiation of the Registry of Certified Experts.</w:t>
      </w:r>
    </w:p>
    <w:p w14:paraId="7CC84037" w14:textId="77777777" w:rsidR="00451CC2" w:rsidRPr="00A746D8" w:rsidRDefault="00451CC2" w:rsidP="00C040AF">
      <w:pPr>
        <w:rPr>
          <w:rFonts w:eastAsia="Calibri"/>
          <w:lang w:val="en-US"/>
        </w:rPr>
      </w:pPr>
      <w:r w:rsidRPr="00A746D8">
        <w:rPr>
          <w:rFonts w:eastAsia="Calibri"/>
          <w:lang w:val="en-US"/>
        </w:rPr>
        <w:t>To</w:t>
      </w:r>
      <w:r w:rsidRPr="008D6FCA">
        <w:rPr>
          <w:rFonts w:eastAsia="Calibri"/>
          <w:lang w:val="en-US"/>
        </w:rPr>
        <w:t xml:space="preserve"> </w:t>
      </w:r>
      <w:r w:rsidRPr="00A746D8">
        <w:rPr>
          <w:rFonts w:eastAsia="Calibri"/>
          <w:b/>
          <w:bCs/>
          <w:lang w:val="en-US"/>
        </w:rPr>
        <w:t>enhance prevention regulations and control mechanisms with regard to fire protection violations,</w:t>
      </w:r>
      <w:r w:rsidRPr="00A746D8">
        <w:rPr>
          <w:rFonts w:eastAsia="Calibri"/>
          <w:lang w:val="en-US"/>
        </w:rPr>
        <w:t xml:space="preserve"> the working group established by decision of the Chief of the Hellenic Fire Service in March 2025 was granted an extension to submit its report by June 2026 at the latest, with a view to defining criteria for evaluating the effectiveness of the Fire Service’s control and inspection mechanisms. The necessary amendments to the relevant legal and regulatory framework will follow, together with the establishment of performance indicators for target-setting within the inspection mechanism, to be adopted by decision of the Chief by October 2026. In addition, a regulatory act upgrading the specifications and inspection procedures for active fire protection systems is expected to be issued by 30 June 2026.</w:t>
      </w:r>
    </w:p>
    <w:p w14:paraId="2954684E" w14:textId="77777777" w:rsidR="00451CC2" w:rsidRPr="00A746D8" w:rsidRDefault="00451CC2" w:rsidP="00C040AF">
      <w:pPr>
        <w:rPr>
          <w:rFonts w:eastAsia="Calibri"/>
          <w:lang w:val="en-US"/>
        </w:rPr>
      </w:pPr>
      <w:bookmarkStart w:id="85" w:name="_Hlk227777706"/>
      <w:r w:rsidRPr="00A746D8">
        <w:rPr>
          <w:rFonts w:eastAsia="Calibri"/>
          <w:lang w:val="en-US"/>
        </w:rPr>
        <w:t>To</w:t>
      </w:r>
      <w:r w:rsidRPr="008D6FCA">
        <w:rPr>
          <w:rFonts w:eastAsia="Calibri"/>
          <w:lang w:val="en-US"/>
        </w:rPr>
        <w:t xml:space="preserve"> </w:t>
      </w:r>
      <w:r w:rsidRPr="00A746D8">
        <w:rPr>
          <w:rFonts w:eastAsia="Calibri"/>
          <w:b/>
          <w:bCs/>
          <w:lang w:val="en-US"/>
        </w:rPr>
        <w:t>enhance prevention regulations and control mechanisms with regard to fire protection violations,</w:t>
      </w:r>
      <w:r w:rsidRPr="00A746D8">
        <w:rPr>
          <w:rFonts w:eastAsia="Calibri"/>
          <w:lang w:val="en-US"/>
        </w:rPr>
        <w:t xml:space="preserve"> </w:t>
      </w:r>
      <w:bookmarkEnd w:id="85"/>
      <w:r w:rsidRPr="00A746D8">
        <w:rPr>
          <w:rFonts w:eastAsia="Calibri"/>
          <w:lang w:val="en-US"/>
        </w:rPr>
        <w:t xml:space="preserve">the working group established by decision of the Chief of the Hellenic Fire Service in March 2025 was granted an extension to submit its report by June 2026 at the latest, in order to define the criteria for evaluating the effectiveness of the Fire Service’s control and inspection mechanisms. </w:t>
      </w:r>
      <w:r w:rsidRPr="008D6FCA">
        <w:rPr>
          <w:rFonts w:eastAsia="Calibri"/>
          <w:lang w:val="en-US"/>
        </w:rPr>
        <w:t>The</w:t>
      </w:r>
      <w:r w:rsidRPr="00A746D8">
        <w:rPr>
          <w:rFonts w:eastAsia="Calibri"/>
          <w:lang w:val="en-US"/>
        </w:rPr>
        <w:t xml:space="preserve"> establishment of performance indicators for target-setting within the inspection mechanism will be adopted by decision of the Chief by October 2026 and a regulatory act upgrading the specifications and inspection procedures for active fire protection systems is expected to be issued by 30 June 2026. In parallel, the new legislative framework, Law 5281/2026 (OJ A’ 28/25.02.2026) establishes new provisions for fire prevention and the amendment of existing provisions for fire suppression, including preventive measures such as Prevention Plans, controlled burn, rotational grazing, and streamlining the framework for mandatory clearing of plots, as well as suppression mechanisms, such as counter-fires (back fires). Legislation introduced the transformation of the Directorate for Combating Arson Crimes (D.C.A.C.), with new regulations regarding its organization, responsibilities, and investigative units.</w:t>
      </w:r>
    </w:p>
    <w:p w14:paraId="26324896" w14:textId="77777777" w:rsidR="00451CC2" w:rsidRPr="00A746D8" w:rsidRDefault="00451CC2" w:rsidP="00C040AF">
      <w:pPr>
        <w:rPr>
          <w:rFonts w:eastAsia="Calibri"/>
          <w:lang w:val="en-US"/>
        </w:rPr>
      </w:pPr>
      <w:r w:rsidRPr="00A746D8">
        <w:rPr>
          <w:rFonts w:eastAsia="Calibri"/>
          <w:lang w:val="en-US"/>
        </w:rPr>
        <w:lastRenderedPageBreak/>
        <w:t xml:space="preserve">In addition, the European emergency number which has proven to be a lifesaver in emergency situations, is being significantly upgraded with new functions leading to an optimized and constantly evolving communication environment, adapted also to the needs of people with disabilities. To this end the </w:t>
      </w:r>
      <w:r w:rsidRPr="00A746D8">
        <w:rPr>
          <w:rFonts w:eastAsia="Calibri"/>
          <w:b/>
          <w:lang w:val="en-US"/>
        </w:rPr>
        <w:t>“</w:t>
      </w:r>
      <w:r w:rsidRPr="00A746D8">
        <w:rPr>
          <w:rFonts w:eastAsia="Calibri"/>
          <w:b/>
          <w:bCs/>
          <w:lang w:val="en-US"/>
        </w:rPr>
        <w:t>Installation of an Integrated Next Generation Emergency Call Management System (Next Generation 112)”</w:t>
      </w:r>
      <w:r w:rsidRPr="00A746D8">
        <w:rPr>
          <w:rFonts w:eastAsia="Calibri"/>
          <w:lang w:val="en-US"/>
        </w:rPr>
        <w:t xml:space="preserve"> includes the supply and installation of an Emergency Call Management System with the capacity of 400 simultaneous users including Silent Button for the silent announcement of an incident, in hostage situations as well as protective measures. It also includes a call management software, integrated with a GIS software, which will allow communications through voice, video, real-time instant messaging with simultaneous geo-location capability, including communication in cases where there is no mobile network coverage. The project is of critical importance, since it is expected to enable the support of emergency communications and services to persons with disabilities among others, by strengthening their equal access through the adoption of next generation technologies. In March 2026, Phase 3 of the Next Generation 112 project, concerning the supply, configuration, and installation of off-the-shelf software and systems, was completed and accepted. The contract is progressing smoothly, with subsequent phases, user training, and pilot operations, currently in progress.</w:t>
      </w:r>
    </w:p>
    <w:p w14:paraId="72176A92" w14:textId="77777777" w:rsidR="00451CC2" w:rsidRPr="00A746D8" w:rsidRDefault="00451CC2" w:rsidP="00C040AF">
      <w:pPr>
        <w:rPr>
          <w:rFonts w:eastAsia="Calibri"/>
          <w:lang w:val="en-US"/>
        </w:rPr>
      </w:pPr>
      <w:r w:rsidRPr="00A746D8">
        <w:rPr>
          <w:rFonts w:eastAsia="Calibri"/>
          <w:lang w:val="en-US"/>
        </w:rPr>
        <w:t xml:space="preserve">Finally, the supply of </w:t>
      </w:r>
      <w:r w:rsidRPr="00A746D8">
        <w:rPr>
          <w:rFonts w:eastAsia="Calibri"/>
          <w:b/>
          <w:bCs/>
          <w:lang w:val="en-US"/>
        </w:rPr>
        <w:t xml:space="preserve">mobile administration and on-site control centers </w:t>
      </w:r>
      <w:r w:rsidRPr="00A746D8">
        <w:rPr>
          <w:rFonts w:eastAsia="Calibri"/>
          <w:lang w:val="en-US"/>
        </w:rPr>
        <w:t>for each one of</w:t>
      </w:r>
      <w:r w:rsidRPr="00A746D8">
        <w:rPr>
          <w:rFonts w:eastAsia="Calibri"/>
          <w:b/>
          <w:bCs/>
          <w:lang w:val="en-US"/>
        </w:rPr>
        <w:t xml:space="preserve"> the 13 Regions (RRF)</w:t>
      </w:r>
      <w:r w:rsidRPr="00A746D8">
        <w:rPr>
          <w:rFonts w:eastAsia="Calibri"/>
          <w:lang w:val="en-US"/>
        </w:rPr>
        <w:t>, is set within the framework of a strategic National Disaster Risk Management that aims at strengthening the social and economic resilience. Their purpose is the on-site command and better coordination of the Fire Department and Civil Protection forces, in response to major natural disasters (extreme weather, floods, forest fires), geophysical phenomena or manmade incidents. Mobile Operations Centers include 4-wheel drive vehicles (vans) equipped with satellite communications systems, tethered drones and meteorological stations, thus having the ability to reach more inaccessible places on a rapid intervention basis. With regard to the implementation, the project is facing a delay due to force majeure. Notably, a fire broke out at the supplier’s facilities, in January 2026, resulting in damage to items scheduled for delivery. Given that the project will not be completed on time within the RRF schedule, the Ministry of Climate Crisis and Civil Protection has decided to remove it and make use of a different funding tool for its implementation. Delivery is postponed by 17 months, i.e., until 23 June 2027 and the items will be distributed partially.</w:t>
      </w:r>
    </w:p>
    <w:p w14:paraId="7198A603" w14:textId="77777777" w:rsidR="00C1204C" w:rsidRDefault="00C1204C">
      <w:pPr>
        <w:spacing w:after="200" w:line="276" w:lineRule="auto"/>
        <w:jc w:val="left"/>
        <w:rPr>
          <w:rFonts w:ascii="Calibri Light" w:eastAsiaTheme="majorEastAsia" w:hAnsi="Calibri Light" w:cstheme="majorBidi"/>
          <w:b/>
          <w:bCs/>
          <w:color w:val="4F81BD" w:themeColor="accent1"/>
          <w:w w:val="90"/>
          <w:sz w:val="48"/>
          <w:szCs w:val="28"/>
          <w:lang w:val="en-US"/>
        </w:rPr>
      </w:pPr>
      <w:bookmarkStart w:id="86" w:name="_Toc228279105"/>
      <w:r>
        <w:rPr>
          <w:lang w:val="en-US"/>
        </w:rPr>
        <w:br w:type="page"/>
      </w:r>
    </w:p>
    <w:p w14:paraId="5230B113" w14:textId="33C0415F" w:rsidR="0007264A" w:rsidRDefault="0007264A" w:rsidP="00B85127">
      <w:pPr>
        <w:pStyle w:val="Heading1"/>
        <w:spacing w:after="240"/>
        <w:rPr>
          <w:lang w:val="en-US"/>
        </w:rPr>
      </w:pPr>
      <w:r>
        <w:rPr>
          <w:lang w:val="en-US"/>
        </w:rPr>
        <w:lastRenderedPageBreak/>
        <w:t xml:space="preserve">Annex I: </w:t>
      </w:r>
      <w:r w:rsidR="006D48A4">
        <w:rPr>
          <w:lang w:val="en-US"/>
        </w:rPr>
        <w:t>Measures tables</w:t>
      </w:r>
      <w:bookmarkEnd w:id="86"/>
    </w:p>
    <w:p w14:paraId="31060A88" w14:textId="4868F1A4" w:rsidR="009271C8" w:rsidRDefault="005A6DDB" w:rsidP="000D28EC">
      <w:pPr>
        <w:pStyle w:val="Caption"/>
        <w:spacing w:after="0"/>
      </w:pPr>
      <w:bookmarkStart w:id="87" w:name="_Toc228374163"/>
      <w:r>
        <w:t xml:space="preserve">Table </w:t>
      </w:r>
      <w:r w:rsidR="00B6443E">
        <w:fldChar w:fldCharType="begin"/>
      </w:r>
      <w:r>
        <w:instrText xml:space="preserve"> SEQ Table \* ARABIC </w:instrText>
      </w:r>
      <w:r w:rsidR="00B6443E">
        <w:fldChar w:fldCharType="separate"/>
      </w:r>
      <w:r w:rsidR="000B61F1">
        <w:rPr>
          <w:noProof/>
        </w:rPr>
        <w:t>9</w:t>
      </w:r>
      <w:r w:rsidR="00B6443E">
        <w:fldChar w:fldCharType="end"/>
      </w:r>
      <w:r>
        <w:t xml:space="preserve"> | Discretionary revenue measures         </w:t>
      </w:r>
      <w:r w:rsidRPr="005A6DDB">
        <w:rPr>
          <w:b w:val="0"/>
        </w:rPr>
        <w:t>(additional budgetary impact, % of GDP)</w:t>
      </w:r>
      <w:bookmarkEnd w:id="87"/>
    </w:p>
    <w:tbl>
      <w:tblPr>
        <w:tblW w:w="8886" w:type="dxa"/>
        <w:jc w:val="center"/>
        <w:tblLayout w:type="fixed"/>
        <w:tblLook w:val="04A0" w:firstRow="1" w:lastRow="0" w:firstColumn="1" w:lastColumn="0" w:noHBand="0" w:noVBand="1"/>
      </w:tblPr>
      <w:tblGrid>
        <w:gridCol w:w="2268"/>
        <w:gridCol w:w="703"/>
        <w:gridCol w:w="888"/>
        <w:gridCol w:w="1403"/>
        <w:gridCol w:w="862"/>
        <w:gridCol w:w="515"/>
        <w:gridCol w:w="795"/>
        <w:gridCol w:w="736"/>
        <w:gridCol w:w="716"/>
      </w:tblGrid>
      <w:tr w:rsidR="00426A02" w:rsidRPr="00426A02" w14:paraId="721A9997" w14:textId="77777777" w:rsidTr="00B45FFD">
        <w:trPr>
          <w:trHeight w:val="1053"/>
          <w:jc w:val="center"/>
        </w:trPr>
        <w:tc>
          <w:tcPr>
            <w:tcW w:w="2268" w:type="dxa"/>
            <w:tcBorders>
              <w:top w:val="single" w:sz="4" w:space="0" w:color="FFFFFF"/>
              <w:left w:val="nil"/>
              <w:bottom w:val="single" w:sz="4" w:space="0" w:color="FFFFFF"/>
              <w:right w:val="nil"/>
            </w:tcBorders>
            <w:shd w:val="clear" w:color="000000" w:fill="BFBFBF"/>
            <w:vAlign w:val="center"/>
            <w:hideMark/>
          </w:tcPr>
          <w:p w14:paraId="4FCEDB12" w14:textId="77777777" w:rsidR="00426A02" w:rsidRPr="00426A02" w:rsidRDefault="00426A02" w:rsidP="00B85127">
            <w:pPr>
              <w:pStyle w:val="Tabletext"/>
              <w:spacing w:line="260" w:lineRule="exact"/>
              <w:rPr>
                <w:b/>
              </w:rPr>
            </w:pPr>
            <w:r w:rsidRPr="00426A02">
              <w:rPr>
                <w:b/>
              </w:rPr>
              <w:t>Description</w:t>
            </w:r>
          </w:p>
        </w:tc>
        <w:tc>
          <w:tcPr>
            <w:tcW w:w="703" w:type="dxa"/>
            <w:tcBorders>
              <w:top w:val="single" w:sz="4" w:space="0" w:color="FFFFFF"/>
              <w:left w:val="nil"/>
              <w:bottom w:val="single" w:sz="4" w:space="0" w:color="FFFFFF"/>
              <w:right w:val="nil"/>
            </w:tcBorders>
            <w:shd w:val="clear" w:color="000000" w:fill="BFBFBF"/>
            <w:textDirection w:val="btLr"/>
            <w:vAlign w:val="center"/>
            <w:hideMark/>
          </w:tcPr>
          <w:p w14:paraId="4DB72F4F" w14:textId="77777777" w:rsidR="00426A02" w:rsidRPr="00426A02" w:rsidRDefault="00426A02" w:rsidP="00B85127">
            <w:pPr>
              <w:pStyle w:val="Tabletext"/>
              <w:spacing w:line="180" w:lineRule="exact"/>
              <w:jc w:val="center"/>
              <w:rPr>
                <w:b/>
              </w:rPr>
            </w:pPr>
            <w:r w:rsidRPr="00426A02">
              <w:rPr>
                <w:b/>
              </w:rPr>
              <w:t>First budgetary impact</w:t>
            </w:r>
          </w:p>
        </w:tc>
        <w:tc>
          <w:tcPr>
            <w:tcW w:w="888" w:type="dxa"/>
            <w:tcBorders>
              <w:top w:val="single" w:sz="4" w:space="0" w:color="FFFFFF"/>
              <w:left w:val="nil"/>
              <w:bottom w:val="single" w:sz="4" w:space="0" w:color="FFFFFF"/>
              <w:right w:val="nil"/>
            </w:tcBorders>
            <w:shd w:val="clear" w:color="000000" w:fill="BFBFBF"/>
            <w:textDirection w:val="btLr"/>
            <w:vAlign w:val="center"/>
            <w:hideMark/>
          </w:tcPr>
          <w:p w14:paraId="079EC783" w14:textId="77777777" w:rsidR="00426A02" w:rsidRPr="00426A02" w:rsidRDefault="00426A02" w:rsidP="00B85127">
            <w:pPr>
              <w:pStyle w:val="Tabletext"/>
              <w:spacing w:line="180" w:lineRule="exact"/>
              <w:jc w:val="center"/>
              <w:rPr>
                <w:b/>
              </w:rPr>
            </w:pPr>
            <w:r w:rsidRPr="00426A02">
              <w:rPr>
                <w:b/>
              </w:rPr>
              <w:t>Labels</w:t>
            </w:r>
          </w:p>
        </w:tc>
        <w:tc>
          <w:tcPr>
            <w:tcW w:w="1403" w:type="dxa"/>
            <w:tcBorders>
              <w:top w:val="single" w:sz="4" w:space="0" w:color="FFFFFF"/>
              <w:left w:val="nil"/>
              <w:bottom w:val="single" w:sz="4" w:space="0" w:color="FFFFFF"/>
              <w:right w:val="nil"/>
            </w:tcBorders>
            <w:shd w:val="clear" w:color="000000" w:fill="BFBFBF"/>
            <w:textDirection w:val="btLr"/>
            <w:vAlign w:val="center"/>
            <w:hideMark/>
          </w:tcPr>
          <w:p w14:paraId="7158AFF3" w14:textId="77777777" w:rsidR="00426A02" w:rsidRPr="00426A02" w:rsidRDefault="00426A02" w:rsidP="00B85127">
            <w:pPr>
              <w:pStyle w:val="Tabletext"/>
              <w:spacing w:line="180" w:lineRule="exact"/>
              <w:jc w:val="center"/>
              <w:rPr>
                <w:b/>
              </w:rPr>
            </w:pPr>
            <w:r w:rsidRPr="00426A02">
              <w:rPr>
                <w:b/>
              </w:rPr>
              <w:t>ESA</w:t>
            </w:r>
          </w:p>
        </w:tc>
        <w:tc>
          <w:tcPr>
            <w:tcW w:w="862" w:type="dxa"/>
            <w:tcBorders>
              <w:top w:val="single" w:sz="4" w:space="0" w:color="FFFFFF"/>
              <w:left w:val="nil"/>
              <w:bottom w:val="single" w:sz="4" w:space="0" w:color="FFFFFF"/>
              <w:right w:val="nil"/>
            </w:tcBorders>
            <w:shd w:val="clear" w:color="000000" w:fill="BFBFBF"/>
            <w:textDirection w:val="btLr"/>
            <w:vAlign w:val="center"/>
            <w:hideMark/>
          </w:tcPr>
          <w:p w14:paraId="7262E26E" w14:textId="77777777" w:rsidR="00426A02" w:rsidRPr="00426A02" w:rsidRDefault="00426A02" w:rsidP="00B85127">
            <w:pPr>
              <w:pStyle w:val="Tabletext"/>
              <w:spacing w:line="180" w:lineRule="exact"/>
              <w:jc w:val="center"/>
              <w:rPr>
                <w:b/>
              </w:rPr>
            </w:pPr>
            <w:r w:rsidRPr="00426A02">
              <w:rPr>
                <w:b/>
              </w:rPr>
              <w:t>Account principle</w:t>
            </w:r>
          </w:p>
        </w:tc>
        <w:tc>
          <w:tcPr>
            <w:tcW w:w="515" w:type="dxa"/>
            <w:tcBorders>
              <w:top w:val="single" w:sz="4" w:space="0" w:color="FFFFFF"/>
              <w:left w:val="nil"/>
              <w:bottom w:val="single" w:sz="4" w:space="0" w:color="FFFFFF"/>
              <w:right w:val="nil"/>
            </w:tcBorders>
            <w:shd w:val="clear" w:color="000000" w:fill="BFBFBF"/>
            <w:textDirection w:val="btLr"/>
            <w:vAlign w:val="center"/>
            <w:hideMark/>
          </w:tcPr>
          <w:p w14:paraId="56957831" w14:textId="77777777" w:rsidR="00426A02" w:rsidRPr="00426A02" w:rsidRDefault="00426A02" w:rsidP="00B85127">
            <w:pPr>
              <w:pStyle w:val="Tabletext"/>
              <w:spacing w:line="180" w:lineRule="exact"/>
              <w:jc w:val="center"/>
              <w:rPr>
                <w:b/>
              </w:rPr>
            </w:pPr>
            <w:r w:rsidRPr="00426A02">
              <w:rPr>
                <w:b/>
              </w:rPr>
              <w:t>Already adopted</w:t>
            </w:r>
          </w:p>
        </w:tc>
        <w:tc>
          <w:tcPr>
            <w:tcW w:w="795" w:type="dxa"/>
            <w:tcBorders>
              <w:top w:val="single" w:sz="4" w:space="0" w:color="FFFFFF"/>
              <w:left w:val="nil"/>
              <w:bottom w:val="single" w:sz="4" w:space="0" w:color="FFFFFF"/>
              <w:right w:val="nil"/>
            </w:tcBorders>
            <w:shd w:val="clear" w:color="000000" w:fill="BFBFBF"/>
            <w:textDirection w:val="btLr"/>
            <w:vAlign w:val="center"/>
            <w:hideMark/>
          </w:tcPr>
          <w:p w14:paraId="3F30CEBC" w14:textId="77777777" w:rsidR="00426A02" w:rsidRPr="00426A02" w:rsidRDefault="00426A02" w:rsidP="00B85127">
            <w:pPr>
              <w:pStyle w:val="Tabletext"/>
              <w:spacing w:line="180" w:lineRule="exact"/>
              <w:jc w:val="center"/>
              <w:rPr>
                <w:b/>
              </w:rPr>
            </w:pPr>
            <w:r w:rsidRPr="00426A02">
              <w:rPr>
                <w:b/>
              </w:rPr>
              <w:t>2024</w:t>
            </w:r>
          </w:p>
        </w:tc>
        <w:tc>
          <w:tcPr>
            <w:tcW w:w="736" w:type="dxa"/>
            <w:tcBorders>
              <w:top w:val="single" w:sz="4" w:space="0" w:color="FFFFFF"/>
              <w:left w:val="nil"/>
              <w:bottom w:val="single" w:sz="4" w:space="0" w:color="FFFFFF"/>
              <w:right w:val="nil"/>
            </w:tcBorders>
            <w:shd w:val="clear" w:color="000000" w:fill="BFBFBF"/>
            <w:textDirection w:val="btLr"/>
            <w:vAlign w:val="center"/>
            <w:hideMark/>
          </w:tcPr>
          <w:p w14:paraId="4E77E175" w14:textId="77777777" w:rsidR="00426A02" w:rsidRPr="00426A02" w:rsidRDefault="00426A02" w:rsidP="00B85127">
            <w:pPr>
              <w:pStyle w:val="Tabletext"/>
              <w:spacing w:line="180" w:lineRule="exact"/>
              <w:jc w:val="center"/>
              <w:rPr>
                <w:b/>
              </w:rPr>
            </w:pPr>
            <w:r w:rsidRPr="00426A02">
              <w:rPr>
                <w:b/>
              </w:rPr>
              <w:t>2025</w:t>
            </w:r>
          </w:p>
        </w:tc>
        <w:tc>
          <w:tcPr>
            <w:tcW w:w="716" w:type="dxa"/>
            <w:tcBorders>
              <w:top w:val="single" w:sz="4" w:space="0" w:color="FFFFFF"/>
              <w:left w:val="nil"/>
              <w:bottom w:val="single" w:sz="4" w:space="0" w:color="FFFFFF"/>
              <w:right w:val="nil"/>
            </w:tcBorders>
            <w:shd w:val="clear" w:color="000000" w:fill="BFBFBF"/>
            <w:textDirection w:val="btLr"/>
            <w:vAlign w:val="center"/>
            <w:hideMark/>
          </w:tcPr>
          <w:p w14:paraId="68111334" w14:textId="77777777" w:rsidR="00426A02" w:rsidRPr="00426A02" w:rsidRDefault="00426A02" w:rsidP="00B85127">
            <w:pPr>
              <w:pStyle w:val="Tabletext"/>
              <w:spacing w:line="180" w:lineRule="exact"/>
              <w:jc w:val="center"/>
              <w:rPr>
                <w:b/>
              </w:rPr>
            </w:pPr>
            <w:r w:rsidRPr="00426A02">
              <w:rPr>
                <w:b/>
              </w:rPr>
              <w:t>2026</w:t>
            </w:r>
          </w:p>
        </w:tc>
      </w:tr>
      <w:tr w:rsidR="007B41D6" w:rsidRPr="00426A02" w14:paraId="261743FE" w14:textId="77777777" w:rsidTr="00B85127">
        <w:trPr>
          <w:trHeight w:val="227"/>
          <w:jc w:val="center"/>
        </w:trPr>
        <w:tc>
          <w:tcPr>
            <w:tcW w:w="2268" w:type="dxa"/>
            <w:tcBorders>
              <w:top w:val="nil"/>
              <w:left w:val="nil"/>
              <w:bottom w:val="single" w:sz="4" w:space="0" w:color="FFFFFF"/>
              <w:right w:val="nil"/>
            </w:tcBorders>
            <w:shd w:val="clear" w:color="000000" w:fill="F2F2F2"/>
            <w:vAlign w:val="center"/>
          </w:tcPr>
          <w:p w14:paraId="75E26AB5" w14:textId="4F9156E5" w:rsidR="007B41D6" w:rsidRPr="00426A02" w:rsidRDefault="007B41D6" w:rsidP="00B85127">
            <w:pPr>
              <w:pStyle w:val="Tabletext"/>
            </w:pPr>
            <w:r w:rsidRPr="00426A02">
              <w:t xml:space="preserve">Interconnect POS &amp; </w:t>
            </w:r>
            <w:proofErr w:type="spellStart"/>
            <w:r w:rsidRPr="00426A02">
              <w:t>MyDATA</w:t>
            </w:r>
            <w:proofErr w:type="spellEnd"/>
            <w:r w:rsidRPr="00426A02">
              <w:t xml:space="preserve"> </w:t>
            </w:r>
            <w:r w:rsidR="00230AC1">
              <w:br/>
            </w:r>
            <w:r w:rsidRPr="00426A02">
              <w:t>(effect on VAT)</w:t>
            </w:r>
          </w:p>
        </w:tc>
        <w:tc>
          <w:tcPr>
            <w:tcW w:w="703" w:type="dxa"/>
            <w:tcBorders>
              <w:top w:val="nil"/>
              <w:left w:val="nil"/>
              <w:bottom w:val="single" w:sz="4" w:space="0" w:color="FFFFFF"/>
              <w:right w:val="nil"/>
            </w:tcBorders>
            <w:shd w:val="clear" w:color="000000" w:fill="F2F2F2"/>
            <w:vAlign w:val="center"/>
          </w:tcPr>
          <w:p w14:paraId="0A2492E6" w14:textId="64CE11A7" w:rsidR="007B41D6" w:rsidRPr="00426A02" w:rsidRDefault="007B41D6" w:rsidP="00B85127">
            <w:pPr>
              <w:pStyle w:val="Tabletext"/>
              <w:jc w:val="center"/>
            </w:pPr>
            <w:r w:rsidRPr="00426A02">
              <w:t>2024</w:t>
            </w:r>
          </w:p>
        </w:tc>
        <w:tc>
          <w:tcPr>
            <w:tcW w:w="888" w:type="dxa"/>
            <w:tcBorders>
              <w:top w:val="nil"/>
              <w:left w:val="nil"/>
              <w:bottom w:val="single" w:sz="4" w:space="0" w:color="FFFFFF"/>
              <w:right w:val="nil"/>
            </w:tcBorders>
            <w:shd w:val="clear" w:color="000000" w:fill="F2F2F2"/>
            <w:vAlign w:val="center"/>
          </w:tcPr>
          <w:p w14:paraId="38243FD2" w14:textId="77777777" w:rsidR="007B41D6" w:rsidRPr="00426A02" w:rsidRDefault="007B41D6" w:rsidP="00B85127">
            <w:pPr>
              <w:pStyle w:val="Tabletext"/>
              <w:jc w:val="center"/>
            </w:pPr>
          </w:p>
        </w:tc>
        <w:tc>
          <w:tcPr>
            <w:tcW w:w="1403" w:type="dxa"/>
            <w:tcBorders>
              <w:top w:val="nil"/>
              <w:left w:val="nil"/>
              <w:bottom w:val="single" w:sz="4" w:space="0" w:color="FFFFFF"/>
              <w:right w:val="nil"/>
            </w:tcBorders>
            <w:shd w:val="clear" w:color="000000" w:fill="F2F2F2"/>
            <w:vAlign w:val="center"/>
          </w:tcPr>
          <w:p w14:paraId="61B132F4" w14:textId="50882BED" w:rsidR="007B41D6" w:rsidRPr="00426A02" w:rsidRDefault="007B41D6" w:rsidP="00B85127">
            <w:pPr>
              <w:pStyle w:val="Tabletext"/>
              <w:jc w:val="center"/>
            </w:pPr>
            <w:r w:rsidRPr="00426A02">
              <w:t>D.2</w:t>
            </w:r>
          </w:p>
        </w:tc>
        <w:tc>
          <w:tcPr>
            <w:tcW w:w="862" w:type="dxa"/>
            <w:tcBorders>
              <w:top w:val="nil"/>
              <w:left w:val="nil"/>
              <w:bottom w:val="single" w:sz="4" w:space="0" w:color="FFFFFF"/>
              <w:right w:val="nil"/>
            </w:tcBorders>
            <w:shd w:val="clear" w:color="000000" w:fill="F2F2F2"/>
            <w:vAlign w:val="center"/>
          </w:tcPr>
          <w:p w14:paraId="65FCA869" w14:textId="130A1165" w:rsidR="007B41D6" w:rsidRPr="00426A02" w:rsidRDefault="007B41D6" w:rsidP="00B85127">
            <w:pPr>
              <w:pStyle w:val="Tabletext"/>
              <w:jc w:val="center"/>
            </w:pPr>
            <w:r w:rsidRPr="00426A02">
              <w:t>Cash</w:t>
            </w:r>
          </w:p>
        </w:tc>
        <w:tc>
          <w:tcPr>
            <w:tcW w:w="515" w:type="dxa"/>
            <w:tcBorders>
              <w:top w:val="nil"/>
              <w:left w:val="nil"/>
              <w:bottom w:val="single" w:sz="4" w:space="0" w:color="FFFFFF"/>
              <w:right w:val="nil"/>
            </w:tcBorders>
            <w:shd w:val="clear" w:color="000000" w:fill="F2F2F2"/>
            <w:vAlign w:val="center"/>
          </w:tcPr>
          <w:p w14:paraId="28D5A1F5" w14:textId="044A118F" w:rsidR="007B41D6" w:rsidRPr="00426A02" w:rsidRDefault="007B41D6" w:rsidP="00B85127">
            <w:pPr>
              <w:pStyle w:val="Tabletext"/>
              <w:jc w:val="center"/>
            </w:pPr>
            <w:r w:rsidRPr="00426A02">
              <w:t>Yes</w:t>
            </w:r>
          </w:p>
        </w:tc>
        <w:tc>
          <w:tcPr>
            <w:tcW w:w="795" w:type="dxa"/>
            <w:tcBorders>
              <w:top w:val="nil"/>
              <w:left w:val="nil"/>
              <w:bottom w:val="single" w:sz="4" w:space="0" w:color="FFFFFF"/>
              <w:right w:val="nil"/>
            </w:tcBorders>
            <w:shd w:val="clear" w:color="000000" w:fill="F2F2F2"/>
            <w:vAlign w:val="center"/>
          </w:tcPr>
          <w:p w14:paraId="26B2F75E" w14:textId="28904177" w:rsidR="007B41D6" w:rsidRPr="00426A02" w:rsidRDefault="007B41D6" w:rsidP="00B85127">
            <w:pPr>
              <w:pStyle w:val="Tabletext"/>
              <w:jc w:val="center"/>
            </w:pPr>
            <w:r w:rsidRPr="00426A02">
              <w:t>0.24</w:t>
            </w:r>
          </w:p>
        </w:tc>
        <w:tc>
          <w:tcPr>
            <w:tcW w:w="736" w:type="dxa"/>
            <w:tcBorders>
              <w:top w:val="nil"/>
              <w:left w:val="nil"/>
              <w:bottom w:val="single" w:sz="4" w:space="0" w:color="FFFFFF"/>
              <w:right w:val="nil"/>
            </w:tcBorders>
            <w:shd w:val="clear" w:color="000000" w:fill="F2F2F2"/>
            <w:vAlign w:val="center"/>
          </w:tcPr>
          <w:p w14:paraId="3AC88FF0" w14:textId="412C33A5" w:rsidR="007B41D6" w:rsidRPr="00426A02" w:rsidRDefault="007B41D6" w:rsidP="00B85127">
            <w:pPr>
              <w:pStyle w:val="Tabletext"/>
              <w:jc w:val="center"/>
            </w:pPr>
            <w:r w:rsidRPr="00426A02">
              <w:t>0.05</w:t>
            </w:r>
          </w:p>
        </w:tc>
        <w:tc>
          <w:tcPr>
            <w:tcW w:w="716" w:type="dxa"/>
            <w:tcBorders>
              <w:top w:val="nil"/>
              <w:left w:val="nil"/>
              <w:bottom w:val="single" w:sz="4" w:space="0" w:color="FFFFFF"/>
              <w:right w:val="nil"/>
            </w:tcBorders>
            <w:shd w:val="clear" w:color="000000" w:fill="F2F2F2"/>
            <w:vAlign w:val="center"/>
          </w:tcPr>
          <w:p w14:paraId="3B46CC45" w14:textId="57C60A5F" w:rsidR="007B41D6" w:rsidRPr="00426A02" w:rsidRDefault="007B41D6" w:rsidP="00B85127">
            <w:pPr>
              <w:pStyle w:val="Tabletext"/>
              <w:jc w:val="center"/>
            </w:pPr>
            <w:r w:rsidRPr="00426A02">
              <w:t>0.00</w:t>
            </w:r>
          </w:p>
        </w:tc>
      </w:tr>
      <w:tr w:rsidR="007B41D6" w:rsidRPr="00426A02" w14:paraId="515A1827" w14:textId="77777777" w:rsidTr="00B85127">
        <w:trPr>
          <w:trHeight w:val="227"/>
          <w:jc w:val="center"/>
        </w:trPr>
        <w:tc>
          <w:tcPr>
            <w:tcW w:w="2268" w:type="dxa"/>
            <w:tcBorders>
              <w:top w:val="nil"/>
              <w:left w:val="nil"/>
              <w:bottom w:val="single" w:sz="4" w:space="0" w:color="FFFFFF"/>
              <w:right w:val="nil"/>
            </w:tcBorders>
            <w:shd w:val="clear" w:color="auto" w:fill="D9D9D9" w:themeFill="background1" w:themeFillShade="D9"/>
            <w:vAlign w:val="center"/>
          </w:tcPr>
          <w:p w14:paraId="65982157" w14:textId="6388B8A6" w:rsidR="007B41D6" w:rsidRPr="00426A02" w:rsidRDefault="007B41D6" w:rsidP="00B85127">
            <w:pPr>
              <w:pStyle w:val="Tabletext"/>
            </w:pPr>
            <w:r w:rsidRPr="00426A02">
              <w:t xml:space="preserve">Interconnect POS &amp; </w:t>
            </w:r>
            <w:proofErr w:type="spellStart"/>
            <w:r w:rsidRPr="00426A02">
              <w:t>MyDATA</w:t>
            </w:r>
            <w:proofErr w:type="spellEnd"/>
            <w:r w:rsidRPr="00426A02">
              <w:t xml:space="preserve"> (effect on CIT)</w:t>
            </w:r>
          </w:p>
        </w:tc>
        <w:tc>
          <w:tcPr>
            <w:tcW w:w="703" w:type="dxa"/>
            <w:tcBorders>
              <w:top w:val="nil"/>
              <w:left w:val="nil"/>
              <w:bottom w:val="single" w:sz="4" w:space="0" w:color="FFFFFF"/>
              <w:right w:val="nil"/>
            </w:tcBorders>
            <w:shd w:val="clear" w:color="auto" w:fill="D9D9D9" w:themeFill="background1" w:themeFillShade="D9"/>
            <w:vAlign w:val="center"/>
          </w:tcPr>
          <w:p w14:paraId="1843FE0B" w14:textId="0F20A5DA" w:rsidR="007B41D6" w:rsidRPr="00426A02" w:rsidRDefault="007B41D6" w:rsidP="00B85127">
            <w:pPr>
              <w:pStyle w:val="Tabletext"/>
              <w:jc w:val="center"/>
            </w:pPr>
            <w:r w:rsidRPr="00426A02">
              <w:t>2025</w:t>
            </w:r>
          </w:p>
        </w:tc>
        <w:tc>
          <w:tcPr>
            <w:tcW w:w="888" w:type="dxa"/>
            <w:tcBorders>
              <w:top w:val="nil"/>
              <w:left w:val="nil"/>
              <w:bottom w:val="single" w:sz="4" w:space="0" w:color="FFFFFF"/>
              <w:right w:val="nil"/>
            </w:tcBorders>
            <w:shd w:val="clear" w:color="auto" w:fill="D9D9D9" w:themeFill="background1" w:themeFillShade="D9"/>
            <w:vAlign w:val="center"/>
          </w:tcPr>
          <w:p w14:paraId="0375B402" w14:textId="77777777" w:rsidR="007B41D6" w:rsidRPr="00426A02" w:rsidRDefault="007B41D6" w:rsidP="00B85127">
            <w:pPr>
              <w:pStyle w:val="Tabletext"/>
              <w:jc w:val="center"/>
            </w:pPr>
          </w:p>
        </w:tc>
        <w:tc>
          <w:tcPr>
            <w:tcW w:w="1403" w:type="dxa"/>
            <w:tcBorders>
              <w:top w:val="nil"/>
              <w:left w:val="nil"/>
              <w:bottom w:val="single" w:sz="4" w:space="0" w:color="FFFFFF"/>
              <w:right w:val="nil"/>
            </w:tcBorders>
            <w:shd w:val="clear" w:color="auto" w:fill="D9D9D9" w:themeFill="background1" w:themeFillShade="D9"/>
            <w:vAlign w:val="center"/>
          </w:tcPr>
          <w:p w14:paraId="55875331" w14:textId="72876519" w:rsidR="007B41D6" w:rsidRPr="00426A02" w:rsidRDefault="007B41D6" w:rsidP="00B85127">
            <w:pPr>
              <w:pStyle w:val="Tabletext"/>
              <w:jc w:val="center"/>
            </w:pPr>
            <w:r w:rsidRPr="00426A02">
              <w:t>D.5</w:t>
            </w:r>
          </w:p>
        </w:tc>
        <w:tc>
          <w:tcPr>
            <w:tcW w:w="862" w:type="dxa"/>
            <w:tcBorders>
              <w:top w:val="nil"/>
              <w:left w:val="nil"/>
              <w:bottom w:val="single" w:sz="4" w:space="0" w:color="FFFFFF"/>
              <w:right w:val="nil"/>
            </w:tcBorders>
            <w:shd w:val="clear" w:color="auto" w:fill="D9D9D9" w:themeFill="background1" w:themeFillShade="D9"/>
            <w:vAlign w:val="center"/>
          </w:tcPr>
          <w:p w14:paraId="438F6DEB" w14:textId="4F3E662B" w:rsidR="007B41D6" w:rsidRPr="00426A02" w:rsidRDefault="007B41D6" w:rsidP="00B85127">
            <w:pPr>
              <w:pStyle w:val="Tabletext"/>
              <w:jc w:val="center"/>
            </w:pPr>
            <w:r w:rsidRPr="00426A02">
              <w:t>Cash</w:t>
            </w:r>
          </w:p>
        </w:tc>
        <w:tc>
          <w:tcPr>
            <w:tcW w:w="515" w:type="dxa"/>
            <w:tcBorders>
              <w:top w:val="nil"/>
              <w:left w:val="nil"/>
              <w:bottom w:val="single" w:sz="4" w:space="0" w:color="FFFFFF"/>
              <w:right w:val="nil"/>
            </w:tcBorders>
            <w:shd w:val="clear" w:color="auto" w:fill="D9D9D9" w:themeFill="background1" w:themeFillShade="D9"/>
            <w:vAlign w:val="center"/>
          </w:tcPr>
          <w:p w14:paraId="7078B885" w14:textId="27E263A7" w:rsidR="007B41D6" w:rsidRPr="00426A02" w:rsidRDefault="007B41D6" w:rsidP="00B85127">
            <w:pPr>
              <w:pStyle w:val="Tabletext"/>
              <w:jc w:val="center"/>
            </w:pPr>
            <w:r w:rsidRPr="00426A02">
              <w:t>Yes</w:t>
            </w:r>
          </w:p>
        </w:tc>
        <w:tc>
          <w:tcPr>
            <w:tcW w:w="795" w:type="dxa"/>
            <w:tcBorders>
              <w:top w:val="nil"/>
              <w:left w:val="nil"/>
              <w:bottom w:val="single" w:sz="4" w:space="0" w:color="FFFFFF"/>
              <w:right w:val="nil"/>
            </w:tcBorders>
            <w:shd w:val="clear" w:color="auto" w:fill="D9D9D9" w:themeFill="background1" w:themeFillShade="D9"/>
            <w:vAlign w:val="center"/>
          </w:tcPr>
          <w:p w14:paraId="624BB296" w14:textId="3315C3F4" w:rsidR="007B41D6" w:rsidRPr="00426A02" w:rsidRDefault="007B41D6" w:rsidP="00B85127">
            <w:pPr>
              <w:pStyle w:val="Tabletext"/>
              <w:jc w:val="center"/>
            </w:pPr>
            <w:r w:rsidRPr="00426A02">
              <w:t>0.00</w:t>
            </w:r>
          </w:p>
        </w:tc>
        <w:tc>
          <w:tcPr>
            <w:tcW w:w="736" w:type="dxa"/>
            <w:tcBorders>
              <w:top w:val="nil"/>
              <w:left w:val="nil"/>
              <w:bottom w:val="single" w:sz="4" w:space="0" w:color="FFFFFF"/>
              <w:right w:val="nil"/>
            </w:tcBorders>
            <w:shd w:val="clear" w:color="auto" w:fill="D9D9D9" w:themeFill="background1" w:themeFillShade="D9"/>
            <w:vAlign w:val="center"/>
          </w:tcPr>
          <w:p w14:paraId="0D0F1078" w14:textId="650B29A7" w:rsidR="007B41D6" w:rsidRPr="00426A02" w:rsidRDefault="007B41D6" w:rsidP="00B85127">
            <w:pPr>
              <w:pStyle w:val="Tabletext"/>
              <w:jc w:val="center"/>
            </w:pPr>
            <w:r w:rsidRPr="00426A02">
              <w:t>0.11</w:t>
            </w:r>
          </w:p>
        </w:tc>
        <w:tc>
          <w:tcPr>
            <w:tcW w:w="716" w:type="dxa"/>
            <w:tcBorders>
              <w:top w:val="nil"/>
              <w:left w:val="nil"/>
              <w:bottom w:val="single" w:sz="4" w:space="0" w:color="FFFFFF"/>
              <w:right w:val="nil"/>
            </w:tcBorders>
            <w:shd w:val="clear" w:color="auto" w:fill="D9D9D9" w:themeFill="background1" w:themeFillShade="D9"/>
            <w:vAlign w:val="center"/>
          </w:tcPr>
          <w:p w14:paraId="15F77542" w14:textId="7849C67A" w:rsidR="007B41D6" w:rsidRPr="00426A02" w:rsidRDefault="007B41D6" w:rsidP="00B85127">
            <w:pPr>
              <w:pStyle w:val="Tabletext"/>
              <w:jc w:val="center"/>
            </w:pPr>
            <w:r w:rsidRPr="00426A02">
              <w:t>0.00</w:t>
            </w:r>
          </w:p>
        </w:tc>
      </w:tr>
      <w:tr w:rsidR="007B41D6" w:rsidRPr="00426A02" w14:paraId="668246AA" w14:textId="77777777" w:rsidTr="00B85127">
        <w:trPr>
          <w:trHeight w:val="227"/>
          <w:jc w:val="center"/>
        </w:trPr>
        <w:tc>
          <w:tcPr>
            <w:tcW w:w="2268" w:type="dxa"/>
            <w:tcBorders>
              <w:top w:val="nil"/>
              <w:left w:val="nil"/>
              <w:bottom w:val="single" w:sz="4" w:space="0" w:color="FFFFFF"/>
              <w:right w:val="nil"/>
            </w:tcBorders>
            <w:shd w:val="clear" w:color="000000" w:fill="F2F2F2"/>
            <w:vAlign w:val="center"/>
          </w:tcPr>
          <w:p w14:paraId="085D6C55" w14:textId="6F8BCCF1" w:rsidR="007B41D6" w:rsidRPr="00426A02" w:rsidRDefault="007B41D6" w:rsidP="00B85127">
            <w:pPr>
              <w:pStyle w:val="Tabletext"/>
            </w:pPr>
            <w:r w:rsidRPr="00426A02">
              <w:t>Working pensioners reform</w:t>
            </w:r>
          </w:p>
        </w:tc>
        <w:tc>
          <w:tcPr>
            <w:tcW w:w="703" w:type="dxa"/>
            <w:tcBorders>
              <w:top w:val="nil"/>
              <w:left w:val="nil"/>
              <w:bottom w:val="single" w:sz="4" w:space="0" w:color="FFFFFF"/>
              <w:right w:val="nil"/>
            </w:tcBorders>
            <w:shd w:val="clear" w:color="000000" w:fill="F2F2F2"/>
            <w:vAlign w:val="center"/>
          </w:tcPr>
          <w:p w14:paraId="0311BC65" w14:textId="61423482" w:rsidR="007B41D6" w:rsidRPr="00426A02" w:rsidRDefault="007B41D6" w:rsidP="00B85127">
            <w:pPr>
              <w:pStyle w:val="Tabletext"/>
              <w:jc w:val="center"/>
            </w:pPr>
            <w:r w:rsidRPr="00426A02">
              <w:t>2024</w:t>
            </w:r>
          </w:p>
        </w:tc>
        <w:tc>
          <w:tcPr>
            <w:tcW w:w="888" w:type="dxa"/>
            <w:tcBorders>
              <w:top w:val="nil"/>
              <w:left w:val="nil"/>
              <w:bottom w:val="single" w:sz="4" w:space="0" w:color="FFFFFF"/>
              <w:right w:val="nil"/>
            </w:tcBorders>
            <w:shd w:val="clear" w:color="000000" w:fill="F2F2F2"/>
            <w:vAlign w:val="center"/>
          </w:tcPr>
          <w:p w14:paraId="5A75150E" w14:textId="77777777" w:rsidR="007B41D6" w:rsidRPr="00426A02" w:rsidRDefault="007B41D6" w:rsidP="00B85127">
            <w:pPr>
              <w:pStyle w:val="Tabletext"/>
              <w:jc w:val="center"/>
            </w:pPr>
          </w:p>
        </w:tc>
        <w:tc>
          <w:tcPr>
            <w:tcW w:w="1403" w:type="dxa"/>
            <w:tcBorders>
              <w:top w:val="nil"/>
              <w:left w:val="nil"/>
              <w:bottom w:val="single" w:sz="4" w:space="0" w:color="FFFFFF"/>
              <w:right w:val="nil"/>
            </w:tcBorders>
            <w:shd w:val="clear" w:color="000000" w:fill="F2F2F2"/>
            <w:vAlign w:val="center"/>
          </w:tcPr>
          <w:p w14:paraId="58B593ED" w14:textId="43E53BEA" w:rsidR="007B41D6" w:rsidRPr="00426A02" w:rsidRDefault="007B41D6" w:rsidP="00B85127">
            <w:pPr>
              <w:pStyle w:val="Tabletext"/>
              <w:jc w:val="center"/>
            </w:pPr>
            <w:r w:rsidRPr="00426A02">
              <w:t>D.61</w:t>
            </w:r>
          </w:p>
        </w:tc>
        <w:tc>
          <w:tcPr>
            <w:tcW w:w="862" w:type="dxa"/>
            <w:tcBorders>
              <w:top w:val="nil"/>
              <w:left w:val="nil"/>
              <w:bottom w:val="single" w:sz="4" w:space="0" w:color="FFFFFF"/>
              <w:right w:val="nil"/>
            </w:tcBorders>
            <w:shd w:val="clear" w:color="000000" w:fill="F2F2F2"/>
            <w:vAlign w:val="center"/>
          </w:tcPr>
          <w:p w14:paraId="48F8D3C6" w14:textId="4C384DEF" w:rsidR="007B41D6" w:rsidRPr="00426A02" w:rsidRDefault="007B41D6" w:rsidP="00B85127">
            <w:pPr>
              <w:pStyle w:val="Tabletext"/>
              <w:jc w:val="center"/>
            </w:pPr>
            <w:r w:rsidRPr="00426A02">
              <w:t>Cash</w:t>
            </w:r>
          </w:p>
        </w:tc>
        <w:tc>
          <w:tcPr>
            <w:tcW w:w="515" w:type="dxa"/>
            <w:tcBorders>
              <w:top w:val="nil"/>
              <w:left w:val="nil"/>
              <w:bottom w:val="single" w:sz="4" w:space="0" w:color="FFFFFF"/>
              <w:right w:val="nil"/>
            </w:tcBorders>
            <w:shd w:val="clear" w:color="000000" w:fill="F2F2F2"/>
            <w:vAlign w:val="center"/>
          </w:tcPr>
          <w:p w14:paraId="0CE12342" w14:textId="2712A012" w:rsidR="007B41D6" w:rsidRPr="00426A02" w:rsidRDefault="007B41D6" w:rsidP="00B85127">
            <w:pPr>
              <w:pStyle w:val="Tabletext"/>
              <w:jc w:val="center"/>
            </w:pPr>
            <w:r w:rsidRPr="00426A02">
              <w:t>Yes</w:t>
            </w:r>
          </w:p>
        </w:tc>
        <w:tc>
          <w:tcPr>
            <w:tcW w:w="795" w:type="dxa"/>
            <w:tcBorders>
              <w:top w:val="nil"/>
              <w:left w:val="nil"/>
              <w:bottom w:val="single" w:sz="4" w:space="0" w:color="FFFFFF"/>
              <w:right w:val="nil"/>
            </w:tcBorders>
            <w:shd w:val="clear" w:color="000000" w:fill="F2F2F2"/>
            <w:vAlign w:val="center"/>
          </w:tcPr>
          <w:p w14:paraId="341243AA" w14:textId="109388A4" w:rsidR="007B41D6" w:rsidRPr="00426A02" w:rsidRDefault="007B41D6" w:rsidP="00B85127">
            <w:pPr>
              <w:pStyle w:val="Tabletext"/>
              <w:jc w:val="center"/>
            </w:pPr>
            <w:r w:rsidRPr="00426A02">
              <w:t>0.13</w:t>
            </w:r>
          </w:p>
        </w:tc>
        <w:tc>
          <w:tcPr>
            <w:tcW w:w="736" w:type="dxa"/>
            <w:tcBorders>
              <w:top w:val="nil"/>
              <w:left w:val="nil"/>
              <w:bottom w:val="single" w:sz="4" w:space="0" w:color="FFFFFF"/>
              <w:right w:val="nil"/>
            </w:tcBorders>
            <w:shd w:val="clear" w:color="000000" w:fill="F2F2F2"/>
            <w:vAlign w:val="center"/>
          </w:tcPr>
          <w:p w14:paraId="3BBA9C70" w14:textId="06EDB49A" w:rsidR="007B41D6" w:rsidRPr="00426A02" w:rsidRDefault="007B41D6" w:rsidP="00B85127">
            <w:pPr>
              <w:pStyle w:val="Tabletext"/>
              <w:jc w:val="center"/>
            </w:pPr>
            <w:r w:rsidRPr="00426A02">
              <w:t>0.00</w:t>
            </w:r>
          </w:p>
        </w:tc>
        <w:tc>
          <w:tcPr>
            <w:tcW w:w="716" w:type="dxa"/>
            <w:tcBorders>
              <w:top w:val="nil"/>
              <w:left w:val="nil"/>
              <w:bottom w:val="single" w:sz="4" w:space="0" w:color="FFFFFF"/>
              <w:right w:val="nil"/>
            </w:tcBorders>
            <w:shd w:val="clear" w:color="000000" w:fill="F2F2F2"/>
            <w:vAlign w:val="center"/>
          </w:tcPr>
          <w:p w14:paraId="011039B3" w14:textId="6836342F" w:rsidR="007B41D6" w:rsidRPr="00426A02" w:rsidRDefault="007B41D6" w:rsidP="00B85127">
            <w:pPr>
              <w:pStyle w:val="Tabletext"/>
              <w:jc w:val="center"/>
            </w:pPr>
            <w:r w:rsidRPr="00426A02">
              <w:t>0.00</w:t>
            </w:r>
          </w:p>
        </w:tc>
      </w:tr>
      <w:tr w:rsidR="007B41D6" w:rsidRPr="00426A02" w14:paraId="72894ABA" w14:textId="77777777" w:rsidTr="00B85127">
        <w:trPr>
          <w:trHeight w:val="227"/>
          <w:jc w:val="center"/>
        </w:trPr>
        <w:tc>
          <w:tcPr>
            <w:tcW w:w="2268" w:type="dxa"/>
            <w:tcBorders>
              <w:top w:val="nil"/>
              <w:left w:val="nil"/>
              <w:bottom w:val="single" w:sz="4" w:space="0" w:color="FFFFFF"/>
              <w:right w:val="nil"/>
            </w:tcBorders>
            <w:shd w:val="clear" w:color="auto" w:fill="D9D9D9" w:themeFill="background1" w:themeFillShade="D9"/>
            <w:vAlign w:val="center"/>
          </w:tcPr>
          <w:p w14:paraId="2EDDE245" w14:textId="01B0197E" w:rsidR="007B41D6" w:rsidRPr="00426A02" w:rsidRDefault="007B41D6" w:rsidP="00B85127">
            <w:pPr>
              <w:pStyle w:val="Tabletext"/>
            </w:pPr>
            <w:r w:rsidRPr="00426A02">
              <w:t>Reform of the taxation of self-employed</w:t>
            </w:r>
          </w:p>
        </w:tc>
        <w:tc>
          <w:tcPr>
            <w:tcW w:w="703" w:type="dxa"/>
            <w:tcBorders>
              <w:top w:val="nil"/>
              <w:left w:val="nil"/>
              <w:bottom w:val="single" w:sz="4" w:space="0" w:color="FFFFFF"/>
              <w:right w:val="nil"/>
            </w:tcBorders>
            <w:shd w:val="clear" w:color="auto" w:fill="D9D9D9" w:themeFill="background1" w:themeFillShade="D9"/>
            <w:vAlign w:val="center"/>
          </w:tcPr>
          <w:p w14:paraId="113E2F56" w14:textId="5BCEBB08" w:rsidR="007B41D6" w:rsidRPr="00426A02" w:rsidRDefault="007B41D6" w:rsidP="00B85127">
            <w:pPr>
              <w:pStyle w:val="Tabletext"/>
              <w:jc w:val="center"/>
            </w:pPr>
            <w:r w:rsidRPr="00426A02">
              <w:t>2024</w:t>
            </w:r>
          </w:p>
        </w:tc>
        <w:tc>
          <w:tcPr>
            <w:tcW w:w="888" w:type="dxa"/>
            <w:tcBorders>
              <w:top w:val="nil"/>
              <w:left w:val="nil"/>
              <w:bottom w:val="single" w:sz="4" w:space="0" w:color="FFFFFF"/>
              <w:right w:val="nil"/>
            </w:tcBorders>
            <w:shd w:val="clear" w:color="auto" w:fill="D9D9D9" w:themeFill="background1" w:themeFillShade="D9"/>
            <w:vAlign w:val="center"/>
          </w:tcPr>
          <w:p w14:paraId="19AAA78C" w14:textId="77777777" w:rsidR="007B41D6" w:rsidRPr="00426A02" w:rsidRDefault="007B41D6" w:rsidP="00B85127">
            <w:pPr>
              <w:pStyle w:val="Tabletext"/>
              <w:jc w:val="center"/>
            </w:pPr>
          </w:p>
        </w:tc>
        <w:tc>
          <w:tcPr>
            <w:tcW w:w="1403" w:type="dxa"/>
            <w:tcBorders>
              <w:top w:val="nil"/>
              <w:left w:val="nil"/>
              <w:bottom w:val="single" w:sz="4" w:space="0" w:color="FFFFFF"/>
              <w:right w:val="nil"/>
            </w:tcBorders>
            <w:shd w:val="clear" w:color="auto" w:fill="D9D9D9" w:themeFill="background1" w:themeFillShade="D9"/>
            <w:vAlign w:val="center"/>
          </w:tcPr>
          <w:p w14:paraId="42EA6D44" w14:textId="24EA0DF5" w:rsidR="007B41D6" w:rsidRPr="00426A02" w:rsidRDefault="007B41D6" w:rsidP="00B85127">
            <w:pPr>
              <w:pStyle w:val="Tabletext"/>
              <w:jc w:val="center"/>
            </w:pPr>
            <w:r w:rsidRPr="00426A02">
              <w:t>D.5</w:t>
            </w:r>
          </w:p>
        </w:tc>
        <w:tc>
          <w:tcPr>
            <w:tcW w:w="862" w:type="dxa"/>
            <w:tcBorders>
              <w:top w:val="nil"/>
              <w:left w:val="nil"/>
              <w:bottom w:val="single" w:sz="4" w:space="0" w:color="FFFFFF"/>
              <w:right w:val="nil"/>
            </w:tcBorders>
            <w:shd w:val="clear" w:color="auto" w:fill="D9D9D9" w:themeFill="background1" w:themeFillShade="D9"/>
            <w:vAlign w:val="center"/>
          </w:tcPr>
          <w:p w14:paraId="366EA784" w14:textId="422637A3" w:rsidR="007B41D6" w:rsidRPr="00426A02" w:rsidRDefault="007B41D6" w:rsidP="00B85127">
            <w:pPr>
              <w:pStyle w:val="Tabletext"/>
              <w:jc w:val="center"/>
            </w:pPr>
            <w:r w:rsidRPr="00426A02">
              <w:t>Cash</w:t>
            </w:r>
          </w:p>
        </w:tc>
        <w:tc>
          <w:tcPr>
            <w:tcW w:w="515" w:type="dxa"/>
            <w:tcBorders>
              <w:top w:val="nil"/>
              <w:left w:val="nil"/>
              <w:bottom w:val="single" w:sz="4" w:space="0" w:color="FFFFFF"/>
              <w:right w:val="nil"/>
            </w:tcBorders>
            <w:shd w:val="clear" w:color="auto" w:fill="D9D9D9" w:themeFill="background1" w:themeFillShade="D9"/>
            <w:vAlign w:val="center"/>
          </w:tcPr>
          <w:p w14:paraId="4E1D3650" w14:textId="4F313491" w:rsidR="007B41D6" w:rsidRPr="00426A02" w:rsidRDefault="007B41D6" w:rsidP="00B85127">
            <w:pPr>
              <w:pStyle w:val="Tabletext"/>
              <w:jc w:val="center"/>
            </w:pPr>
            <w:r w:rsidRPr="00426A02">
              <w:t>Yes</w:t>
            </w:r>
          </w:p>
        </w:tc>
        <w:tc>
          <w:tcPr>
            <w:tcW w:w="795" w:type="dxa"/>
            <w:tcBorders>
              <w:top w:val="nil"/>
              <w:left w:val="nil"/>
              <w:bottom w:val="single" w:sz="4" w:space="0" w:color="FFFFFF"/>
              <w:right w:val="nil"/>
            </w:tcBorders>
            <w:shd w:val="clear" w:color="auto" w:fill="D9D9D9" w:themeFill="background1" w:themeFillShade="D9"/>
            <w:vAlign w:val="center"/>
          </w:tcPr>
          <w:p w14:paraId="51B98037" w14:textId="2DBA7C0A" w:rsidR="007B41D6" w:rsidRPr="00426A02" w:rsidRDefault="007B41D6" w:rsidP="00B85127">
            <w:pPr>
              <w:pStyle w:val="Tabletext"/>
              <w:jc w:val="center"/>
            </w:pPr>
            <w:r w:rsidRPr="00426A02">
              <w:t>0.24</w:t>
            </w:r>
          </w:p>
        </w:tc>
        <w:tc>
          <w:tcPr>
            <w:tcW w:w="736" w:type="dxa"/>
            <w:tcBorders>
              <w:top w:val="nil"/>
              <w:left w:val="nil"/>
              <w:bottom w:val="single" w:sz="4" w:space="0" w:color="FFFFFF"/>
              <w:right w:val="nil"/>
            </w:tcBorders>
            <w:shd w:val="clear" w:color="auto" w:fill="D9D9D9" w:themeFill="background1" w:themeFillShade="D9"/>
            <w:vAlign w:val="center"/>
          </w:tcPr>
          <w:p w14:paraId="5478A010" w14:textId="66354B8B" w:rsidR="007B41D6" w:rsidRPr="00426A02" w:rsidRDefault="007B41D6" w:rsidP="00B85127">
            <w:pPr>
              <w:pStyle w:val="Tabletext"/>
              <w:jc w:val="center"/>
            </w:pPr>
            <w:r w:rsidRPr="00426A02">
              <w:t>0.00</w:t>
            </w:r>
          </w:p>
        </w:tc>
        <w:tc>
          <w:tcPr>
            <w:tcW w:w="716" w:type="dxa"/>
            <w:tcBorders>
              <w:top w:val="nil"/>
              <w:left w:val="nil"/>
              <w:bottom w:val="single" w:sz="4" w:space="0" w:color="FFFFFF"/>
              <w:right w:val="nil"/>
            </w:tcBorders>
            <w:shd w:val="clear" w:color="auto" w:fill="D9D9D9" w:themeFill="background1" w:themeFillShade="D9"/>
            <w:vAlign w:val="center"/>
          </w:tcPr>
          <w:p w14:paraId="32A156BC" w14:textId="25A01161" w:rsidR="007B41D6" w:rsidRPr="00426A02" w:rsidRDefault="007B41D6" w:rsidP="00B85127">
            <w:pPr>
              <w:pStyle w:val="Tabletext"/>
              <w:jc w:val="center"/>
            </w:pPr>
            <w:r w:rsidRPr="00426A02">
              <w:t>-0.03</w:t>
            </w:r>
          </w:p>
        </w:tc>
      </w:tr>
      <w:tr w:rsidR="007B41D6" w:rsidRPr="00426A02" w14:paraId="46C5DA54" w14:textId="77777777" w:rsidTr="00B85127">
        <w:trPr>
          <w:trHeight w:val="227"/>
          <w:jc w:val="center"/>
        </w:trPr>
        <w:tc>
          <w:tcPr>
            <w:tcW w:w="2268" w:type="dxa"/>
            <w:tcBorders>
              <w:top w:val="nil"/>
              <w:left w:val="nil"/>
              <w:bottom w:val="single" w:sz="4" w:space="0" w:color="FFFFFF"/>
              <w:right w:val="nil"/>
            </w:tcBorders>
            <w:shd w:val="clear" w:color="000000" w:fill="F2F2F2"/>
            <w:vAlign w:val="center"/>
          </w:tcPr>
          <w:p w14:paraId="1804B902" w14:textId="6C293CAA" w:rsidR="007B41D6" w:rsidRPr="00426A02" w:rsidRDefault="007B41D6" w:rsidP="00B85127">
            <w:pPr>
              <w:pStyle w:val="Tabletext"/>
            </w:pPr>
            <w:r w:rsidRPr="00426A02">
              <w:t>Reform of the Personal Income Tax</w:t>
            </w:r>
          </w:p>
        </w:tc>
        <w:tc>
          <w:tcPr>
            <w:tcW w:w="703" w:type="dxa"/>
            <w:tcBorders>
              <w:top w:val="nil"/>
              <w:left w:val="nil"/>
              <w:bottom w:val="single" w:sz="4" w:space="0" w:color="FFFFFF"/>
              <w:right w:val="nil"/>
            </w:tcBorders>
            <w:shd w:val="clear" w:color="000000" w:fill="F2F2F2"/>
            <w:vAlign w:val="center"/>
          </w:tcPr>
          <w:p w14:paraId="083A49E3" w14:textId="050938B4" w:rsidR="007B41D6" w:rsidRPr="00426A02" w:rsidRDefault="007B41D6" w:rsidP="00B85127">
            <w:pPr>
              <w:pStyle w:val="Tabletext"/>
              <w:jc w:val="center"/>
            </w:pPr>
            <w:r w:rsidRPr="00426A02">
              <w:t>2026</w:t>
            </w:r>
          </w:p>
        </w:tc>
        <w:tc>
          <w:tcPr>
            <w:tcW w:w="888" w:type="dxa"/>
            <w:tcBorders>
              <w:top w:val="nil"/>
              <w:left w:val="nil"/>
              <w:bottom w:val="single" w:sz="4" w:space="0" w:color="FFFFFF"/>
              <w:right w:val="nil"/>
            </w:tcBorders>
            <w:shd w:val="clear" w:color="000000" w:fill="F2F2F2"/>
            <w:vAlign w:val="center"/>
          </w:tcPr>
          <w:p w14:paraId="3F3139DE" w14:textId="77777777" w:rsidR="007B41D6" w:rsidRPr="00426A02" w:rsidRDefault="007B41D6" w:rsidP="00B85127">
            <w:pPr>
              <w:pStyle w:val="Tabletext"/>
              <w:jc w:val="center"/>
            </w:pPr>
          </w:p>
        </w:tc>
        <w:tc>
          <w:tcPr>
            <w:tcW w:w="1403" w:type="dxa"/>
            <w:tcBorders>
              <w:top w:val="nil"/>
              <w:left w:val="nil"/>
              <w:bottom w:val="single" w:sz="4" w:space="0" w:color="FFFFFF"/>
              <w:right w:val="nil"/>
            </w:tcBorders>
            <w:shd w:val="clear" w:color="000000" w:fill="F2F2F2"/>
            <w:vAlign w:val="center"/>
          </w:tcPr>
          <w:p w14:paraId="5E85E086" w14:textId="4DD0F714" w:rsidR="007B41D6" w:rsidRPr="00426A02" w:rsidRDefault="007B41D6" w:rsidP="00B85127">
            <w:pPr>
              <w:pStyle w:val="Tabletext"/>
              <w:jc w:val="center"/>
            </w:pPr>
            <w:r w:rsidRPr="00426A02">
              <w:t>D.5</w:t>
            </w:r>
          </w:p>
        </w:tc>
        <w:tc>
          <w:tcPr>
            <w:tcW w:w="862" w:type="dxa"/>
            <w:tcBorders>
              <w:top w:val="nil"/>
              <w:left w:val="nil"/>
              <w:bottom w:val="single" w:sz="4" w:space="0" w:color="FFFFFF"/>
              <w:right w:val="nil"/>
            </w:tcBorders>
            <w:shd w:val="clear" w:color="000000" w:fill="F2F2F2"/>
            <w:vAlign w:val="center"/>
          </w:tcPr>
          <w:p w14:paraId="51035D94" w14:textId="64A3A21D" w:rsidR="007B41D6" w:rsidRPr="00426A02" w:rsidRDefault="007B41D6" w:rsidP="00B85127">
            <w:pPr>
              <w:pStyle w:val="Tabletext"/>
              <w:jc w:val="center"/>
            </w:pPr>
            <w:r w:rsidRPr="00426A02">
              <w:t>Cash</w:t>
            </w:r>
          </w:p>
        </w:tc>
        <w:tc>
          <w:tcPr>
            <w:tcW w:w="515" w:type="dxa"/>
            <w:tcBorders>
              <w:top w:val="nil"/>
              <w:left w:val="nil"/>
              <w:bottom w:val="single" w:sz="4" w:space="0" w:color="FFFFFF"/>
              <w:right w:val="nil"/>
            </w:tcBorders>
            <w:shd w:val="clear" w:color="000000" w:fill="F2F2F2"/>
            <w:vAlign w:val="center"/>
          </w:tcPr>
          <w:p w14:paraId="0929DBFF" w14:textId="748F294B" w:rsidR="007B41D6" w:rsidRPr="00426A02" w:rsidRDefault="007B41D6" w:rsidP="00B85127">
            <w:pPr>
              <w:pStyle w:val="Tabletext"/>
              <w:jc w:val="center"/>
            </w:pPr>
            <w:r w:rsidRPr="00426A02">
              <w:t>Yes</w:t>
            </w:r>
          </w:p>
        </w:tc>
        <w:tc>
          <w:tcPr>
            <w:tcW w:w="795" w:type="dxa"/>
            <w:tcBorders>
              <w:top w:val="nil"/>
              <w:left w:val="nil"/>
              <w:bottom w:val="single" w:sz="4" w:space="0" w:color="FFFFFF"/>
              <w:right w:val="nil"/>
            </w:tcBorders>
            <w:shd w:val="clear" w:color="000000" w:fill="F2F2F2"/>
            <w:vAlign w:val="center"/>
          </w:tcPr>
          <w:p w14:paraId="25E98853" w14:textId="33301EA1" w:rsidR="007B41D6" w:rsidRPr="00426A02" w:rsidRDefault="007B41D6" w:rsidP="00B85127">
            <w:pPr>
              <w:pStyle w:val="Tabletext"/>
              <w:jc w:val="center"/>
            </w:pPr>
            <w:r w:rsidRPr="00426A02">
              <w:t>0.00</w:t>
            </w:r>
          </w:p>
        </w:tc>
        <w:tc>
          <w:tcPr>
            <w:tcW w:w="736" w:type="dxa"/>
            <w:tcBorders>
              <w:top w:val="nil"/>
              <w:left w:val="nil"/>
              <w:bottom w:val="single" w:sz="4" w:space="0" w:color="FFFFFF"/>
              <w:right w:val="nil"/>
            </w:tcBorders>
            <w:shd w:val="clear" w:color="000000" w:fill="F2F2F2"/>
            <w:vAlign w:val="center"/>
          </w:tcPr>
          <w:p w14:paraId="0B1FA4F5" w14:textId="5813CE0B" w:rsidR="007B41D6" w:rsidRPr="00426A02" w:rsidRDefault="007B41D6" w:rsidP="00B85127">
            <w:pPr>
              <w:pStyle w:val="Tabletext"/>
              <w:jc w:val="center"/>
            </w:pPr>
            <w:r w:rsidRPr="00426A02">
              <w:t>0.00</w:t>
            </w:r>
          </w:p>
        </w:tc>
        <w:tc>
          <w:tcPr>
            <w:tcW w:w="716" w:type="dxa"/>
            <w:tcBorders>
              <w:top w:val="nil"/>
              <w:left w:val="nil"/>
              <w:bottom w:val="single" w:sz="4" w:space="0" w:color="FFFFFF"/>
              <w:right w:val="nil"/>
            </w:tcBorders>
            <w:shd w:val="clear" w:color="000000" w:fill="F2F2F2"/>
            <w:vAlign w:val="center"/>
          </w:tcPr>
          <w:p w14:paraId="58080572" w14:textId="0AD467BF" w:rsidR="007B41D6" w:rsidRPr="00426A02" w:rsidRDefault="007B41D6" w:rsidP="00B85127">
            <w:pPr>
              <w:pStyle w:val="Tabletext"/>
              <w:jc w:val="center"/>
            </w:pPr>
            <w:r w:rsidRPr="00426A02">
              <w:t>-0.47</w:t>
            </w:r>
          </w:p>
        </w:tc>
      </w:tr>
      <w:tr w:rsidR="007B41D6" w:rsidRPr="00426A02" w14:paraId="5349D2A7" w14:textId="77777777" w:rsidTr="00B85127">
        <w:trPr>
          <w:trHeight w:val="227"/>
          <w:jc w:val="center"/>
        </w:trPr>
        <w:tc>
          <w:tcPr>
            <w:tcW w:w="2268" w:type="dxa"/>
            <w:tcBorders>
              <w:top w:val="nil"/>
              <w:left w:val="nil"/>
              <w:bottom w:val="single" w:sz="4" w:space="0" w:color="FFFFFF"/>
              <w:right w:val="nil"/>
            </w:tcBorders>
            <w:shd w:val="clear" w:color="auto" w:fill="D9D9D9" w:themeFill="background1" w:themeFillShade="D9"/>
            <w:vAlign w:val="center"/>
          </w:tcPr>
          <w:p w14:paraId="2F55A248" w14:textId="119CC582" w:rsidR="007B41D6" w:rsidRPr="00426A02" w:rsidRDefault="007B41D6" w:rsidP="00B85127">
            <w:pPr>
              <w:pStyle w:val="Tabletext"/>
            </w:pPr>
            <w:r w:rsidRPr="00426A02">
              <w:t>Decrease of social security contributions by 1</w:t>
            </w:r>
            <w:r>
              <w:t xml:space="preserve"> </w:t>
            </w:r>
            <w:r w:rsidRPr="00426A02">
              <w:t>pp in 2025</w:t>
            </w:r>
          </w:p>
        </w:tc>
        <w:tc>
          <w:tcPr>
            <w:tcW w:w="703" w:type="dxa"/>
            <w:tcBorders>
              <w:top w:val="nil"/>
              <w:left w:val="nil"/>
              <w:bottom w:val="single" w:sz="4" w:space="0" w:color="FFFFFF"/>
              <w:right w:val="nil"/>
            </w:tcBorders>
            <w:shd w:val="clear" w:color="auto" w:fill="D9D9D9" w:themeFill="background1" w:themeFillShade="D9"/>
            <w:vAlign w:val="center"/>
          </w:tcPr>
          <w:p w14:paraId="033F6EDD" w14:textId="4651CBC4" w:rsidR="007B41D6" w:rsidRPr="00426A02" w:rsidRDefault="007B41D6" w:rsidP="00B85127">
            <w:pPr>
              <w:pStyle w:val="Tabletext"/>
              <w:jc w:val="center"/>
            </w:pPr>
            <w:r w:rsidRPr="00426A02">
              <w:t>2025</w:t>
            </w:r>
          </w:p>
        </w:tc>
        <w:tc>
          <w:tcPr>
            <w:tcW w:w="888" w:type="dxa"/>
            <w:tcBorders>
              <w:top w:val="nil"/>
              <w:left w:val="nil"/>
              <w:bottom w:val="single" w:sz="4" w:space="0" w:color="FFFFFF"/>
              <w:right w:val="nil"/>
            </w:tcBorders>
            <w:shd w:val="clear" w:color="auto" w:fill="D9D9D9" w:themeFill="background1" w:themeFillShade="D9"/>
            <w:vAlign w:val="center"/>
          </w:tcPr>
          <w:p w14:paraId="338CCB6F" w14:textId="77777777" w:rsidR="007B41D6" w:rsidRPr="00426A02" w:rsidRDefault="007B41D6" w:rsidP="00B85127">
            <w:pPr>
              <w:pStyle w:val="Tabletext"/>
              <w:jc w:val="center"/>
            </w:pPr>
          </w:p>
        </w:tc>
        <w:tc>
          <w:tcPr>
            <w:tcW w:w="1403" w:type="dxa"/>
            <w:tcBorders>
              <w:top w:val="nil"/>
              <w:left w:val="nil"/>
              <w:bottom w:val="single" w:sz="4" w:space="0" w:color="FFFFFF"/>
              <w:right w:val="nil"/>
            </w:tcBorders>
            <w:shd w:val="clear" w:color="auto" w:fill="D9D9D9" w:themeFill="background1" w:themeFillShade="D9"/>
            <w:vAlign w:val="center"/>
          </w:tcPr>
          <w:p w14:paraId="3B652F2D" w14:textId="4B02F93E" w:rsidR="007B41D6" w:rsidRPr="00426A02" w:rsidRDefault="007B41D6" w:rsidP="00B85127">
            <w:pPr>
              <w:pStyle w:val="Tabletext"/>
              <w:jc w:val="center"/>
            </w:pPr>
            <w:r w:rsidRPr="00426A02">
              <w:t>D.61</w:t>
            </w:r>
          </w:p>
        </w:tc>
        <w:tc>
          <w:tcPr>
            <w:tcW w:w="862" w:type="dxa"/>
            <w:tcBorders>
              <w:top w:val="nil"/>
              <w:left w:val="nil"/>
              <w:bottom w:val="single" w:sz="4" w:space="0" w:color="FFFFFF"/>
              <w:right w:val="nil"/>
            </w:tcBorders>
            <w:shd w:val="clear" w:color="auto" w:fill="D9D9D9" w:themeFill="background1" w:themeFillShade="D9"/>
            <w:vAlign w:val="center"/>
          </w:tcPr>
          <w:p w14:paraId="33CFB7A0" w14:textId="4C208D99" w:rsidR="007B41D6" w:rsidRPr="00426A02" w:rsidRDefault="007B41D6" w:rsidP="00B85127">
            <w:pPr>
              <w:pStyle w:val="Tabletext"/>
              <w:jc w:val="center"/>
            </w:pPr>
            <w:r w:rsidRPr="00426A02">
              <w:t>Cash</w:t>
            </w:r>
          </w:p>
        </w:tc>
        <w:tc>
          <w:tcPr>
            <w:tcW w:w="515" w:type="dxa"/>
            <w:tcBorders>
              <w:top w:val="nil"/>
              <w:left w:val="nil"/>
              <w:bottom w:val="single" w:sz="4" w:space="0" w:color="FFFFFF"/>
              <w:right w:val="nil"/>
            </w:tcBorders>
            <w:shd w:val="clear" w:color="auto" w:fill="D9D9D9" w:themeFill="background1" w:themeFillShade="D9"/>
            <w:vAlign w:val="center"/>
          </w:tcPr>
          <w:p w14:paraId="42C44CA4" w14:textId="17E50AC4" w:rsidR="007B41D6" w:rsidRPr="00426A02" w:rsidRDefault="007B41D6" w:rsidP="00B85127">
            <w:pPr>
              <w:pStyle w:val="Tabletext"/>
              <w:jc w:val="center"/>
            </w:pPr>
            <w:r w:rsidRPr="00426A02">
              <w:t>Yes</w:t>
            </w:r>
          </w:p>
        </w:tc>
        <w:tc>
          <w:tcPr>
            <w:tcW w:w="795" w:type="dxa"/>
            <w:tcBorders>
              <w:top w:val="nil"/>
              <w:left w:val="nil"/>
              <w:bottom w:val="single" w:sz="4" w:space="0" w:color="FFFFFF"/>
              <w:right w:val="nil"/>
            </w:tcBorders>
            <w:shd w:val="clear" w:color="auto" w:fill="D9D9D9" w:themeFill="background1" w:themeFillShade="D9"/>
            <w:vAlign w:val="center"/>
          </w:tcPr>
          <w:p w14:paraId="7FBD0F68" w14:textId="48DAAF0F" w:rsidR="007B41D6" w:rsidRPr="00426A02" w:rsidRDefault="007B41D6" w:rsidP="00B85127">
            <w:pPr>
              <w:pStyle w:val="Tabletext"/>
              <w:jc w:val="center"/>
            </w:pPr>
            <w:r w:rsidRPr="00426A02">
              <w:t>0.00</w:t>
            </w:r>
          </w:p>
        </w:tc>
        <w:tc>
          <w:tcPr>
            <w:tcW w:w="736" w:type="dxa"/>
            <w:tcBorders>
              <w:top w:val="nil"/>
              <w:left w:val="nil"/>
              <w:bottom w:val="single" w:sz="4" w:space="0" w:color="FFFFFF"/>
              <w:right w:val="nil"/>
            </w:tcBorders>
            <w:shd w:val="clear" w:color="auto" w:fill="D9D9D9" w:themeFill="background1" w:themeFillShade="D9"/>
            <w:vAlign w:val="center"/>
          </w:tcPr>
          <w:p w14:paraId="13051533" w14:textId="087AB296" w:rsidR="007B41D6" w:rsidRPr="00426A02" w:rsidRDefault="007B41D6" w:rsidP="00B85127">
            <w:pPr>
              <w:pStyle w:val="Tabletext"/>
              <w:jc w:val="center"/>
            </w:pPr>
            <w:r w:rsidRPr="00426A02">
              <w:t>-0.24</w:t>
            </w:r>
          </w:p>
        </w:tc>
        <w:tc>
          <w:tcPr>
            <w:tcW w:w="716" w:type="dxa"/>
            <w:tcBorders>
              <w:top w:val="nil"/>
              <w:left w:val="nil"/>
              <w:bottom w:val="single" w:sz="4" w:space="0" w:color="FFFFFF"/>
              <w:right w:val="nil"/>
            </w:tcBorders>
            <w:shd w:val="clear" w:color="auto" w:fill="D9D9D9" w:themeFill="background1" w:themeFillShade="D9"/>
            <w:vAlign w:val="center"/>
          </w:tcPr>
          <w:p w14:paraId="450B084A" w14:textId="6621D9B0" w:rsidR="007B41D6" w:rsidRPr="00426A02" w:rsidRDefault="007B41D6" w:rsidP="00B85127">
            <w:pPr>
              <w:pStyle w:val="Tabletext"/>
              <w:jc w:val="center"/>
            </w:pPr>
            <w:r w:rsidRPr="00426A02">
              <w:t>0.00</w:t>
            </w:r>
          </w:p>
        </w:tc>
      </w:tr>
      <w:tr w:rsidR="007B41D6" w:rsidRPr="00426A02" w14:paraId="7B439326" w14:textId="77777777" w:rsidTr="00B85127">
        <w:trPr>
          <w:trHeight w:val="227"/>
          <w:jc w:val="center"/>
        </w:trPr>
        <w:tc>
          <w:tcPr>
            <w:tcW w:w="2268" w:type="dxa"/>
            <w:tcBorders>
              <w:top w:val="nil"/>
              <w:left w:val="nil"/>
              <w:bottom w:val="single" w:sz="4" w:space="0" w:color="FFFFFF"/>
              <w:right w:val="nil"/>
            </w:tcBorders>
            <w:shd w:val="clear" w:color="000000" w:fill="F2F2F2"/>
            <w:vAlign w:val="center"/>
            <w:hideMark/>
          </w:tcPr>
          <w:p w14:paraId="01831EAF" w14:textId="77777777" w:rsidR="007B41D6" w:rsidRPr="00426A02" w:rsidRDefault="007B41D6" w:rsidP="00B85127">
            <w:pPr>
              <w:pStyle w:val="Tabletext"/>
            </w:pPr>
            <w:r w:rsidRPr="00426A02">
              <w:t>Various other discretionary revenue measures</w:t>
            </w:r>
          </w:p>
        </w:tc>
        <w:tc>
          <w:tcPr>
            <w:tcW w:w="703" w:type="dxa"/>
            <w:tcBorders>
              <w:top w:val="nil"/>
              <w:left w:val="nil"/>
              <w:bottom w:val="single" w:sz="4" w:space="0" w:color="FFFFFF"/>
              <w:right w:val="nil"/>
            </w:tcBorders>
            <w:shd w:val="clear" w:color="000000" w:fill="F2F2F2"/>
            <w:vAlign w:val="center"/>
            <w:hideMark/>
          </w:tcPr>
          <w:p w14:paraId="1E3CD78C" w14:textId="77777777" w:rsidR="007B41D6" w:rsidRPr="00426A02" w:rsidRDefault="007B41D6" w:rsidP="00B85127">
            <w:pPr>
              <w:pStyle w:val="Tabletext"/>
              <w:jc w:val="center"/>
            </w:pPr>
            <w:r w:rsidRPr="00426A02">
              <w:t>2025</w:t>
            </w:r>
          </w:p>
        </w:tc>
        <w:tc>
          <w:tcPr>
            <w:tcW w:w="888" w:type="dxa"/>
            <w:tcBorders>
              <w:top w:val="nil"/>
              <w:left w:val="nil"/>
              <w:bottom w:val="single" w:sz="4" w:space="0" w:color="FFFFFF"/>
              <w:right w:val="nil"/>
            </w:tcBorders>
            <w:shd w:val="clear" w:color="000000" w:fill="F2F2F2"/>
            <w:vAlign w:val="center"/>
            <w:hideMark/>
          </w:tcPr>
          <w:p w14:paraId="1F25E3A3" w14:textId="77777777" w:rsidR="007B41D6" w:rsidRPr="00426A02" w:rsidRDefault="007B41D6" w:rsidP="00B85127">
            <w:pPr>
              <w:pStyle w:val="Tabletext"/>
              <w:jc w:val="center"/>
            </w:pPr>
          </w:p>
        </w:tc>
        <w:tc>
          <w:tcPr>
            <w:tcW w:w="1403" w:type="dxa"/>
            <w:tcBorders>
              <w:top w:val="nil"/>
              <w:left w:val="nil"/>
              <w:bottom w:val="single" w:sz="4" w:space="0" w:color="FFFFFF"/>
              <w:right w:val="nil"/>
            </w:tcBorders>
            <w:shd w:val="clear" w:color="000000" w:fill="F2F2F2"/>
            <w:vAlign w:val="center"/>
            <w:hideMark/>
          </w:tcPr>
          <w:p w14:paraId="0B9AB807" w14:textId="77777777" w:rsidR="007B41D6" w:rsidRPr="00426A02" w:rsidRDefault="007B41D6" w:rsidP="00B85127">
            <w:pPr>
              <w:pStyle w:val="Tabletext"/>
              <w:jc w:val="center"/>
            </w:pPr>
            <w:r w:rsidRPr="00426A02">
              <w:t>P.11+P.12+P.131+D.39+D.7+D.9 (other than D.91)</w:t>
            </w:r>
          </w:p>
        </w:tc>
        <w:tc>
          <w:tcPr>
            <w:tcW w:w="862" w:type="dxa"/>
            <w:tcBorders>
              <w:top w:val="nil"/>
              <w:left w:val="nil"/>
              <w:bottom w:val="single" w:sz="4" w:space="0" w:color="FFFFFF"/>
              <w:right w:val="nil"/>
            </w:tcBorders>
            <w:shd w:val="clear" w:color="000000" w:fill="F2F2F2"/>
            <w:vAlign w:val="center"/>
            <w:hideMark/>
          </w:tcPr>
          <w:p w14:paraId="49928B2B" w14:textId="77777777" w:rsidR="007B41D6" w:rsidRPr="00426A02" w:rsidRDefault="007B41D6" w:rsidP="00B85127">
            <w:pPr>
              <w:pStyle w:val="Tabletext"/>
              <w:jc w:val="center"/>
            </w:pPr>
            <w:r w:rsidRPr="00426A02">
              <w:t>Cash</w:t>
            </w:r>
          </w:p>
        </w:tc>
        <w:tc>
          <w:tcPr>
            <w:tcW w:w="515" w:type="dxa"/>
            <w:tcBorders>
              <w:top w:val="nil"/>
              <w:left w:val="nil"/>
              <w:bottom w:val="single" w:sz="4" w:space="0" w:color="FFFFFF"/>
              <w:right w:val="nil"/>
            </w:tcBorders>
            <w:shd w:val="clear" w:color="000000" w:fill="F2F2F2"/>
            <w:vAlign w:val="center"/>
            <w:hideMark/>
          </w:tcPr>
          <w:p w14:paraId="15F1CFAC" w14:textId="77777777" w:rsidR="007B41D6" w:rsidRPr="00426A02" w:rsidRDefault="007B41D6" w:rsidP="00B85127">
            <w:pPr>
              <w:pStyle w:val="Tabletext"/>
              <w:jc w:val="center"/>
            </w:pPr>
            <w:r w:rsidRPr="00426A02">
              <w:t>Yes</w:t>
            </w:r>
          </w:p>
        </w:tc>
        <w:tc>
          <w:tcPr>
            <w:tcW w:w="795" w:type="dxa"/>
            <w:tcBorders>
              <w:top w:val="nil"/>
              <w:left w:val="nil"/>
              <w:bottom w:val="single" w:sz="4" w:space="0" w:color="FFFFFF"/>
              <w:right w:val="nil"/>
            </w:tcBorders>
            <w:shd w:val="clear" w:color="000000" w:fill="F2F2F2"/>
            <w:vAlign w:val="center"/>
            <w:hideMark/>
          </w:tcPr>
          <w:p w14:paraId="78B8A996" w14:textId="77777777" w:rsidR="007B41D6" w:rsidRPr="00426A02" w:rsidRDefault="007B41D6" w:rsidP="00B85127">
            <w:pPr>
              <w:pStyle w:val="Tabletext"/>
              <w:jc w:val="center"/>
            </w:pPr>
            <w:r w:rsidRPr="00426A02">
              <w:t>0.00</w:t>
            </w:r>
          </w:p>
        </w:tc>
        <w:tc>
          <w:tcPr>
            <w:tcW w:w="736" w:type="dxa"/>
            <w:tcBorders>
              <w:top w:val="nil"/>
              <w:left w:val="nil"/>
              <w:bottom w:val="single" w:sz="4" w:space="0" w:color="FFFFFF"/>
              <w:right w:val="nil"/>
            </w:tcBorders>
            <w:shd w:val="clear" w:color="000000" w:fill="F2F2F2"/>
            <w:vAlign w:val="center"/>
            <w:hideMark/>
          </w:tcPr>
          <w:p w14:paraId="5F4ED0DB" w14:textId="1561E2EF" w:rsidR="007B41D6" w:rsidRPr="00426A02" w:rsidRDefault="007B41D6" w:rsidP="00B85127">
            <w:pPr>
              <w:pStyle w:val="Tabletext"/>
              <w:jc w:val="center"/>
            </w:pPr>
            <w:r w:rsidRPr="00426A02">
              <w:t>0.</w:t>
            </w:r>
            <w:r w:rsidR="00AD21C2">
              <w:t>39</w:t>
            </w:r>
          </w:p>
        </w:tc>
        <w:tc>
          <w:tcPr>
            <w:tcW w:w="716" w:type="dxa"/>
            <w:tcBorders>
              <w:top w:val="nil"/>
              <w:left w:val="nil"/>
              <w:bottom w:val="single" w:sz="4" w:space="0" w:color="FFFFFF"/>
              <w:right w:val="nil"/>
            </w:tcBorders>
            <w:shd w:val="clear" w:color="000000" w:fill="F2F2F2"/>
            <w:vAlign w:val="center"/>
            <w:hideMark/>
          </w:tcPr>
          <w:p w14:paraId="6DAF5B04" w14:textId="77777777" w:rsidR="007B41D6" w:rsidRPr="00426A02" w:rsidRDefault="007B41D6" w:rsidP="00B85127">
            <w:pPr>
              <w:pStyle w:val="Tabletext"/>
              <w:jc w:val="center"/>
            </w:pPr>
            <w:r w:rsidRPr="00426A02">
              <w:t>0.00</w:t>
            </w:r>
          </w:p>
        </w:tc>
      </w:tr>
      <w:tr w:rsidR="007B41D6" w:rsidRPr="00426A02" w14:paraId="06070CC8" w14:textId="77777777" w:rsidTr="00B85127">
        <w:trPr>
          <w:trHeight w:val="227"/>
          <w:jc w:val="center"/>
        </w:trPr>
        <w:tc>
          <w:tcPr>
            <w:tcW w:w="2268" w:type="dxa"/>
            <w:tcBorders>
              <w:top w:val="nil"/>
              <w:left w:val="nil"/>
              <w:bottom w:val="single" w:sz="4" w:space="0" w:color="FFFFFF"/>
              <w:right w:val="nil"/>
            </w:tcBorders>
            <w:shd w:val="clear" w:color="000000" w:fill="D9D9D9"/>
            <w:vAlign w:val="center"/>
            <w:hideMark/>
          </w:tcPr>
          <w:p w14:paraId="6A710BD1" w14:textId="01587934" w:rsidR="007B41D6" w:rsidRPr="00426A02" w:rsidRDefault="007B41D6" w:rsidP="00B85127">
            <w:pPr>
              <w:pStyle w:val="Tabletext"/>
            </w:pPr>
            <w:r w:rsidRPr="00426A02">
              <w:t>Solidarity contribution on refineries</w:t>
            </w:r>
            <w:r w:rsidR="00901B0C">
              <w:t xml:space="preserve"> for 2022</w:t>
            </w:r>
          </w:p>
        </w:tc>
        <w:tc>
          <w:tcPr>
            <w:tcW w:w="703" w:type="dxa"/>
            <w:tcBorders>
              <w:top w:val="nil"/>
              <w:left w:val="nil"/>
              <w:bottom w:val="single" w:sz="4" w:space="0" w:color="FFFFFF"/>
              <w:right w:val="nil"/>
            </w:tcBorders>
            <w:shd w:val="clear" w:color="000000" w:fill="D9D9D9"/>
            <w:vAlign w:val="center"/>
            <w:hideMark/>
          </w:tcPr>
          <w:p w14:paraId="0DDF4A3D" w14:textId="77777777" w:rsidR="007B41D6" w:rsidRPr="00426A02" w:rsidRDefault="007B41D6" w:rsidP="00B85127">
            <w:pPr>
              <w:pStyle w:val="Tabletext"/>
              <w:jc w:val="center"/>
            </w:pPr>
            <w:r w:rsidRPr="00426A02">
              <w:t>2023</w:t>
            </w:r>
          </w:p>
        </w:tc>
        <w:tc>
          <w:tcPr>
            <w:tcW w:w="888" w:type="dxa"/>
            <w:tcBorders>
              <w:top w:val="nil"/>
              <w:left w:val="nil"/>
              <w:bottom w:val="single" w:sz="4" w:space="0" w:color="FFFFFF"/>
              <w:right w:val="nil"/>
            </w:tcBorders>
            <w:shd w:val="clear" w:color="000000" w:fill="D9D9D9"/>
            <w:vAlign w:val="center"/>
            <w:hideMark/>
          </w:tcPr>
          <w:p w14:paraId="4A2FBC8F" w14:textId="77777777" w:rsidR="007B41D6" w:rsidRPr="00426A02" w:rsidRDefault="007B41D6" w:rsidP="00B85127">
            <w:pPr>
              <w:pStyle w:val="Tabletext"/>
              <w:jc w:val="center"/>
            </w:pPr>
            <w:r w:rsidRPr="00426A02">
              <w:t>#ENERGY-21</w:t>
            </w:r>
          </w:p>
        </w:tc>
        <w:tc>
          <w:tcPr>
            <w:tcW w:w="1403" w:type="dxa"/>
            <w:tcBorders>
              <w:top w:val="nil"/>
              <w:left w:val="nil"/>
              <w:bottom w:val="single" w:sz="4" w:space="0" w:color="FFFFFF"/>
              <w:right w:val="nil"/>
            </w:tcBorders>
            <w:shd w:val="clear" w:color="000000" w:fill="D9D9D9"/>
            <w:vAlign w:val="center"/>
            <w:hideMark/>
          </w:tcPr>
          <w:p w14:paraId="24618ED8" w14:textId="77777777" w:rsidR="007B41D6" w:rsidRPr="00426A02" w:rsidRDefault="007B41D6" w:rsidP="00B85127">
            <w:pPr>
              <w:pStyle w:val="Tabletext"/>
              <w:jc w:val="center"/>
            </w:pPr>
            <w:r w:rsidRPr="00426A02">
              <w:t>D.5</w:t>
            </w:r>
          </w:p>
        </w:tc>
        <w:tc>
          <w:tcPr>
            <w:tcW w:w="862" w:type="dxa"/>
            <w:tcBorders>
              <w:top w:val="nil"/>
              <w:left w:val="nil"/>
              <w:bottom w:val="single" w:sz="4" w:space="0" w:color="FFFFFF"/>
              <w:right w:val="nil"/>
            </w:tcBorders>
            <w:shd w:val="clear" w:color="000000" w:fill="D9D9D9"/>
            <w:vAlign w:val="center"/>
            <w:hideMark/>
          </w:tcPr>
          <w:p w14:paraId="4DB1C697" w14:textId="77777777" w:rsidR="007B41D6" w:rsidRPr="00426A02" w:rsidRDefault="007B41D6" w:rsidP="00B85127">
            <w:pPr>
              <w:pStyle w:val="Tabletext"/>
              <w:jc w:val="center"/>
            </w:pPr>
            <w:r w:rsidRPr="00426A02">
              <w:t>Accrual</w:t>
            </w:r>
          </w:p>
        </w:tc>
        <w:tc>
          <w:tcPr>
            <w:tcW w:w="515" w:type="dxa"/>
            <w:tcBorders>
              <w:top w:val="nil"/>
              <w:left w:val="nil"/>
              <w:bottom w:val="single" w:sz="4" w:space="0" w:color="FFFFFF"/>
              <w:right w:val="nil"/>
            </w:tcBorders>
            <w:shd w:val="clear" w:color="000000" w:fill="D9D9D9"/>
            <w:vAlign w:val="center"/>
            <w:hideMark/>
          </w:tcPr>
          <w:p w14:paraId="381C6BB1" w14:textId="77777777" w:rsidR="007B41D6" w:rsidRPr="00426A02" w:rsidRDefault="007B41D6" w:rsidP="00B85127">
            <w:pPr>
              <w:pStyle w:val="Tabletext"/>
              <w:jc w:val="center"/>
            </w:pPr>
            <w:r w:rsidRPr="00426A02">
              <w:t>Yes</w:t>
            </w:r>
          </w:p>
        </w:tc>
        <w:tc>
          <w:tcPr>
            <w:tcW w:w="795" w:type="dxa"/>
            <w:tcBorders>
              <w:top w:val="nil"/>
              <w:left w:val="nil"/>
              <w:bottom w:val="single" w:sz="4" w:space="0" w:color="FFFFFF"/>
              <w:right w:val="nil"/>
            </w:tcBorders>
            <w:shd w:val="clear" w:color="000000" w:fill="D9D9D9"/>
            <w:vAlign w:val="center"/>
            <w:hideMark/>
          </w:tcPr>
          <w:p w14:paraId="355C412A" w14:textId="77777777" w:rsidR="007B41D6" w:rsidRPr="00426A02" w:rsidRDefault="007B41D6" w:rsidP="00B85127">
            <w:pPr>
              <w:pStyle w:val="Tabletext"/>
              <w:jc w:val="center"/>
            </w:pPr>
            <w:r w:rsidRPr="00426A02">
              <w:t>-0.27</w:t>
            </w:r>
          </w:p>
        </w:tc>
        <w:tc>
          <w:tcPr>
            <w:tcW w:w="736" w:type="dxa"/>
            <w:tcBorders>
              <w:top w:val="nil"/>
              <w:left w:val="nil"/>
              <w:bottom w:val="single" w:sz="4" w:space="0" w:color="FFFFFF"/>
              <w:right w:val="nil"/>
            </w:tcBorders>
            <w:shd w:val="clear" w:color="000000" w:fill="D9D9D9"/>
            <w:vAlign w:val="center"/>
            <w:hideMark/>
          </w:tcPr>
          <w:p w14:paraId="2F3CB642" w14:textId="77777777" w:rsidR="007B41D6" w:rsidRPr="00426A02" w:rsidRDefault="007B41D6" w:rsidP="00B85127">
            <w:pPr>
              <w:pStyle w:val="Tabletext"/>
              <w:jc w:val="center"/>
            </w:pPr>
            <w:r w:rsidRPr="00426A02">
              <w:t>0.00</w:t>
            </w:r>
          </w:p>
        </w:tc>
        <w:tc>
          <w:tcPr>
            <w:tcW w:w="716" w:type="dxa"/>
            <w:tcBorders>
              <w:top w:val="nil"/>
              <w:left w:val="nil"/>
              <w:bottom w:val="single" w:sz="4" w:space="0" w:color="FFFFFF"/>
              <w:right w:val="nil"/>
            </w:tcBorders>
            <w:shd w:val="clear" w:color="000000" w:fill="D9D9D9"/>
            <w:vAlign w:val="center"/>
            <w:hideMark/>
          </w:tcPr>
          <w:p w14:paraId="4728DF30" w14:textId="77777777" w:rsidR="007B41D6" w:rsidRPr="00426A02" w:rsidRDefault="007B41D6" w:rsidP="00B85127">
            <w:pPr>
              <w:pStyle w:val="Tabletext"/>
              <w:jc w:val="center"/>
            </w:pPr>
            <w:r w:rsidRPr="00426A02">
              <w:t>0.00</w:t>
            </w:r>
          </w:p>
        </w:tc>
      </w:tr>
      <w:tr w:rsidR="007B41D6" w:rsidRPr="00426A02" w14:paraId="784D5554" w14:textId="77777777" w:rsidTr="00B85127">
        <w:trPr>
          <w:trHeight w:val="227"/>
          <w:jc w:val="center"/>
        </w:trPr>
        <w:tc>
          <w:tcPr>
            <w:tcW w:w="2268" w:type="dxa"/>
            <w:tcBorders>
              <w:top w:val="nil"/>
              <w:left w:val="nil"/>
              <w:bottom w:val="single" w:sz="4" w:space="0" w:color="FFFFFF"/>
              <w:right w:val="nil"/>
            </w:tcBorders>
            <w:shd w:val="clear" w:color="auto" w:fill="F2F2F2" w:themeFill="background1" w:themeFillShade="F2"/>
            <w:vAlign w:val="center"/>
            <w:hideMark/>
          </w:tcPr>
          <w:p w14:paraId="7A85E414" w14:textId="77777777" w:rsidR="007B41D6" w:rsidRPr="00426A02" w:rsidRDefault="007B41D6" w:rsidP="00B85127">
            <w:pPr>
              <w:pStyle w:val="Tabletext"/>
            </w:pPr>
            <w:r w:rsidRPr="00426A02">
              <w:t>Solidarity contribution on refineries for 2023 applied in 2024</w:t>
            </w:r>
          </w:p>
        </w:tc>
        <w:tc>
          <w:tcPr>
            <w:tcW w:w="703" w:type="dxa"/>
            <w:tcBorders>
              <w:top w:val="nil"/>
              <w:left w:val="nil"/>
              <w:bottom w:val="single" w:sz="4" w:space="0" w:color="FFFFFF"/>
              <w:right w:val="nil"/>
            </w:tcBorders>
            <w:shd w:val="clear" w:color="auto" w:fill="F2F2F2" w:themeFill="background1" w:themeFillShade="F2"/>
            <w:vAlign w:val="center"/>
            <w:hideMark/>
          </w:tcPr>
          <w:p w14:paraId="7D8BBEA2" w14:textId="77777777" w:rsidR="007B41D6" w:rsidRPr="00426A02" w:rsidRDefault="007B41D6" w:rsidP="00B85127">
            <w:pPr>
              <w:pStyle w:val="Tabletext"/>
              <w:jc w:val="center"/>
            </w:pPr>
            <w:r w:rsidRPr="00426A02">
              <w:t>2024</w:t>
            </w:r>
          </w:p>
        </w:tc>
        <w:tc>
          <w:tcPr>
            <w:tcW w:w="888" w:type="dxa"/>
            <w:tcBorders>
              <w:top w:val="nil"/>
              <w:left w:val="nil"/>
              <w:bottom w:val="single" w:sz="4" w:space="0" w:color="FFFFFF"/>
              <w:right w:val="nil"/>
            </w:tcBorders>
            <w:shd w:val="clear" w:color="auto" w:fill="F2F2F2" w:themeFill="background1" w:themeFillShade="F2"/>
            <w:vAlign w:val="center"/>
            <w:hideMark/>
          </w:tcPr>
          <w:p w14:paraId="751D584A" w14:textId="77777777" w:rsidR="007B41D6" w:rsidRPr="00426A02" w:rsidRDefault="007B41D6" w:rsidP="00B85127">
            <w:pPr>
              <w:pStyle w:val="Tabletext"/>
              <w:jc w:val="center"/>
            </w:pPr>
          </w:p>
        </w:tc>
        <w:tc>
          <w:tcPr>
            <w:tcW w:w="1403" w:type="dxa"/>
            <w:tcBorders>
              <w:top w:val="nil"/>
              <w:left w:val="nil"/>
              <w:bottom w:val="single" w:sz="4" w:space="0" w:color="FFFFFF"/>
              <w:right w:val="nil"/>
            </w:tcBorders>
            <w:shd w:val="clear" w:color="auto" w:fill="F2F2F2" w:themeFill="background1" w:themeFillShade="F2"/>
            <w:vAlign w:val="center"/>
            <w:hideMark/>
          </w:tcPr>
          <w:p w14:paraId="01D11070" w14:textId="77777777" w:rsidR="007B41D6" w:rsidRPr="00426A02" w:rsidRDefault="007B41D6" w:rsidP="00B85127">
            <w:pPr>
              <w:pStyle w:val="Tabletext"/>
              <w:jc w:val="center"/>
            </w:pPr>
            <w:r w:rsidRPr="00426A02">
              <w:t>D.5</w:t>
            </w:r>
          </w:p>
        </w:tc>
        <w:tc>
          <w:tcPr>
            <w:tcW w:w="862" w:type="dxa"/>
            <w:tcBorders>
              <w:top w:val="nil"/>
              <w:left w:val="nil"/>
              <w:bottom w:val="single" w:sz="4" w:space="0" w:color="FFFFFF"/>
              <w:right w:val="nil"/>
            </w:tcBorders>
            <w:shd w:val="clear" w:color="auto" w:fill="F2F2F2" w:themeFill="background1" w:themeFillShade="F2"/>
            <w:vAlign w:val="center"/>
            <w:hideMark/>
          </w:tcPr>
          <w:p w14:paraId="4C704E69" w14:textId="77777777" w:rsidR="007B41D6" w:rsidRPr="00426A02" w:rsidRDefault="007B41D6" w:rsidP="00B85127">
            <w:pPr>
              <w:pStyle w:val="Tabletext"/>
              <w:jc w:val="center"/>
            </w:pPr>
            <w:r w:rsidRPr="00426A02">
              <w:t>Cash</w:t>
            </w:r>
          </w:p>
        </w:tc>
        <w:tc>
          <w:tcPr>
            <w:tcW w:w="515" w:type="dxa"/>
            <w:tcBorders>
              <w:top w:val="nil"/>
              <w:left w:val="nil"/>
              <w:bottom w:val="single" w:sz="4" w:space="0" w:color="FFFFFF"/>
              <w:right w:val="nil"/>
            </w:tcBorders>
            <w:shd w:val="clear" w:color="auto" w:fill="F2F2F2" w:themeFill="background1" w:themeFillShade="F2"/>
            <w:vAlign w:val="center"/>
            <w:hideMark/>
          </w:tcPr>
          <w:p w14:paraId="0B7CF50E" w14:textId="77777777" w:rsidR="007B41D6" w:rsidRPr="00426A02" w:rsidRDefault="007B41D6" w:rsidP="00B85127">
            <w:pPr>
              <w:pStyle w:val="Tabletext"/>
              <w:jc w:val="center"/>
            </w:pPr>
            <w:r w:rsidRPr="00426A02">
              <w:t>Yes</w:t>
            </w:r>
          </w:p>
        </w:tc>
        <w:tc>
          <w:tcPr>
            <w:tcW w:w="795" w:type="dxa"/>
            <w:tcBorders>
              <w:top w:val="nil"/>
              <w:left w:val="nil"/>
              <w:bottom w:val="single" w:sz="4" w:space="0" w:color="FFFFFF"/>
              <w:right w:val="nil"/>
            </w:tcBorders>
            <w:shd w:val="clear" w:color="auto" w:fill="F2F2F2" w:themeFill="background1" w:themeFillShade="F2"/>
            <w:vAlign w:val="center"/>
            <w:hideMark/>
          </w:tcPr>
          <w:p w14:paraId="53D1DB93" w14:textId="77777777" w:rsidR="007B41D6" w:rsidRPr="00426A02" w:rsidRDefault="007B41D6" w:rsidP="00B85127">
            <w:pPr>
              <w:pStyle w:val="Tabletext"/>
              <w:jc w:val="center"/>
            </w:pPr>
            <w:r w:rsidRPr="00426A02">
              <w:t>0.20</w:t>
            </w:r>
          </w:p>
        </w:tc>
        <w:tc>
          <w:tcPr>
            <w:tcW w:w="736" w:type="dxa"/>
            <w:tcBorders>
              <w:top w:val="nil"/>
              <w:left w:val="nil"/>
              <w:bottom w:val="single" w:sz="4" w:space="0" w:color="FFFFFF"/>
              <w:right w:val="nil"/>
            </w:tcBorders>
            <w:shd w:val="clear" w:color="auto" w:fill="F2F2F2" w:themeFill="background1" w:themeFillShade="F2"/>
            <w:vAlign w:val="center"/>
            <w:hideMark/>
          </w:tcPr>
          <w:p w14:paraId="34E166CD" w14:textId="77777777" w:rsidR="007B41D6" w:rsidRPr="00426A02" w:rsidRDefault="007B41D6" w:rsidP="00B85127">
            <w:pPr>
              <w:pStyle w:val="Tabletext"/>
              <w:jc w:val="center"/>
            </w:pPr>
            <w:r w:rsidRPr="00426A02">
              <w:t>-0.26</w:t>
            </w:r>
          </w:p>
        </w:tc>
        <w:tc>
          <w:tcPr>
            <w:tcW w:w="716" w:type="dxa"/>
            <w:tcBorders>
              <w:top w:val="nil"/>
              <w:left w:val="nil"/>
              <w:bottom w:val="single" w:sz="4" w:space="0" w:color="FFFFFF"/>
              <w:right w:val="nil"/>
            </w:tcBorders>
            <w:shd w:val="clear" w:color="auto" w:fill="F2F2F2" w:themeFill="background1" w:themeFillShade="F2"/>
            <w:vAlign w:val="center"/>
            <w:hideMark/>
          </w:tcPr>
          <w:p w14:paraId="46319C7E" w14:textId="77777777" w:rsidR="007B41D6" w:rsidRPr="00426A02" w:rsidRDefault="007B41D6" w:rsidP="00B85127">
            <w:pPr>
              <w:pStyle w:val="Tabletext"/>
              <w:jc w:val="center"/>
            </w:pPr>
            <w:r w:rsidRPr="00426A02">
              <w:t>0.09</w:t>
            </w:r>
          </w:p>
        </w:tc>
      </w:tr>
      <w:tr w:rsidR="00B85127" w:rsidRPr="00426A02" w14:paraId="2ECD33C0" w14:textId="77777777" w:rsidTr="00B85127">
        <w:trPr>
          <w:trHeight w:val="227"/>
          <w:jc w:val="center"/>
        </w:trPr>
        <w:tc>
          <w:tcPr>
            <w:tcW w:w="2268" w:type="dxa"/>
            <w:tcBorders>
              <w:top w:val="nil"/>
              <w:left w:val="nil"/>
              <w:bottom w:val="single" w:sz="4" w:space="0" w:color="FFFFFF"/>
              <w:right w:val="nil"/>
            </w:tcBorders>
            <w:shd w:val="clear" w:color="auto" w:fill="D9D9D9" w:themeFill="background1" w:themeFillShade="D9"/>
            <w:vAlign w:val="center"/>
            <w:hideMark/>
          </w:tcPr>
          <w:p w14:paraId="23FA4CF2" w14:textId="77777777" w:rsidR="007B41D6" w:rsidRPr="00426A02" w:rsidRDefault="007B41D6" w:rsidP="00B85127">
            <w:pPr>
              <w:pStyle w:val="Tabletext"/>
            </w:pPr>
            <w:r w:rsidRPr="00426A02">
              <w:t>Increased energy revenues - price cap mechanism on renewables</w:t>
            </w:r>
          </w:p>
        </w:tc>
        <w:tc>
          <w:tcPr>
            <w:tcW w:w="703" w:type="dxa"/>
            <w:tcBorders>
              <w:top w:val="nil"/>
              <w:left w:val="nil"/>
              <w:bottom w:val="single" w:sz="4" w:space="0" w:color="FFFFFF"/>
              <w:right w:val="nil"/>
            </w:tcBorders>
            <w:shd w:val="clear" w:color="auto" w:fill="D9D9D9" w:themeFill="background1" w:themeFillShade="D9"/>
            <w:vAlign w:val="center"/>
            <w:hideMark/>
          </w:tcPr>
          <w:p w14:paraId="54669CD4" w14:textId="77777777" w:rsidR="007B41D6" w:rsidRPr="00426A02" w:rsidRDefault="007B41D6" w:rsidP="00B85127">
            <w:pPr>
              <w:pStyle w:val="Tabletext"/>
              <w:jc w:val="center"/>
            </w:pPr>
            <w:r w:rsidRPr="00426A02">
              <w:t>2022</w:t>
            </w:r>
          </w:p>
        </w:tc>
        <w:tc>
          <w:tcPr>
            <w:tcW w:w="888" w:type="dxa"/>
            <w:tcBorders>
              <w:top w:val="nil"/>
              <w:left w:val="nil"/>
              <w:bottom w:val="single" w:sz="4" w:space="0" w:color="FFFFFF"/>
              <w:right w:val="nil"/>
            </w:tcBorders>
            <w:shd w:val="clear" w:color="auto" w:fill="D9D9D9" w:themeFill="background1" w:themeFillShade="D9"/>
            <w:vAlign w:val="center"/>
            <w:hideMark/>
          </w:tcPr>
          <w:p w14:paraId="7F9B64B4" w14:textId="77777777" w:rsidR="007B41D6" w:rsidRPr="00426A02" w:rsidRDefault="007B41D6" w:rsidP="00B85127">
            <w:pPr>
              <w:pStyle w:val="Tabletext"/>
              <w:jc w:val="center"/>
            </w:pPr>
            <w:r w:rsidRPr="00426A02">
              <w:t>#ENERGY-21</w:t>
            </w:r>
          </w:p>
        </w:tc>
        <w:tc>
          <w:tcPr>
            <w:tcW w:w="1403" w:type="dxa"/>
            <w:tcBorders>
              <w:top w:val="nil"/>
              <w:left w:val="nil"/>
              <w:bottom w:val="single" w:sz="4" w:space="0" w:color="FFFFFF"/>
              <w:right w:val="nil"/>
            </w:tcBorders>
            <w:shd w:val="clear" w:color="auto" w:fill="D9D9D9" w:themeFill="background1" w:themeFillShade="D9"/>
            <w:vAlign w:val="center"/>
            <w:hideMark/>
          </w:tcPr>
          <w:p w14:paraId="0773389E" w14:textId="77777777" w:rsidR="007B41D6" w:rsidRPr="00426A02" w:rsidRDefault="007B41D6" w:rsidP="00B85127">
            <w:pPr>
              <w:pStyle w:val="Tabletext"/>
              <w:jc w:val="center"/>
            </w:pPr>
            <w:r w:rsidRPr="00426A02">
              <w:t>D.2</w:t>
            </w:r>
          </w:p>
        </w:tc>
        <w:tc>
          <w:tcPr>
            <w:tcW w:w="862" w:type="dxa"/>
            <w:tcBorders>
              <w:top w:val="nil"/>
              <w:left w:val="nil"/>
              <w:bottom w:val="single" w:sz="4" w:space="0" w:color="FFFFFF"/>
              <w:right w:val="nil"/>
            </w:tcBorders>
            <w:shd w:val="clear" w:color="auto" w:fill="D9D9D9" w:themeFill="background1" w:themeFillShade="D9"/>
            <w:vAlign w:val="center"/>
            <w:hideMark/>
          </w:tcPr>
          <w:p w14:paraId="6A4FB62D" w14:textId="77777777" w:rsidR="007B41D6" w:rsidRPr="00426A02" w:rsidRDefault="007B41D6" w:rsidP="00B85127">
            <w:pPr>
              <w:pStyle w:val="Tabletext"/>
              <w:jc w:val="center"/>
            </w:pPr>
            <w:r w:rsidRPr="00426A02">
              <w:t>Cash</w:t>
            </w:r>
          </w:p>
        </w:tc>
        <w:tc>
          <w:tcPr>
            <w:tcW w:w="515" w:type="dxa"/>
            <w:tcBorders>
              <w:top w:val="nil"/>
              <w:left w:val="nil"/>
              <w:bottom w:val="single" w:sz="4" w:space="0" w:color="FFFFFF"/>
              <w:right w:val="nil"/>
            </w:tcBorders>
            <w:shd w:val="clear" w:color="auto" w:fill="D9D9D9" w:themeFill="background1" w:themeFillShade="D9"/>
            <w:vAlign w:val="center"/>
            <w:hideMark/>
          </w:tcPr>
          <w:p w14:paraId="0F0CBFB5" w14:textId="77777777" w:rsidR="007B41D6" w:rsidRPr="00426A02" w:rsidRDefault="007B41D6" w:rsidP="00B85127">
            <w:pPr>
              <w:pStyle w:val="Tabletext"/>
              <w:jc w:val="center"/>
            </w:pPr>
            <w:r w:rsidRPr="00426A02">
              <w:t>Yes</w:t>
            </w:r>
          </w:p>
        </w:tc>
        <w:tc>
          <w:tcPr>
            <w:tcW w:w="795" w:type="dxa"/>
            <w:tcBorders>
              <w:top w:val="nil"/>
              <w:left w:val="nil"/>
              <w:bottom w:val="single" w:sz="4" w:space="0" w:color="FFFFFF"/>
              <w:right w:val="nil"/>
            </w:tcBorders>
            <w:shd w:val="clear" w:color="auto" w:fill="D9D9D9" w:themeFill="background1" w:themeFillShade="D9"/>
            <w:vAlign w:val="center"/>
            <w:hideMark/>
          </w:tcPr>
          <w:p w14:paraId="772330AF" w14:textId="77777777" w:rsidR="007B41D6" w:rsidRPr="00426A02" w:rsidRDefault="007B41D6" w:rsidP="00B85127">
            <w:pPr>
              <w:pStyle w:val="Tabletext"/>
              <w:jc w:val="center"/>
            </w:pPr>
            <w:r w:rsidRPr="00426A02">
              <w:t>-0.23</w:t>
            </w:r>
          </w:p>
        </w:tc>
        <w:tc>
          <w:tcPr>
            <w:tcW w:w="736" w:type="dxa"/>
            <w:tcBorders>
              <w:top w:val="nil"/>
              <w:left w:val="nil"/>
              <w:bottom w:val="single" w:sz="4" w:space="0" w:color="FFFFFF"/>
              <w:right w:val="nil"/>
            </w:tcBorders>
            <w:shd w:val="clear" w:color="auto" w:fill="D9D9D9" w:themeFill="background1" w:themeFillShade="D9"/>
            <w:vAlign w:val="center"/>
            <w:hideMark/>
          </w:tcPr>
          <w:p w14:paraId="1C0F90AE" w14:textId="77777777" w:rsidR="007B41D6" w:rsidRPr="00426A02" w:rsidRDefault="007B41D6" w:rsidP="00B85127">
            <w:pPr>
              <w:pStyle w:val="Tabletext"/>
              <w:jc w:val="center"/>
            </w:pPr>
            <w:r w:rsidRPr="00426A02">
              <w:t>0.00</w:t>
            </w:r>
          </w:p>
        </w:tc>
        <w:tc>
          <w:tcPr>
            <w:tcW w:w="716" w:type="dxa"/>
            <w:tcBorders>
              <w:top w:val="nil"/>
              <w:left w:val="nil"/>
              <w:bottom w:val="single" w:sz="4" w:space="0" w:color="FFFFFF"/>
              <w:right w:val="nil"/>
            </w:tcBorders>
            <w:shd w:val="clear" w:color="auto" w:fill="D9D9D9" w:themeFill="background1" w:themeFillShade="D9"/>
            <w:vAlign w:val="center"/>
            <w:hideMark/>
          </w:tcPr>
          <w:p w14:paraId="1C2E144B" w14:textId="77777777" w:rsidR="007B41D6" w:rsidRPr="00426A02" w:rsidRDefault="007B41D6" w:rsidP="00B85127">
            <w:pPr>
              <w:pStyle w:val="Tabletext"/>
              <w:jc w:val="center"/>
            </w:pPr>
            <w:r w:rsidRPr="00426A02">
              <w:t>0.00</w:t>
            </w:r>
          </w:p>
        </w:tc>
      </w:tr>
      <w:tr w:rsidR="007B41D6" w:rsidRPr="00426A02" w14:paraId="622AC0CA" w14:textId="77777777" w:rsidTr="00B85127">
        <w:trPr>
          <w:trHeight w:val="227"/>
          <w:jc w:val="center"/>
        </w:trPr>
        <w:tc>
          <w:tcPr>
            <w:tcW w:w="2268" w:type="dxa"/>
            <w:tcBorders>
              <w:top w:val="nil"/>
              <w:left w:val="nil"/>
              <w:bottom w:val="single" w:sz="4" w:space="0" w:color="FFFFFF"/>
              <w:right w:val="nil"/>
            </w:tcBorders>
            <w:shd w:val="clear" w:color="auto" w:fill="F2F2F2" w:themeFill="background1" w:themeFillShade="F2"/>
            <w:vAlign w:val="center"/>
            <w:hideMark/>
          </w:tcPr>
          <w:p w14:paraId="11471090" w14:textId="77777777" w:rsidR="007B41D6" w:rsidRPr="00426A02" w:rsidRDefault="007B41D6" w:rsidP="00B85127">
            <w:pPr>
              <w:pStyle w:val="Tabletext"/>
            </w:pPr>
            <w:r w:rsidRPr="00426A02">
              <w:t>Various other COVID-related D.5 discretionary revenue measures</w:t>
            </w:r>
          </w:p>
        </w:tc>
        <w:tc>
          <w:tcPr>
            <w:tcW w:w="703" w:type="dxa"/>
            <w:tcBorders>
              <w:top w:val="nil"/>
              <w:left w:val="nil"/>
              <w:bottom w:val="single" w:sz="4" w:space="0" w:color="FFFFFF"/>
              <w:right w:val="nil"/>
            </w:tcBorders>
            <w:shd w:val="clear" w:color="auto" w:fill="F2F2F2" w:themeFill="background1" w:themeFillShade="F2"/>
            <w:vAlign w:val="center"/>
            <w:hideMark/>
          </w:tcPr>
          <w:p w14:paraId="6E53268C" w14:textId="77777777" w:rsidR="007B41D6" w:rsidRPr="00426A02" w:rsidRDefault="007B41D6" w:rsidP="00B85127">
            <w:pPr>
              <w:pStyle w:val="Tabletext"/>
              <w:jc w:val="center"/>
            </w:pPr>
            <w:r w:rsidRPr="00426A02">
              <w:t>2024</w:t>
            </w:r>
          </w:p>
        </w:tc>
        <w:tc>
          <w:tcPr>
            <w:tcW w:w="888" w:type="dxa"/>
            <w:tcBorders>
              <w:top w:val="nil"/>
              <w:left w:val="nil"/>
              <w:bottom w:val="single" w:sz="4" w:space="0" w:color="FFFFFF"/>
              <w:right w:val="nil"/>
            </w:tcBorders>
            <w:shd w:val="clear" w:color="auto" w:fill="F2F2F2" w:themeFill="background1" w:themeFillShade="F2"/>
            <w:vAlign w:val="center"/>
            <w:hideMark/>
          </w:tcPr>
          <w:p w14:paraId="06FAB895" w14:textId="77777777" w:rsidR="007B41D6" w:rsidRPr="00426A02" w:rsidRDefault="007B41D6" w:rsidP="00B85127">
            <w:pPr>
              <w:pStyle w:val="Tabletext"/>
              <w:jc w:val="center"/>
            </w:pPr>
            <w:r w:rsidRPr="00426A02">
              <w:t>#COVID-19</w:t>
            </w:r>
          </w:p>
        </w:tc>
        <w:tc>
          <w:tcPr>
            <w:tcW w:w="1403" w:type="dxa"/>
            <w:tcBorders>
              <w:top w:val="nil"/>
              <w:left w:val="nil"/>
              <w:bottom w:val="single" w:sz="4" w:space="0" w:color="FFFFFF"/>
              <w:right w:val="nil"/>
            </w:tcBorders>
            <w:shd w:val="clear" w:color="auto" w:fill="F2F2F2" w:themeFill="background1" w:themeFillShade="F2"/>
            <w:vAlign w:val="center"/>
            <w:hideMark/>
          </w:tcPr>
          <w:p w14:paraId="5B87D902" w14:textId="77777777" w:rsidR="007B41D6" w:rsidRPr="00426A02" w:rsidRDefault="007B41D6" w:rsidP="00B85127">
            <w:pPr>
              <w:pStyle w:val="Tabletext"/>
              <w:jc w:val="center"/>
            </w:pPr>
            <w:r w:rsidRPr="00426A02">
              <w:t>D.5</w:t>
            </w:r>
          </w:p>
        </w:tc>
        <w:tc>
          <w:tcPr>
            <w:tcW w:w="862" w:type="dxa"/>
            <w:tcBorders>
              <w:top w:val="nil"/>
              <w:left w:val="nil"/>
              <w:bottom w:val="single" w:sz="4" w:space="0" w:color="FFFFFF"/>
              <w:right w:val="nil"/>
            </w:tcBorders>
            <w:shd w:val="clear" w:color="auto" w:fill="F2F2F2" w:themeFill="background1" w:themeFillShade="F2"/>
            <w:vAlign w:val="center"/>
            <w:hideMark/>
          </w:tcPr>
          <w:p w14:paraId="059D1A5D" w14:textId="77777777" w:rsidR="007B41D6" w:rsidRPr="00426A02" w:rsidRDefault="007B41D6" w:rsidP="00B85127">
            <w:pPr>
              <w:pStyle w:val="Tabletext"/>
              <w:jc w:val="center"/>
            </w:pPr>
            <w:r w:rsidRPr="00426A02">
              <w:t>Cash</w:t>
            </w:r>
          </w:p>
        </w:tc>
        <w:tc>
          <w:tcPr>
            <w:tcW w:w="515" w:type="dxa"/>
            <w:tcBorders>
              <w:top w:val="nil"/>
              <w:left w:val="nil"/>
              <w:bottom w:val="single" w:sz="4" w:space="0" w:color="FFFFFF"/>
              <w:right w:val="nil"/>
            </w:tcBorders>
            <w:shd w:val="clear" w:color="auto" w:fill="F2F2F2" w:themeFill="background1" w:themeFillShade="F2"/>
            <w:vAlign w:val="center"/>
            <w:hideMark/>
          </w:tcPr>
          <w:p w14:paraId="77092631" w14:textId="77777777" w:rsidR="007B41D6" w:rsidRPr="00426A02" w:rsidRDefault="007B41D6" w:rsidP="00B85127">
            <w:pPr>
              <w:pStyle w:val="Tabletext"/>
              <w:jc w:val="center"/>
            </w:pPr>
            <w:r w:rsidRPr="00426A02">
              <w:t>Yes</w:t>
            </w:r>
          </w:p>
        </w:tc>
        <w:tc>
          <w:tcPr>
            <w:tcW w:w="795" w:type="dxa"/>
            <w:tcBorders>
              <w:top w:val="nil"/>
              <w:left w:val="nil"/>
              <w:bottom w:val="single" w:sz="4" w:space="0" w:color="FFFFFF"/>
              <w:right w:val="nil"/>
            </w:tcBorders>
            <w:shd w:val="clear" w:color="auto" w:fill="F2F2F2" w:themeFill="background1" w:themeFillShade="F2"/>
            <w:vAlign w:val="center"/>
            <w:hideMark/>
          </w:tcPr>
          <w:p w14:paraId="350B1FC9" w14:textId="77777777" w:rsidR="007B41D6" w:rsidRPr="00426A02" w:rsidRDefault="007B41D6" w:rsidP="00B85127">
            <w:pPr>
              <w:pStyle w:val="Tabletext"/>
              <w:jc w:val="center"/>
            </w:pPr>
            <w:r w:rsidRPr="00426A02">
              <w:t>0.02</w:t>
            </w:r>
          </w:p>
        </w:tc>
        <w:tc>
          <w:tcPr>
            <w:tcW w:w="736" w:type="dxa"/>
            <w:tcBorders>
              <w:top w:val="nil"/>
              <w:left w:val="nil"/>
              <w:bottom w:val="single" w:sz="4" w:space="0" w:color="FFFFFF"/>
              <w:right w:val="nil"/>
            </w:tcBorders>
            <w:shd w:val="clear" w:color="auto" w:fill="F2F2F2" w:themeFill="background1" w:themeFillShade="F2"/>
            <w:vAlign w:val="center"/>
            <w:hideMark/>
          </w:tcPr>
          <w:p w14:paraId="06CF30C6" w14:textId="77777777" w:rsidR="007B41D6" w:rsidRPr="00426A02" w:rsidRDefault="007B41D6" w:rsidP="00B85127">
            <w:pPr>
              <w:pStyle w:val="Tabletext"/>
              <w:jc w:val="center"/>
            </w:pPr>
            <w:r w:rsidRPr="00426A02">
              <w:t>0.00</w:t>
            </w:r>
          </w:p>
        </w:tc>
        <w:tc>
          <w:tcPr>
            <w:tcW w:w="716" w:type="dxa"/>
            <w:tcBorders>
              <w:top w:val="nil"/>
              <w:left w:val="nil"/>
              <w:bottom w:val="single" w:sz="4" w:space="0" w:color="FFFFFF"/>
              <w:right w:val="nil"/>
            </w:tcBorders>
            <w:shd w:val="clear" w:color="auto" w:fill="F2F2F2" w:themeFill="background1" w:themeFillShade="F2"/>
            <w:vAlign w:val="center"/>
            <w:hideMark/>
          </w:tcPr>
          <w:p w14:paraId="558ECBBC" w14:textId="77777777" w:rsidR="007B41D6" w:rsidRPr="00426A02" w:rsidRDefault="007B41D6" w:rsidP="00B85127">
            <w:pPr>
              <w:pStyle w:val="Tabletext"/>
              <w:jc w:val="center"/>
            </w:pPr>
            <w:r w:rsidRPr="00426A02">
              <w:t>0.00</w:t>
            </w:r>
          </w:p>
        </w:tc>
      </w:tr>
      <w:tr w:rsidR="00B85127" w:rsidRPr="00426A02" w14:paraId="4601089F" w14:textId="77777777" w:rsidTr="00B85127">
        <w:trPr>
          <w:trHeight w:val="227"/>
          <w:jc w:val="center"/>
        </w:trPr>
        <w:tc>
          <w:tcPr>
            <w:tcW w:w="2268" w:type="dxa"/>
            <w:tcBorders>
              <w:top w:val="nil"/>
              <w:left w:val="nil"/>
              <w:bottom w:val="single" w:sz="4" w:space="0" w:color="FFFFFF"/>
              <w:right w:val="nil"/>
            </w:tcBorders>
            <w:shd w:val="clear" w:color="auto" w:fill="D9D9D9" w:themeFill="background1" w:themeFillShade="D9"/>
            <w:vAlign w:val="center"/>
            <w:hideMark/>
          </w:tcPr>
          <w:p w14:paraId="1D32E8E4" w14:textId="77777777" w:rsidR="007B41D6" w:rsidRPr="00426A02" w:rsidRDefault="007B41D6" w:rsidP="00B85127">
            <w:pPr>
              <w:pStyle w:val="Tabletext"/>
            </w:pPr>
            <w:r w:rsidRPr="00426A02">
              <w:t>Various other D.2 discretionary revenue measures</w:t>
            </w:r>
          </w:p>
        </w:tc>
        <w:tc>
          <w:tcPr>
            <w:tcW w:w="703" w:type="dxa"/>
            <w:tcBorders>
              <w:top w:val="nil"/>
              <w:left w:val="nil"/>
              <w:bottom w:val="single" w:sz="4" w:space="0" w:color="FFFFFF"/>
              <w:right w:val="nil"/>
            </w:tcBorders>
            <w:shd w:val="clear" w:color="auto" w:fill="D9D9D9" w:themeFill="background1" w:themeFillShade="D9"/>
            <w:vAlign w:val="center"/>
            <w:hideMark/>
          </w:tcPr>
          <w:p w14:paraId="451D2EB2" w14:textId="77777777" w:rsidR="007B41D6" w:rsidRPr="00426A02" w:rsidRDefault="007B41D6" w:rsidP="00B85127">
            <w:pPr>
              <w:pStyle w:val="Tabletext"/>
              <w:jc w:val="center"/>
            </w:pPr>
            <w:r w:rsidRPr="00426A02">
              <w:t>2024</w:t>
            </w:r>
          </w:p>
        </w:tc>
        <w:tc>
          <w:tcPr>
            <w:tcW w:w="888" w:type="dxa"/>
            <w:tcBorders>
              <w:top w:val="nil"/>
              <w:left w:val="nil"/>
              <w:bottom w:val="single" w:sz="4" w:space="0" w:color="FFFFFF"/>
              <w:right w:val="nil"/>
            </w:tcBorders>
            <w:shd w:val="clear" w:color="auto" w:fill="D9D9D9" w:themeFill="background1" w:themeFillShade="D9"/>
            <w:vAlign w:val="center"/>
            <w:hideMark/>
          </w:tcPr>
          <w:p w14:paraId="0B954187" w14:textId="77777777" w:rsidR="007B41D6" w:rsidRPr="00426A02" w:rsidRDefault="007B41D6" w:rsidP="00B85127">
            <w:pPr>
              <w:pStyle w:val="Tabletext"/>
              <w:jc w:val="center"/>
            </w:pPr>
          </w:p>
        </w:tc>
        <w:tc>
          <w:tcPr>
            <w:tcW w:w="1403" w:type="dxa"/>
            <w:tcBorders>
              <w:top w:val="nil"/>
              <w:left w:val="nil"/>
              <w:bottom w:val="single" w:sz="4" w:space="0" w:color="FFFFFF"/>
              <w:right w:val="nil"/>
            </w:tcBorders>
            <w:shd w:val="clear" w:color="auto" w:fill="D9D9D9" w:themeFill="background1" w:themeFillShade="D9"/>
            <w:vAlign w:val="center"/>
            <w:hideMark/>
          </w:tcPr>
          <w:p w14:paraId="77FF89DE" w14:textId="77777777" w:rsidR="007B41D6" w:rsidRPr="00426A02" w:rsidRDefault="007B41D6" w:rsidP="00B85127">
            <w:pPr>
              <w:pStyle w:val="Tabletext"/>
              <w:jc w:val="center"/>
            </w:pPr>
            <w:r w:rsidRPr="00426A02">
              <w:t>D.2</w:t>
            </w:r>
          </w:p>
        </w:tc>
        <w:tc>
          <w:tcPr>
            <w:tcW w:w="862" w:type="dxa"/>
            <w:tcBorders>
              <w:top w:val="nil"/>
              <w:left w:val="nil"/>
              <w:bottom w:val="single" w:sz="4" w:space="0" w:color="FFFFFF"/>
              <w:right w:val="nil"/>
            </w:tcBorders>
            <w:shd w:val="clear" w:color="auto" w:fill="D9D9D9" w:themeFill="background1" w:themeFillShade="D9"/>
            <w:vAlign w:val="center"/>
            <w:hideMark/>
          </w:tcPr>
          <w:p w14:paraId="215901D6" w14:textId="77777777" w:rsidR="007B41D6" w:rsidRPr="00426A02" w:rsidRDefault="007B41D6" w:rsidP="00B85127">
            <w:pPr>
              <w:pStyle w:val="Tabletext"/>
              <w:jc w:val="center"/>
            </w:pPr>
            <w:r w:rsidRPr="00426A02">
              <w:t>Cash</w:t>
            </w:r>
          </w:p>
        </w:tc>
        <w:tc>
          <w:tcPr>
            <w:tcW w:w="515" w:type="dxa"/>
            <w:tcBorders>
              <w:top w:val="nil"/>
              <w:left w:val="nil"/>
              <w:bottom w:val="single" w:sz="4" w:space="0" w:color="FFFFFF"/>
              <w:right w:val="nil"/>
            </w:tcBorders>
            <w:shd w:val="clear" w:color="auto" w:fill="D9D9D9" w:themeFill="background1" w:themeFillShade="D9"/>
            <w:vAlign w:val="center"/>
            <w:hideMark/>
          </w:tcPr>
          <w:p w14:paraId="6EA82FB4" w14:textId="77777777" w:rsidR="007B41D6" w:rsidRPr="00426A02" w:rsidRDefault="007B41D6" w:rsidP="00B85127">
            <w:pPr>
              <w:pStyle w:val="Tabletext"/>
              <w:jc w:val="center"/>
            </w:pPr>
            <w:r w:rsidRPr="00426A02">
              <w:t>Yes</w:t>
            </w:r>
          </w:p>
        </w:tc>
        <w:tc>
          <w:tcPr>
            <w:tcW w:w="795" w:type="dxa"/>
            <w:tcBorders>
              <w:top w:val="nil"/>
              <w:left w:val="nil"/>
              <w:bottom w:val="single" w:sz="4" w:space="0" w:color="FFFFFF"/>
              <w:right w:val="nil"/>
            </w:tcBorders>
            <w:shd w:val="clear" w:color="auto" w:fill="D9D9D9" w:themeFill="background1" w:themeFillShade="D9"/>
            <w:vAlign w:val="center"/>
            <w:hideMark/>
          </w:tcPr>
          <w:p w14:paraId="453AF8BD" w14:textId="77777777" w:rsidR="007B41D6" w:rsidRPr="00426A02" w:rsidRDefault="007B41D6" w:rsidP="00B85127">
            <w:pPr>
              <w:pStyle w:val="Tabletext"/>
              <w:jc w:val="center"/>
            </w:pPr>
            <w:r w:rsidRPr="00426A02">
              <w:t>0.08</w:t>
            </w:r>
          </w:p>
        </w:tc>
        <w:tc>
          <w:tcPr>
            <w:tcW w:w="736" w:type="dxa"/>
            <w:tcBorders>
              <w:top w:val="nil"/>
              <w:left w:val="nil"/>
              <w:bottom w:val="single" w:sz="4" w:space="0" w:color="FFFFFF"/>
              <w:right w:val="nil"/>
            </w:tcBorders>
            <w:shd w:val="clear" w:color="auto" w:fill="D9D9D9" w:themeFill="background1" w:themeFillShade="D9"/>
            <w:vAlign w:val="center"/>
            <w:hideMark/>
          </w:tcPr>
          <w:p w14:paraId="02653751" w14:textId="77777777" w:rsidR="007B41D6" w:rsidRPr="00426A02" w:rsidRDefault="007B41D6" w:rsidP="00B85127">
            <w:pPr>
              <w:pStyle w:val="Tabletext"/>
              <w:jc w:val="center"/>
            </w:pPr>
            <w:r w:rsidRPr="00426A02">
              <w:t>0.11</w:t>
            </w:r>
          </w:p>
        </w:tc>
        <w:tc>
          <w:tcPr>
            <w:tcW w:w="716" w:type="dxa"/>
            <w:tcBorders>
              <w:top w:val="nil"/>
              <w:left w:val="nil"/>
              <w:bottom w:val="single" w:sz="4" w:space="0" w:color="FFFFFF"/>
              <w:right w:val="nil"/>
            </w:tcBorders>
            <w:shd w:val="clear" w:color="auto" w:fill="D9D9D9" w:themeFill="background1" w:themeFillShade="D9"/>
            <w:vAlign w:val="center"/>
            <w:hideMark/>
          </w:tcPr>
          <w:p w14:paraId="0007CAF0" w14:textId="77777777" w:rsidR="007B41D6" w:rsidRPr="00426A02" w:rsidRDefault="007B41D6" w:rsidP="00B85127">
            <w:pPr>
              <w:pStyle w:val="Tabletext"/>
              <w:jc w:val="center"/>
            </w:pPr>
            <w:r w:rsidRPr="00426A02">
              <w:t>-0.02</w:t>
            </w:r>
          </w:p>
        </w:tc>
      </w:tr>
      <w:tr w:rsidR="007B41D6" w:rsidRPr="00426A02" w14:paraId="2DC65933" w14:textId="77777777" w:rsidTr="00B85127">
        <w:trPr>
          <w:trHeight w:val="227"/>
          <w:jc w:val="center"/>
        </w:trPr>
        <w:tc>
          <w:tcPr>
            <w:tcW w:w="2268" w:type="dxa"/>
            <w:tcBorders>
              <w:top w:val="nil"/>
              <w:left w:val="nil"/>
              <w:bottom w:val="single" w:sz="4" w:space="0" w:color="FFFFFF"/>
              <w:right w:val="nil"/>
            </w:tcBorders>
            <w:shd w:val="clear" w:color="auto" w:fill="F2F2F2" w:themeFill="background1" w:themeFillShade="F2"/>
            <w:vAlign w:val="center"/>
            <w:hideMark/>
          </w:tcPr>
          <w:p w14:paraId="30B48569" w14:textId="7C35BC54" w:rsidR="007B41D6" w:rsidRPr="00426A02" w:rsidRDefault="007B41D6" w:rsidP="00B85127">
            <w:pPr>
              <w:pStyle w:val="Tabletext"/>
            </w:pPr>
            <w:r w:rsidRPr="00426A02">
              <w:t>Various other D.5 discretionary revenue measures</w:t>
            </w:r>
            <w:r w:rsidR="00D35ECD">
              <w:t xml:space="preserve"> (including the effect of the Digital Labour Card)</w:t>
            </w:r>
          </w:p>
        </w:tc>
        <w:tc>
          <w:tcPr>
            <w:tcW w:w="703" w:type="dxa"/>
            <w:tcBorders>
              <w:top w:val="nil"/>
              <w:left w:val="nil"/>
              <w:bottom w:val="single" w:sz="4" w:space="0" w:color="FFFFFF"/>
              <w:right w:val="nil"/>
            </w:tcBorders>
            <w:shd w:val="clear" w:color="auto" w:fill="F2F2F2" w:themeFill="background1" w:themeFillShade="F2"/>
            <w:vAlign w:val="center"/>
            <w:hideMark/>
          </w:tcPr>
          <w:p w14:paraId="186EEB42" w14:textId="77777777" w:rsidR="007B41D6" w:rsidRPr="00426A02" w:rsidRDefault="007B41D6" w:rsidP="00B85127">
            <w:pPr>
              <w:pStyle w:val="Tabletext"/>
              <w:jc w:val="center"/>
            </w:pPr>
            <w:r w:rsidRPr="00426A02">
              <w:t>2024</w:t>
            </w:r>
          </w:p>
        </w:tc>
        <w:tc>
          <w:tcPr>
            <w:tcW w:w="888" w:type="dxa"/>
            <w:tcBorders>
              <w:top w:val="nil"/>
              <w:left w:val="nil"/>
              <w:bottom w:val="single" w:sz="4" w:space="0" w:color="FFFFFF"/>
              <w:right w:val="nil"/>
            </w:tcBorders>
            <w:shd w:val="clear" w:color="auto" w:fill="F2F2F2" w:themeFill="background1" w:themeFillShade="F2"/>
            <w:vAlign w:val="center"/>
            <w:hideMark/>
          </w:tcPr>
          <w:p w14:paraId="7243FBD8" w14:textId="77777777" w:rsidR="007B41D6" w:rsidRPr="00426A02" w:rsidRDefault="007B41D6" w:rsidP="00B85127">
            <w:pPr>
              <w:pStyle w:val="Tabletext"/>
              <w:jc w:val="center"/>
            </w:pPr>
          </w:p>
        </w:tc>
        <w:tc>
          <w:tcPr>
            <w:tcW w:w="1403" w:type="dxa"/>
            <w:tcBorders>
              <w:top w:val="nil"/>
              <w:left w:val="nil"/>
              <w:bottom w:val="single" w:sz="4" w:space="0" w:color="FFFFFF"/>
              <w:right w:val="nil"/>
            </w:tcBorders>
            <w:shd w:val="clear" w:color="auto" w:fill="F2F2F2" w:themeFill="background1" w:themeFillShade="F2"/>
            <w:vAlign w:val="center"/>
            <w:hideMark/>
          </w:tcPr>
          <w:p w14:paraId="35218881" w14:textId="77777777" w:rsidR="007B41D6" w:rsidRPr="00426A02" w:rsidRDefault="007B41D6" w:rsidP="00B85127">
            <w:pPr>
              <w:pStyle w:val="Tabletext"/>
              <w:jc w:val="center"/>
            </w:pPr>
            <w:r w:rsidRPr="00426A02">
              <w:t>D.5</w:t>
            </w:r>
          </w:p>
        </w:tc>
        <w:tc>
          <w:tcPr>
            <w:tcW w:w="862" w:type="dxa"/>
            <w:tcBorders>
              <w:top w:val="nil"/>
              <w:left w:val="nil"/>
              <w:bottom w:val="single" w:sz="4" w:space="0" w:color="FFFFFF"/>
              <w:right w:val="nil"/>
            </w:tcBorders>
            <w:shd w:val="clear" w:color="auto" w:fill="F2F2F2" w:themeFill="background1" w:themeFillShade="F2"/>
            <w:vAlign w:val="center"/>
            <w:hideMark/>
          </w:tcPr>
          <w:p w14:paraId="627E7A3A" w14:textId="77777777" w:rsidR="007B41D6" w:rsidRPr="00426A02" w:rsidRDefault="007B41D6" w:rsidP="00B85127">
            <w:pPr>
              <w:pStyle w:val="Tabletext"/>
              <w:jc w:val="center"/>
            </w:pPr>
            <w:r w:rsidRPr="00426A02">
              <w:t>Cash</w:t>
            </w:r>
          </w:p>
        </w:tc>
        <w:tc>
          <w:tcPr>
            <w:tcW w:w="515" w:type="dxa"/>
            <w:tcBorders>
              <w:top w:val="nil"/>
              <w:left w:val="nil"/>
              <w:bottom w:val="single" w:sz="4" w:space="0" w:color="FFFFFF"/>
              <w:right w:val="nil"/>
            </w:tcBorders>
            <w:shd w:val="clear" w:color="auto" w:fill="F2F2F2" w:themeFill="background1" w:themeFillShade="F2"/>
            <w:vAlign w:val="center"/>
            <w:hideMark/>
          </w:tcPr>
          <w:p w14:paraId="2923FA35" w14:textId="77777777" w:rsidR="007B41D6" w:rsidRPr="00426A02" w:rsidRDefault="007B41D6" w:rsidP="00B85127">
            <w:pPr>
              <w:pStyle w:val="Tabletext"/>
              <w:jc w:val="center"/>
            </w:pPr>
            <w:r w:rsidRPr="00426A02">
              <w:t>Yes</w:t>
            </w:r>
          </w:p>
        </w:tc>
        <w:tc>
          <w:tcPr>
            <w:tcW w:w="795" w:type="dxa"/>
            <w:tcBorders>
              <w:top w:val="nil"/>
              <w:left w:val="nil"/>
              <w:bottom w:val="single" w:sz="4" w:space="0" w:color="FFFFFF"/>
              <w:right w:val="nil"/>
            </w:tcBorders>
            <w:shd w:val="clear" w:color="auto" w:fill="F2F2F2" w:themeFill="background1" w:themeFillShade="F2"/>
            <w:vAlign w:val="center"/>
            <w:hideMark/>
          </w:tcPr>
          <w:p w14:paraId="644295C0" w14:textId="77777777" w:rsidR="007B41D6" w:rsidRPr="00426A02" w:rsidRDefault="007B41D6" w:rsidP="00B85127">
            <w:pPr>
              <w:pStyle w:val="Tabletext"/>
              <w:jc w:val="center"/>
            </w:pPr>
            <w:r w:rsidRPr="00426A02">
              <w:t>0.18</w:t>
            </w:r>
          </w:p>
        </w:tc>
        <w:tc>
          <w:tcPr>
            <w:tcW w:w="736" w:type="dxa"/>
            <w:tcBorders>
              <w:top w:val="nil"/>
              <w:left w:val="nil"/>
              <w:bottom w:val="single" w:sz="4" w:space="0" w:color="FFFFFF"/>
              <w:right w:val="nil"/>
            </w:tcBorders>
            <w:shd w:val="clear" w:color="auto" w:fill="F2F2F2" w:themeFill="background1" w:themeFillShade="F2"/>
            <w:vAlign w:val="center"/>
            <w:hideMark/>
          </w:tcPr>
          <w:p w14:paraId="6977C010" w14:textId="77777777" w:rsidR="007B41D6" w:rsidRPr="00426A02" w:rsidRDefault="007B41D6" w:rsidP="00B85127">
            <w:pPr>
              <w:pStyle w:val="Tabletext"/>
              <w:jc w:val="center"/>
            </w:pPr>
            <w:r w:rsidRPr="00426A02">
              <w:t>0.35</w:t>
            </w:r>
          </w:p>
        </w:tc>
        <w:tc>
          <w:tcPr>
            <w:tcW w:w="716" w:type="dxa"/>
            <w:tcBorders>
              <w:top w:val="nil"/>
              <w:left w:val="nil"/>
              <w:bottom w:val="single" w:sz="4" w:space="0" w:color="FFFFFF"/>
              <w:right w:val="nil"/>
            </w:tcBorders>
            <w:shd w:val="clear" w:color="auto" w:fill="F2F2F2" w:themeFill="background1" w:themeFillShade="F2"/>
            <w:vAlign w:val="center"/>
            <w:hideMark/>
          </w:tcPr>
          <w:p w14:paraId="3210136F" w14:textId="77777777" w:rsidR="007B41D6" w:rsidRPr="00426A02" w:rsidRDefault="007B41D6" w:rsidP="00B85127">
            <w:pPr>
              <w:pStyle w:val="Tabletext"/>
              <w:jc w:val="center"/>
            </w:pPr>
            <w:r w:rsidRPr="00426A02">
              <w:t>0.20</w:t>
            </w:r>
          </w:p>
        </w:tc>
      </w:tr>
      <w:tr w:rsidR="00B85127" w:rsidRPr="00426A02" w14:paraId="7C65973F" w14:textId="77777777" w:rsidTr="00B85127">
        <w:trPr>
          <w:trHeight w:val="227"/>
          <w:jc w:val="center"/>
        </w:trPr>
        <w:tc>
          <w:tcPr>
            <w:tcW w:w="2268" w:type="dxa"/>
            <w:tcBorders>
              <w:top w:val="nil"/>
              <w:left w:val="nil"/>
              <w:bottom w:val="single" w:sz="4" w:space="0" w:color="FFFFFF"/>
              <w:right w:val="nil"/>
            </w:tcBorders>
            <w:shd w:val="clear" w:color="auto" w:fill="D9D9D9" w:themeFill="background1" w:themeFillShade="D9"/>
            <w:vAlign w:val="center"/>
            <w:hideMark/>
          </w:tcPr>
          <w:p w14:paraId="2D58C522" w14:textId="27AE1BEB" w:rsidR="007B41D6" w:rsidRPr="00426A02" w:rsidRDefault="007B41D6" w:rsidP="00B85127">
            <w:pPr>
              <w:pStyle w:val="Tabletext"/>
            </w:pPr>
            <w:r w:rsidRPr="00426A02">
              <w:t>Various other D.61 discretionary revenue measures</w:t>
            </w:r>
            <w:r w:rsidR="00D35ECD">
              <w:t xml:space="preserve"> (including the effect of the Digital Labour Card)</w:t>
            </w:r>
          </w:p>
        </w:tc>
        <w:tc>
          <w:tcPr>
            <w:tcW w:w="703" w:type="dxa"/>
            <w:tcBorders>
              <w:top w:val="nil"/>
              <w:left w:val="nil"/>
              <w:bottom w:val="single" w:sz="4" w:space="0" w:color="FFFFFF"/>
              <w:right w:val="nil"/>
            </w:tcBorders>
            <w:shd w:val="clear" w:color="auto" w:fill="D9D9D9" w:themeFill="background1" w:themeFillShade="D9"/>
            <w:vAlign w:val="center"/>
            <w:hideMark/>
          </w:tcPr>
          <w:p w14:paraId="418F6764" w14:textId="77777777" w:rsidR="007B41D6" w:rsidRPr="00426A02" w:rsidRDefault="007B41D6" w:rsidP="00B85127">
            <w:pPr>
              <w:pStyle w:val="Tabletext"/>
              <w:jc w:val="center"/>
            </w:pPr>
            <w:r w:rsidRPr="00426A02">
              <w:t>2024</w:t>
            </w:r>
          </w:p>
        </w:tc>
        <w:tc>
          <w:tcPr>
            <w:tcW w:w="888" w:type="dxa"/>
            <w:tcBorders>
              <w:top w:val="nil"/>
              <w:left w:val="nil"/>
              <w:bottom w:val="single" w:sz="4" w:space="0" w:color="FFFFFF"/>
              <w:right w:val="nil"/>
            </w:tcBorders>
            <w:shd w:val="clear" w:color="auto" w:fill="D9D9D9" w:themeFill="background1" w:themeFillShade="D9"/>
            <w:vAlign w:val="center"/>
            <w:hideMark/>
          </w:tcPr>
          <w:p w14:paraId="357E5074" w14:textId="77777777" w:rsidR="007B41D6" w:rsidRPr="00426A02" w:rsidRDefault="007B41D6" w:rsidP="00B85127">
            <w:pPr>
              <w:pStyle w:val="Tabletext"/>
              <w:jc w:val="center"/>
            </w:pPr>
          </w:p>
        </w:tc>
        <w:tc>
          <w:tcPr>
            <w:tcW w:w="1403" w:type="dxa"/>
            <w:tcBorders>
              <w:top w:val="nil"/>
              <w:left w:val="nil"/>
              <w:bottom w:val="single" w:sz="4" w:space="0" w:color="FFFFFF"/>
              <w:right w:val="nil"/>
            </w:tcBorders>
            <w:shd w:val="clear" w:color="auto" w:fill="D9D9D9" w:themeFill="background1" w:themeFillShade="D9"/>
            <w:vAlign w:val="center"/>
            <w:hideMark/>
          </w:tcPr>
          <w:p w14:paraId="49E145E9" w14:textId="77777777" w:rsidR="007B41D6" w:rsidRPr="00426A02" w:rsidRDefault="007B41D6" w:rsidP="00B85127">
            <w:pPr>
              <w:pStyle w:val="Tabletext"/>
              <w:jc w:val="center"/>
            </w:pPr>
            <w:r w:rsidRPr="00426A02">
              <w:t>D.61</w:t>
            </w:r>
          </w:p>
        </w:tc>
        <w:tc>
          <w:tcPr>
            <w:tcW w:w="862" w:type="dxa"/>
            <w:tcBorders>
              <w:top w:val="nil"/>
              <w:left w:val="nil"/>
              <w:bottom w:val="single" w:sz="4" w:space="0" w:color="FFFFFF"/>
              <w:right w:val="nil"/>
            </w:tcBorders>
            <w:shd w:val="clear" w:color="auto" w:fill="D9D9D9" w:themeFill="background1" w:themeFillShade="D9"/>
            <w:vAlign w:val="center"/>
            <w:hideMark/>
          </w:tcPr>
          <w:p w14:paraId="6243D854" w14:textId="77777777" w:rsidR="007B41D6" w:rsidRPr="00426A02" w:rsidRDefault="007B41D6" w:rsidP="00B85127">
            <w:pPr>
              <w:pStyle w:val="Tabletext"/>
              <w:jc w:val="center"/>
            </w:pPr>
            <w:r w:rsidRPr="00426A02">
              <w:t>Cash</w:t>
            </w:r>
          </w:p>
        </w:tc>
        <w:tc>
          <w:tcPr>
            <w:tcW w:w="515" w:type="dxa"/>
            <w:tcBorders>
              <w:top w:val="nil"/>
              <w:left w:val="nil"/>
              <w:bottom w:val="single" w:sz="4" w:space="0" w:color="FFFFFF"/>
              <w:right w:val="nil"/>
            </w:tcBorders>
            <w:shd w:val="clear" w:color="auto" w:fill="D9D9D9" w:themeFill="background1" w:themeFillShade="D9"/>
            <w:vAlign w:val="center"/>
            <w:hideMark/>
          </w:tcPr>
          <w:p w14:paraId="5FCF02CD" w14:textId="77777777" w:rsidR="007B41D6" w:rsidRPr="00426A02" w:rsidRDefault="007B41D6" w:rsidP="00B85127">
            <w:pPr>
              <w:pStyle w:val="Tabletext"/>
              <w:jc w:val="center"/>
            </w:pPr>
            <w:r w:rsidRPr="00426A02">
              <w:t>Yes</w:t>
            </w:r>
          </w:p>
        </w:tc>
        <w:tc>
          <w:tcPr>
            <w:tcW w:w="795" w:type="dxa"/>
            <w:tcBorders>
              <w:top w:val="nil"/>
              <w:left w:val="nil"/>
              <w:bottom w:val="single" w:sz="4" w:space="0" w:color="FFFFFF"/>
              <w:right w:val="nil"/>
            </w:tcBorders>
            <w:shd w:val="clear" w:color="auto" w:fill="D9D9D9" w:themeFill="background1" w:themeFillShade="D9"/>
            <w:vAlign w:val="center"/>
            <w:hideMark/>
          </w:tcPr>
          <w:p w14:paraId="23AB6F15" w14:textId="77777777" w:rsidR="007B41D6" w:rsidRPr="00426A02" w:rsidRDefault="007B41D6" w:rsidP="00B85127">
            <w:pPr>
              <w:pStyle w:val="Tabletext"/>
              <w:jc w:val="center"/>
            </w:pPr>
            <w:r w:rsidRPr="00426A02">
              <w:t>0.15</w:t>
            </w:r>
          </w:p>
        </w:tc>
        <w:tc>
          <w:tcPr>
            <w:tcW w:w="736" w:type="dxa"/>
            <w:tcBorders>
              <w:top w:val="nil"/>
              <w:left w:val="nil"/>
              <w:bottom w:val="single" w:sz="4" w:space="0" w:color="FFFFFF"/>
              <w:right w:val="nil"/>
            </w:tcBorders>
            <w:shd w:val="clear" w:color="auto" w:fill="D9D9D9" w:themeFill="background1" w:themeFillShade="D9"/>
            <w:vAlign w:val="center"/>
            <w:hideMark/>
          </w:tcPr>
          <w:p w14:paraId="02D12EBB" w14:textId="77777777" w:rsidR="007B41D6" w:rsidRPr="00426A02" w:rsidRDefault="007B41D6" w:rsidP="00B85127">
            <w:pPr>
              <w:pStyle w:val="Tabletext"/>
              <w:jc w:val="center"/>
            </w:pPr>
            <w:r w:rsidRPr="00426A02">
              <w:t>0.02</w:t>
            </w:r>
          </w:p>
        </w:tc>
        <w:tc>
          <w:tcPr>
            <w:tcW w:w="716" w:type="dxa"/>
            <w:tcBorders>
              <w:top w:val="nil"/>
              <w:left w:val="nil"/>
              <w:bottom w:val="single" w:sz="4" w:space="0" w:color="FFFFFF"/>
              <w:right w:val="nil"/>
            </w:tcBorders>
            <w:shd w:val="clear" w:color="auto" w:fill="D9D9D9" w:themeFill="background1" w:themeFillShade="D9"/>
            <w:vAlign w:val="center"/>
            <w:hideMark/>
          </w:tcPr>
          <w:p w14:paraId="2DFA74F5" w14:textId="77777777" w:rsidR="007B41D6" w:rsidRPr="00426A02" w:rsidRDefault="007B41D6" w:rsidP="00B85127">
            <w:pPr>
              <w:pStyle w:val="Tabletext"/>
              <w:jc w:val="center"/>
            </w:pPr>
            <w:r w:rsidRPr="00426A02">
              <w:t>0.02</w:t>
            </w:r>
          </w:p>
        </w:tc>
      </w:tr>
      <w:tr w:rsidR="007B41D6" w:rsidRPr="00426A02" w14:paraId="46E5FF55" w14:textId="77777777" w:rsidTr="00B85127">
        <w:trPr>
          <w:trHeight w:val="227"/>
          <w:jc w:val="center"/>
        </w:trPr>
        <w:tc>
          <w:tcPr>
            <w:tcW w:w="2268" w:type="dxa"/>
            <w:tcBorders>
              <w:top w:val="single" w:sz="4" w:space="0" w:color="FFFFFF"/>
              <w:left w:val="nil"/>
              <w:bottom w:val="single" w:sz="18" w:space="0" w:color="4F81BD" w:themeColor="accent1"/>
              <w:right w:val="nil"/>
            </w:tcBorders>
            <w:shd w:val="clear" w:color="auto" w:fill="F2F2F2" w:themeFill="background1" w:themeFillShade="F2"/>
            <w:vAlign w:val="center"/>
            <w:hideMark/>
          </w:tcPr>
          <w:p w14:paraId="60683E3A" w14:textId="77777777" w:rsidR="007B41D6" w:rsidRPr="00426A02" w:rsidRDefault="007B41D6" w:rsidP="00B85127">
            <w:pPr>
              <w:pStyle w:val="Tabletext"/>
            </w:pPr>
            <w:r w:rsidRPr="00426A02">
              <w:t>Various other energy-related D.2 discretionary revenue measures</w:t>
            </w:r>
          </w:p>
        </w:tc>
        <w:tc>
          <w:tcPr>
            <w:tcW w:w="703" w:type="dxa"/>
            <w:tcBorders>
              <w:top w:val="single" w:sz="4" w:space="0" w:color="FFFFFF"/>
              <w:left w:val="nil"/>
              <w:bottom w:val="single" w:sz="18" w:space="0" w:color="4F81BD" w:themeColor="accent1"/>
              <w:right w:val="nil"/>
            </w:tcBorders>
            <w:shd w:val="clear" w:color="auto" w:fill="F2F2F2" w:themeFill="background1" w:themeFillShade="F2"/>
            <w:vAlign w:val="center"/>
            <w:hideMark/>
          </w:tcPr>
          <w:p w14:paraId="1A28181B" w14:textId="77777777" w:rsidR="007B41D6" w:rsidRPr="00426A02" w:rsidRDefault="007B41D6" w:rsidP="00B85127">
            <w:pPr>
              <w:pStyle w:val="Tabletext"/>
              <w:jc w:val="center"/>
            </w:pPr>
            <w:r w:rsidRPr="00426A02">
              <w:t>2024</w:t>
            </w:r>
          </w:p>
        </w:tc>
        <w:tc>
          <w:tcPr>
            <w:tcW w:w="888" w:type="dxa"/>
            <w:tcBorders>
              <w:top w:val="single" w:sz="4" w:space="0" w:color="FFFFFF"/>
              <w:left w:val="nil"/>
              <w:bottom w:val="single" w:sz="18" w:space="0" w:color="4F81BD" w:themeColor="accent1"/>
              <w:right w:val="nil"/>
            </w:tcBorders>
            <w:shd w:val="clear" w:color="auto" w:fill="F2F2F2" w:themeFill="background1" w:themeFillShade="F2"/>
            <w:vAlign w:val="center"/>
            <w:hideMark/>
          </w:tcPr>
          <w:p w14:paraId="0F317FE8" w14:textId="77777777" w:rsidR="007B41D6" w:rsidRPr="00426A02" w:rsidRDefault="007B41D6" w:rsidP="00B85127">
            <w:pPr>
              <w:pStyle w:val="Tabletext"/>
              <w:jc w:val="center"/>
            </w:pPr>
            <w:r w:rsidRPr="00426A02">
              <w:t>#ENERGY-21</w:t>
            </w:r>
          </w:p>
        </w:tc>
        <w:tc>
          <w:tcPr>
            <w:tcW w:w="1403" w:type="dxa"/>
            <w:tcBorders>
              <w:top w:val="single" w:sz="4" w:space="0" w:color="FFFFFF"/>
              <w:left w:val="nil"/>
              <w:bottom w:val="single" w:sz="18" w:space="0" w:color="4F81BD" w:themeColor="accent1"/>
              <w:right w:val="nil"/>
            </w:tcBorders>
            <w:shd w:val="clear" w:color="auto" w:fill="F2F2F2" w:themeFill="background1" w:themeFillShade="F2"/>
            <w:vAlign w:val="center"/>
            <w:hideMark/>
          </w:tcPr>
          <w:p w14:paraId="79048E51" w14:textId="77777777" w:rsidR="007B41D6" w:rsidRPr="00426A02" w:rsidRDefault="007B41D6" w:rsidP="00B85127">
            <w:pPr>
              <w:pStyle w:val="Tabletext"/>
              <w:jc w:val="center"/>
            </w:pPr>
            <w:r w:rsidRPr="00426A02">
              <w:t>D.2</w:t>
            </w:r>
          </w:p>
        </w:tc>
        <w:tc>
          <w:tcPr>
            <w:tcW w:w="862" w:type="dxa"/>
            <w:tcBorders>
              <w:top w:val="single" w:sz="4" w:space="0" w:color="FFFFFF"/>
              <w:left w:val="nil"/>
              <w:bottom w:val="single" w:sz="18" w:space="0" w:color="4F81BD" w:themeColor="accent1"/>
              <w:right w:val="nil"/>
            </w:tcBorders>
            <w:shd w:val="clear" w:color="auto" w:fill="F2F2F2" w:themeFill="background1" w:themeFillShade="F2"/>
            <w:vAlign w:val="center"/>
            <w:hideMark/>
          </w:tcPr>
          <w:p w14:paraId="3ED4AB9E" w14:textId="77777777" w:rsidR="007B41D6" w:rsidRPr="00426A02" w:rsidRDefault="007B41D6" w:rsidP="00B85127">
            <w:pPr>
              <w:pStyle w:val="Tabletext"/>
              <w:jc w:val="center"/>
            </w:pPr>
            <w:r w:rsidRPr="00426A02">
              <w:t>Cash</w:t>
            </w:r>
          </w:p>
        </w:tc>
        <w:tc>
          <w:tcPr>
            <w:tcW w:w="515" w:type="dxa"/>
            <w:tcBorders>
              <w:top w:val="single" w:sz="4" w:space="0" w:color="FFFFFF"/>
              <w:left w:val="nil"/>
              <w:bottom w:val="single" w:sz="18" w:space="0" w:color="4F81BD" w:themeColor="accent1"/>
              <w:right w:val="nil"/>
            </w:tcBorders>
            <w:shd w:val="clear" w:color="auto" w:fill="F2F2F2" w:themeFill="background1" w:themeFillShade="F2"/>
            <w:vAlign w:val="center"/>
            <w:hideMark/>
          </w:tcPr>
          <w:p w14:paraId="7FC89F57" w14:textId="77777777" w:rsidR="007B41D6" w:rsidRPr="00426A02" w:rsidRDefault="007B41D6" w:rsidP="00B85127">
            <w:pPr>
              <w:pStyle w:val="Tabletext"/>
              <w:jc w:val="center"/>
            </w:pPr>
            <w:r w:rsidRPr="00426A02">
              <w:t>Yes</w:t>
            </w:r>
          </w:p>
        </w:tc>
        <w:tc>
          <w:tcPr>
            <w:tcW w:w="795" w:type="dxa"/>
            <w:tcBorders>
              <w:top w:val="single" w:sz="4" w:space="0" w:color="FFFFFF"/>
              <w:left w:val="nil"/>
              <w:bottom w:val="single" w:sz="18" w:space="0" w:color="4F81BD" w:themeColor="accent1"/>
              <w:right w:val="nil"/>
            </w:tcBorders>
            <w:shd w:val="clear" w:color="auto" w:fill="F2F2F2" w:themeFill="background1" w:themeFillShade="F2"/>
            <w:vAlign w:val="center"/>
            <w:hideMark/>
          </w:tcPr>
          <w:p w14:paraId="4E95CFBB" w14:textId="77777777" w:rsidR="007B41D6" w:rsidRPr="00426A02" w:rsidRDefault="007B41D6" w:rsidP="00B85127">
            <w:pPr>
              <w:pStyle w:val="Tabletext"/>
              <w:jc w:val="center"/>
            </w:pPr>
            <w:r w:rsidRPr="00426A02">
              <w:t>0.09</w:t>
            </w:r>
          </w:p>
        </w:tc>
        <w:tc>
          <w:tcPr>
            <w:tcW w:w="736" w:type="dxa"/>
            <w:tcBorders>
              <w:top w:val="single" w:sz="4" w:space="0" w:color="FFFFFF"/>
              <w:left w:val="nil"/>
              <w:bottom w:val="single" w:sz="18" w:space="0" w:color="4F81BD" w:themeColor="accent1"/>
              <w:right w:val="nil"/>
            </w:tcBorders>
            <w:shd w:val="clear" w:color="auto" w:fill="F2F2F2" w:themeFill="background1" w:themeFillShade="F2"/>
            <w:vAlign w:val="center"/>
            <w:hideMark/>
          </w:tcPr>
          <w:p w14:paraId="644F0DFA" w14:textId="77777777" w:rsidR="007B41D6" w:rsidRPr="00426A02" w:rsidRDefault="007B41D6" w:rsidP="00B85127">
            <w:pPr>
              <w:pStyle w:val="Tabletext"/>
              <w:jc w:val="center"/>
            </w:pPr>
            <w:r w:rsidRPr="00426A02">
              <w:t>-0.09</w:t>
            </w:r>
          </w:p>
        </w:tc>
        <w:tc>
          <w:tcPr>
            <w:tcW w:w="716" w:type="dxa"/>
            <w:tcBorders>
              <w:top w:val="single" w:sz="4" w:space="0" w:color="FFFFFF"/>
              <w:left w:val="nil"/>
              <w:bottom w:val="single" w:sz="18" w:space="0" w:color="4F81BD" w:themeColor="accent1"/>
              <w:right w:val="nil"/>
            </w:tcBorders>
            <w:shd w:val="clear" w:color="auto" w:fill="F2F2F2" w:themeFill="background1" w:themeFillShade="F2"/>
            <w:vAlign w:val="center"/>
            <w:hideMark/>
          </w:tcPr>
          <w:p w14:paraId="47D80FE1" w14:textId="77777777" w:rsidR="007B41D6" w:rsidRPr="00426A02" w:rsidRDefault="007B41D6" w:rsidP="00B85127">
            <w:pPr>
              <w:pStyle w:val="Tabletext"/>
              <w:jc w:val="center"/>
            </w:pPr>
            <w:r w:rsidRPr="00426A02">
              <w:t>0.00</w:t>
            </w:r>
          </w:p>
        </w:tc>
      </w:tr>
    </w:tbl>
    <w:p w14:paraId="78FA74BA" w14:textId="101FE1FE" w:rsidR="009271C8" w:rsidRDefault="005A6DDB" w:rsidP="00AF4CDD">
      <w:pPr>
        <w:pStyle w:val="Caption"/>
        <w:spacing w:after="0"/>
      </w:pPr>
      <w:bookmarkStart w:id="88" w:name="_Toc228374164"/>
      <w:r>
        <w:lastRenderedPageBreak/>
        <w:t xml:space="preserve">Table </w:t>
      </w:r>
      <w:r w:rsidR="00B6443E">
        <w:fldChar w:fldCharType="begin"/>
      </w:r>
      <w:r>
        <w:instrText xml:space="preserve"> SEQ Table \* ARABIC </w:instrText>
      </w:r>
      <w:r w:rsidR="00B6443E">
        <w:fldChar w:fldCharType="separate"/>
      </w:r>
      <w:r w:rsidR="000B61F1">
        <w:rPr>
          <w:noProof/>
        </w:rPr>
        <w:t>10</w:t>
      </w:r>
      <w:r w:rsidR="00B6443E">
        <w:fldChar w:fldCharType="end"/>
      </w:r>
      <w:r>
        <w:t xml:space="preserve"> | One-off expenditures                      </w:t>
      </w:r>
      <w:r w:rsidRPr="005A6DDB">
        <w:rPr>
          <w:b w:val="0"/>
        </w:rPr>
        <w:t>(additional budgetary impact, % of GDP)</w:t>
      </w:r>
      <w:bookmarkEnd w:id="88"/>
    </w:p>
    <w:tbl>
      <w:tblPr>
        <w:tblW w:w="8882" w:type="dxa"/>
        <w:jc w:val="center"/>
        <w:tblLook w:val="04A0" w:firstRow="1" w:lastRow="0" w:firstColumn="1" w:lastColumn="0" w:noHBand="0" w:noVBand="1"/>
      </w:tblPr>
      <w:tblGrid>
        <w:gridCol w:w="1821"/>
        <w:gridCol w:w="679"/>
        <w:gridCol w:w="545"/>
        <w:gridCol w:w="545"/>
        <w:gridCol w:w="1206"/>
        <w:gridCol w:w="582"/>
        <w:gridCol w:w="881"/>
        <w:gridCol w:w="545"/>
        <w:gridCol w:w="627"/>
        <w:gridCol w:w="755"/>
        <w:gridCol w:w="696"/>
      </w:tblGrid>
      <w:tr w:rsidR="00426A02" w:rsidRPr="00426A02" w14:paraId="747C60E8" w14:textId="77777777" w:rsidTr="00A763BC">
        <w:trPr>
          <w:trHeight w:val="1069"/>
          <w:jc w:val="center"/>
        </w:trPr>
        <w:tc>
          <w:tcPr>
            <w:tcW w:w="1821" w:type="dxa"/>
            <w:tcBorders>
              <w:top w:val="single" w:sz="4" w:space="0" w:color="FFFFFF"/>
              <w:left w:val="nil"/>
              <w:bottom w:val="single" w:sz="4" w:space="0" w:color="FFFFFF"/>
              <w:right w:val="nil"/>
            </w:tcBorders>
            <w:shd w:val="clear" w:color="000000" w:fill="BFBFBF"/>
            <w:vAlign w:val="center"/>
            <w:hideMark/>
          </w:tcPr>
          <w:p w14:paraId="3B5D044D" w14:textId="77777777" w:rsidR="00426A02" w:rsidRPr="00426A02" w:rsidRDefault="00426A02" w:rsidP="00426A02">
            <w:pPr>
              <w:spacing w:after="0" w:line="240" w:lineRule="auto"/>
              <w:jc w:val="left"/>
              <w:rPr>
                <w:rFonts w:ascii="Calibri" w:eastAsia="Times New Roman" w:hAnsi="Calibri" w:cs="Calibri"/>
                <w:b/>
                <w:bCs/>
                <w:sz w:val="22"/>
              </w:rPr>
            </w:pPr>
            <w:r w:rsidRPr="00426A02">
              <w:rPr>
                <w:rFonts w:ascii="Calibri" w:eastAsia="Times New Roman" w:hAnsi="Calibri" w:cs="Calibri"/>
                <w:b/>
                <w:bCs/>
                <w:sz w:val="22"/>
              </w:rPr>
              <w:t>Description</w:t>
            </w:r>
          </w:p>
        </w:tc>
        <w:tc>
          <w:tcPr>
            <w:tcW w:w="679" w:type="dxa"/>
            <w:tcBorders>
              <w:top w:val="single" w:sz="4" w:space="0" w:color="FFFFFF"/>
              <w:left w:val="nil"/>
              <w:bottom w:val="single" w:sz="4" w:space="0" w:color="FFFFFF"/>
              <w:right w:val="nil"/>
            </w:tcBorders>
            <w:shd w:val="clear" w:color="000000" w:fill="BFBFBF"/>
            <w:textDirection w:val="btLr"/>
            <w:vAlign w:val="center"/>
            <w:hideMark/>
          </w:tcPr>
          <w:p w14:paraId="7A7ABF3B" w14:textId="77777777" w:rsidR="00426A02" w:rsidRPr="00426A02" w:rsidRDefault="00426A02" w:rsidP="00426A02">
            <w:pPr>
              <w:spacing w:after="0" w:line="180" w:lineRule="exact"/>
              <w:jc w:val="center"/>
              <w:rPr>
                <w:rFonts w:ascii="Calibri" w:eastAsia="Times New Roman" w:hAnsi="Calibri" w:cs="Calibri"/>
                <w:b/>
                <w:bCs/>
                <w:sz w:val="22"/>
              </w:rPr>
            </w:pPr>
            <w:r w:rsidRPr="00426A02">
              <w:rPr>
                <w:rFonts w:ascii="Calibri" w:eastAsia="Times New Roman" w:hAnsi="Calibri" w:cs="Calibri"/>
                <w:b/>
                <w:bCs/>
                <w:sz w:val="22"/>
              </w:rPr>
              <w:t>First budgetary impact</w:t>
            </w:r>
          </w:p>
        </w:tc>
        <w:tc>
          <w:tcPr>
            <w:tcW w:w="545" w:type="dxa"/>
            <w:tcBorders>
              <w:top w:val="single" w:sz="4" w:space="0" w:color="FFFFFF"/>
              <w:left w:val="nil"/>
              <w:bottom w:val="single" w:sz="4" w:space="0" w:color="FFFFFF"/>
              <w:right w:val="nil"/>
            </w:tcBorders>
            <w:shd w:val="clear" w:color="000000" w:fill="BFBFBF"/>
            <w:textDirection w:val="btLr"/>
            <w:vAlign w:val="center"/>
            <w:hideMark/>
          </w:tcPr>
          <w:p w14:paraId="520742A7" w14:textId="77777777" w:rsidR="00426A02" w:rsidRPr="00426A02" w:rsidRDefault="00426A02" w:rsidP="00426A02">
            <w:pPr>
              <w:spacing w:after="0" w:line="180" w:lineRule="exact"/>
              <w:jc w:val="center"/>
              <w:rPr>
                <w:rFonts w:ascii="Calibri" w:eastAsia="Times New Roman" w:hAnsi="Calibri" w:cs="Calibri"/>
                <w:b/>
                <w:bCs/>
                <w:sz w:val="22"/>
              </w:rPr>
            </w:pPr>
            <w:r w:rsidRPr="00426A02">
              <w:rPr>
                <w:rFonts w:ascii="Calibri" w:eastAsia="Times New Roman" w:hAnsi="Calibri" w:cs="Calibri"/>
                <w:b/>
                <w:bCs/>
                <w:sz w:val="22"/>
              </w:rPr>
              <w:t>ESA</w:t>
            </w:r>
          </w:p>
        </w:tc>
        <w:tc>
          <w:tcPr>
            <w:tcW w:w="545" w:type="dxa"/>
            <w:tcBorders>
              <w:top w:val="single" w:sz="4" w:space="0" w:color="FFFFFF"/>
              <w:left w:val="nil"/>
              <w:bottom w:val="single" w:sz="4" w:space="0" w:color="FFFFFF"/>
              <w:right w:val="nil"/>
            </w:tcBorders>
            <w:shd w:val="clear" w:color="000000" w:fill="BFBFBF"/>
            <w:textDirection w:val="btLr"/>
            <w:vAlign w:val="center"/>
            <w:hideMark/>
          </w:tcPr>
          <w:p w14:paraId="7B94E332" w14:textId="77777777" w:rsidR="00426A02" w:rsidRPr="00426A02" w:rsidRDefault="00426A02" w:rsidP="00426A02">
            <w:pPr>
              <w:spacing w:after="0" w:line="180" w:lineRule="exact"/>
              <w:jc w:val="center"/>
              <w:rPr>
                <w:rFonts w:ascii="Calibri" w:eastAsia="Times New Roman" w:hAnsi="Calibri" w:cs="Calibri"/>
                <w:b/>
                <w:bCs/>
                <w:sz w:val="22"/>
              </w:rPr>
            </w:pPr>
            <w:r w:rsidRPr="00426A02">
              <w:rPr>
                <w:rFonts w:ascii="Calibri" w:eastAsia="Times New Roman" w:hAnsi="Calibri" w:cs="Calibri"/>
                <w:b/>
                <w:bCs/>
                <w:sz w:val="22"/>
              </w:rPr>
              <w:t>One-off</w:t>
            </w:r>
          </w:p>
        </w:tc>
        <w:tc>
          <w:tcPr>
            <w:tcW w:w="1206" w:type="dxa"/>
            <w:tcBorders>
              <w:top w:val="single" w:sz="4" w:space="0" w:color="FFFFFF"/>
              <w:left w:val="nil"/>
              <w:bottom w:val="single" w:sz="4" w:space="0" w:color="FFFFFF"/>
              <w:right w:val="nil"/>
            </w:tcBorders>
            <w:shd w:val="clear" w:color="000000" w:fill="BFBFBF"/>
            <w:textDirection w:val="btLr"/>
            <w:vAlign w:val="center"/>
            <w:hideMark/>
          </w:tcPr>
          <w:p w14:paraId="19DCEFE6" w14:textId="77777777" w:rsidR="00426A02" w:rsidRPr="00426A02" w:rsidRDefault="00426A02" w:rsidP="00426A02">
            <w:pPr>
              <w:spacing w:after="0" w:line="180" w:lineRule="exact"/>
              <w:jc w:val="center"/>
              <w:rPr>
                <w:rFonts w:ascii="Calibri" w:eastAsia="Times New Roman" w:hAnsi="Calibri" w:cs="Calibri"/>
                <w:b/>
                <w:bCs/>
                <w:sz w:val="22"/>
              </w:rPr>
            </w:pPr>
            <w:r w:rsidRPr="00426A02">
              <w:rPr>
                <w:rFonts w:ascii="Calibri" w:eastAsia="Times New Roman" w:hAnsi="Calibri" w:cs="Calibri"/>
                <w:b/>
                <w:bCs/>
                <w:sz w:val="22"/>
              </w:rPr>
              <w:t xml:space="preserve">One-off </w:t>
            </w:r>
            <w:proofErr w:type="spellStart"/>
            <w:r w:rsidRPr="00426A02">
              <w:rPr>
                <w:rFonts w:ascii="Calibri" w:eastAsia="Times New Roman" w:hAnsi="Calibri" w:cs="Calibri"/>
                <w:b/>
                <w:bCs/>
                <w:sz w:val="22"/>
              </w:rPr>
              <w:t>type</w:t>
            </w:r>
            <w:proofErr w:type="spellEnd"/>
          </w:p>
        </w:tc>
        <w:tc>
          <w:tcPr>
            <w:tcW w:w="582" w:type="dxa"/>
            <w:tcBorders>
              <w:top w:val="single" w:sz="4" w:space="0" w:color="FFFFFF"/>
              <w:left w:val="nil"/>
              <w:bottom w:val="single" w:sz="4" w:space="0" w:color="FFFFFF"/>
              <w:right w:val="nil"/>
            </w:tcBorders>
            <w:shd w:val="clear" w:color="000000" w:fill="BFBFBF"/>
            <w:textDirection w:val="btLr"/>
            <w:vAlign w:val="center"/>
            <w:hideMark/>
          </w:tcPr>
          <w:p w14:paraId="4BEC1269" w14:textId="77777777" w:rsidR="00426A02" w:rsidRPr="00426A02" w:rsidRDefault="00426A02" w:rsidP="00426A02">
            <w:pPr>
              <w:spacing w:after="0" w:line="180" w:lineRule="exact"/>
              <w:jc w:val="center"/>
              <w:rPr>
                <w:rFonts w:ascii="Calibri" w:eastAsia="Times New Roman" w:hAnsi="Calibri" w:cs="Calibri"/>
                <w:b/>
                <w:bCs/>
                <w:sz w:val="22"/>
              </w:rPr>
            </w:pPr>
            <w:r w:rsidRPr="00426A02">
              <w:rPr>
                <w:rFonts w:ascii="Calibri" w:eastAsia="Times New Roman" w:hAnsi="Calibri" w:cs="Calibri"/>
                <w:b/>
                <w:bCs/>
                <w:sz w:val="22"/>
              </w:rPr>
              <w:t xml:space="preserve">Funded </w:t>
            </w:r>
            <w:r>
              <w:rPr>
                <w:rFonts w:ascii="Calibri" w:eastAsia="Times New Roman" w:hAnsi="Calibri" w:cs="Calibri"/>
                <w:b/>
                <w:bCs/>
                <w:sz w:val="22"/>
              </w:rPr>
              <w:br/>
            </w:r>
            <w:r w:rsidRPr="00426A02">
              <w:rPr>
                <w:rFonts w:ascii="Calibri" w:eastAsia="Times New Roman" w:hAnsi="Calibri" w:cs="Calibri"/>
                <w:b/>
                <w:bCs/>
                <w:sz w:val="22"/>
              </w:rPr>
              <w:t>by EU</w:t>
            </w:r>
          </w:p>
        </w:tc>
        <w:tc>
          <w:tcPr>
            <w:tcW w:w="881" w:type="dxa"/>
            <w:tcBorders>
              <w:top w:val="single" w:sz="4" w:space="0" w:color="FFFFFF"/>
              <w:left w:val="nil"/>
              <w:bottom w:val="single" w:sz="4" w:space="0" w:color="FFFFFF"/>
              <w:right w:val="nil"/>
            </w:tcBorders>
            <w:shd w:val="clear" w:color="000000" w:fill="BFBFBF"/>
            <w:textDirection w:val="btLr"/>
            <w:vAlign w:val="center"/>
            <w:hideMark/>
          </w:tcPr>
          <w:p w14:paraId="3A8B2767" w14:textId="77777777" w:rsidR="00426A02" w:rsidRPr="00426A02" w:rsidRDefault="00426A02" w:rsidP="00426A02">
            <w:pPr>
              <w:spacing w:after="0" w:line="180" w:lineRule="exact"/>
              <w:jc w:val="center"/>
              <w:rPr>
                <w:rFonts w:ascii="Calibri" w:eastAsia="Times New Roman" w:hAnsi="Calibri" w:cs="Calibri"/>
                <w:b/>
                <w:bCs/>
                <w:sz w:val="22"/>
              </w:rPr>
            </w:pPr>
            <w:r w:rsidRPr="00426A02">
              <w:rPr>
                <w:rFonts w:ascii="Calibri" w:eastAsia="Times New Roman" w:hAnsi="Calibri" w:cs="Calibri"/>
                <w:b/>
                <w:bCs/>
                <w:sz w:val="22"/>
              </w:rPr>
              <w:t>Account principle</w:t>
            </w:r>
          </w:p>
        </w:tc>
        <w:tc>
          <w:tcPr>
            <w:tcW w:w="545" w:type="dxa"/>
            <w:tcBorders>
              <w:top w:val="single" w:sz="4" w:space="0" w:color="FFFFFF"/>
              <w:left w:val="nil"/>
              <w:bottom w:val="single" w:sz="4" w:space="0" w:color="FFFFFF"/>
              <w:right w:val="nil"/>
            </w:tcBorders>
            <w:shd w:val="clear" w:color="000000" w:fill="BFBFBF"/>
            <w:textDirection w:val="btLr"/>
            <w:vAlign w:val="center"/>
            <w:hideMark/>
          </w:tcPr>
          <w:p w14:paraId="07736B6B" w14:textId="77777777" w:rsidR="00426A02" w:rsidRPr="00426A02" w:rsidRDefault="00426A02" w:rsidP="00426A02">
            <w:pPr>
              <w:spacing w:after="0" w:line="180" w:lineRule="exact"/>
              <w:jc w:val="center"/>
              <w:rPr>
                <w:rFonts w:ascii="Calibri" w:eastAsia="Times New Roman" w:hAnsi="Calibri" w:cs="Calibri"/>
                <w:b/>
                <w:bCs/>
                <w:sz w:val="22"/>
              </w:rPr>
            </w:pPr>
            <w:r w:rsidRPr="00426A02">
              <w:rPr>
                <w:rFonts w:ascii="Calibri" w:eastAsia="Times New Roman" w:hAnsi="Calibri" w:cs="Calibri"/>
                <w:b/>
                <w:bCs/>
                <w:sz w:val="22"/>
              </w:rPr>
              <w:t>Already adopted</w:t>
            </w:r>
          </w:p>
        </w:tc>
        <w:tc>
          <w:tcPr>
            <w:tcW w:w="627" w:type="dxa"/>
            <w:tcBorders>
              <w:top w:val="single" w:sz="4" w:space="0" w:color="FFFFFF"/>
              <w:left w:val="nil"/>
              <w:bottom w:val="single" w:sz="4" w:space="0" w:color="FFFFFF"/>
              <w:right w:val="nil"/>
            </w:tcBorders>
            <w:shd w:val="clear" w:color="000000" w:fill="BFBFBF"/>
            <w:textDirection w:val="btLr"/>
            <w:vAlign w:val="center"/>
            <w:hideMark/>
          </w:tcPr>
          <w:p w14:paraId="71ECA8E8" w14:textId="77777777" w:rsidR="00426A02" w:rsidRPr="00426A02" w:rsidRDefault="00426A02" w:rsidP="00426A02">
            <w:pPr>
              <w:spacing w:after="0" w:line="240" w:lineRule="auto"/>
              <w:jc w:val="center"/>
              <w:rPr>
                <w:rFonts w:ascii="Calibri" w:eastAsia="Times New Roman" w:hAnsi="Calibri" w:cs="Calibri"/>
                <w:b/>
                <w:bCs/>
                <w:sz w:val="22"/>
              </w:rPr>
            </w:pPr>
            <w:r w:rsidRPr="00426A02">
              <w:rPr>
                <w:rFonts w:ascii="Calibri" w:eastAsia="Times New Roman" w:hAnsi="Calibri" w:cs="Calibri"/>
                <w:b/>
                <w:bCs/>
                <w:sz w:val="22"/>
              </w:rPr>
              <w:t>2024</w:t>
            </w:r>
          </w:p>
        </w:tc>
        <w:tc>
          <w:tcPr>
            <w:tcW w:w="755" w:type="dxa"/>
            <w:tcBorders>
              <w:top w:val="single" w:sz="4" w:space="0" w:color="FFFFFF"/>
              <w:left w:val="nil"/>
              <w:bottom w:val="single" w:sz="4" w:space="0" w:color="FFFFFF"/>
              <w:right w:val="nil"/>
            </w:tcBorders>
            <w:shd w:val="clear" w:color="000000" w:fill="BFBFBF"/>
            <w:textDirection w:val="btLr"/>
            <w:vAlign w:val="center"/>
            <w:hideMark/>
          </w:tcPr>
          <w:p w14:paraId="1F18BF99" w14:textId="77777777" w:rsidR="00426A02" w:rsidRPr="00426A02" w:rsidRDefault="00426A02" w:rsidP="00426A02">
            <w:pPr>
              <w:spacing w:after="0" w:line="240" w:lineRule="auto"/>
              <w:jc w:val="center"/>
              <w:rPr>
                <w:rFonts w:ascii="Calibri" w:eastAsia="Times New Roman" w:hAnsi="Calibri" w:cs="Calibri"/>
                <w:b/>
                <w:bCs/>
                <w:sz w:val="22"/>
              </w:rPr>
            </w:pPr>
            <w:r w:rsidRPr="00426A02">
              <w:rPr>
                <w:rFonts w:ascii="Calibri" w:eastAsia="Times New Roman" w:hAnsi="Calibri" w:cs="Calibri"/>
                <w:b/>
                <w:bCs/>
                <w:sz w:val="22"/>
              </w:rPr>
              <w:t>2025</w:t>
            </w:r>
          </w:p>
        </w:tc>
        <w:tc>
          <w:tcPr>
            <w:tcW w:w="696" w:type="dxa"/>
            <w:tcBorders>
              <w:top w:val="single" w:sz="4" w:space="0" w:color="FFFFFF"/>
              <w:left w:val="nil"/>
              <w:bottom w:val="single" w:sz="4" w:space="0" w:color="FFFFFF"/>
              <w:right w:val="nil"/>
            </w:tcBorders>
            <w:shd w:val="clear" w:color="000000" w:fill="BFBFBF"/>
            <w:textDirection w:val="btLr"/>
            <w:vAlign w:val="center"/>
            <w:hideMark/>
          </w:tcPr>
          <w:p w14:paraId="137B190A" w14:textId="77777777" w:rsidR="00426A02" w:rsidRPr="00426A02" w:rsidRDefault="00426A02" w:rsidP="00426A02">
            <w:pPr>
              <w:spacing w:after="0" w:line="240" w:lineRule="auto"/>
              <w:jc w:val="center"/>
              <w:rPr>
                <w:rFonts w:ascii="Calibri" w:eastAsia="Times New Roman" w:hAnsi="Calibri" w:cs="Calibri"/>
                <w:b/>
                <w:bCs/>
                <w:sz w:val="22"/>
              </w:rPr>
            </w:pPr>
            <w:r w:rsidRPr="00426A02">
              <w:rPr>
                <w:rFonts w:ascii="Calibri" w:eastAsia="Times New Roman" w:hAnsi="Calibri" w:cs="Calibri"/>
                <w:b/>
                <w:bCs/>
                <w:sz w:val="22"/>
              </w:rPr>
              <w:t>2026</w:t>
            </w:r>
          </w:p>
        </w:tc>
      </w:tr>
      <w:tr w:rsidR="00426A02" w:rsidRPr="00426A02" w14:paraId="6988A3A1" w14:textId="77777777" w:rsidTr="000D28EC">
        <w:trPr>
          <w:trHeight w:val="900"/>
          <w:jc w:val="center"/>
        </w:trPr>
        <w:tc>
          <w:tcPr>
            <w:tcW w:w="1821" w:type="dxa"/>
            <w:tcBorders>
              <w:top w:val="single" w:sz="4" w:space="0" w:color="FFFFFF"/>
              <w:left w:val="nil"/>
              <w:bottom w:val="single" w:sz="4" w:space="0" w:color="FFFFFF"/>
              <w:right w:val="nil"/>
            </w:tcBorders>
            <w:shd w:val="clear" w:color="auto" w:fill="F2F2F2" w:themeFill="background1" w:themeFillShade="F2"/>
            <w:vAlign w:val="center"/>
            <w:hideMark/>
          </w:tcPr>
          <w:p w14:paraId="2DD6E962" w14:textId="77777777" w:rsidR="00426A02" w:rsidRPr="00426A02" w:rsidRDefault="00426A02" w:rsidP="00426A02">
            <w:pPr>
              <w:spacing w:after="0" w:line="240" w:lineRule="auto"/>
              <w:jc w:val="left"/>
              <w:rPr>
                <w:rFonts w:ascii="Calibri" w:eastAsia="Times New Roman" w:hAnsi="Calibri" w:cs="Calibri"/>
                <w:sz w:val="22"/>
                <w:lang w:val="en-US"/>
              </w:rPr>
            </w:pPr>
            <w:r w:rsidRPr="00426A02">
              <w:rPr>
                <w:rFonts w:ascii="Calibri" w:eastAsia="Times New Roman" w:hAnsi="Calibri" w:cs="Calibri"/>
                <w:sz w:val="22"/>
                <w:lang w:val="en-US"/>
              </w:rPr>
              <w:t xml:space="preserve">State aid and compensation to farmers for Daniel storm natural disasters </w:t>
            </w:r>
          </w:p>
        </w:tc>
        <w:tc>
          <w:tcPr>
            <w:tcW w:w="679" w:type="dxa"/>
            <w:tcBorders>
              <w:top w:val="single" w:sz="4" w:space="0" w:color="FFFFFF"/>
              <w:left w:val="nil"/>
              <w:bottom w:val="single" w:sz="4" w:space="0" w:color="FFFFFF"/>
              <w:right w:val="nil"/>
            </w:tcBorders>
            <w:shd w:val="clear" w:color="auto" w:fill="F2F2F2" w:themeFill="background1" w:themeFillShade="F2"/>
            <w:vAlign w:val="center"/>
            <w:hideMark/>
          </w:tcPr>
          <w:p w14:paraId="28C41B7C" w14:textId="77777777" w:rsidR="00426A02" w:rsidRPr="00426A02" w:rsidRDefault="00426A02" w:rsidP="00426A02">
            <w:pPr>
              <w:pStyle w:val="Tabletext"/>
              <w:jc w:val="center"/>
            </w:pPr>
            <w:r w:rsidRPr="00426A02">
              <w:t>2024</w:t>
            </w:r>
          </w:p>
        </w:tc>
        <w:tc>
          <w:tcPr>
            <w:tcW w:w="545" w:type="dxa"/>
            <w:tcBorders>
              <w:top w:val="single" w:sz="4" w:space="0" w:color="FFFFFF"/>
              <w:left w:val="nil"/>
              <w:bottom w:val="single" w:sz="4" w:space="0" w:color="FFFFFF"/>
              <w:right w:val="nil"/>
            </w:tcBorders>
            <w:shd w:val="clear" w:color="auto" w:fill="F2F2F2" w:themeFill="background1" w:themeFillShade="F2"/>
            <w:vAlign w:val="center"/>
            <w:hideMark/>
          </w:tcPr>
          <w:p w14:paraId="065F3772" w14:textId="77777777" w:rsidR="00426A02" w:rsidRPr="00426A02" w:rsidRDefault="00426A02" w:rsidP="00426A02">
            <w:pPr>
              <w:pStyle w:val="Tabletext"/>
              <w:jc w:val="center"/>
            </w:pPr>
            <w:r w:rsidRPr="00426A02">
              <w:t>D.9</w:t>
            </w:r>
          </w:p>
        </w:tc>
        <w:tc>
          <w:tcPr>
            <w:tcW w:w="545" w:type="dxa"/>
            <w:tcBorders>
              <w:top w:val="single" w:sz="4" w:space="0" w:color="FFFFFF"/>
              <w:left w:val="nil"/>
              <w:bottom w:val="single" w:sz="4" w:space="0" w:color="FFFFFF"/>
              <w:right w:val="nil"/>
            </w:tcBorders>
            <w:shd w:val="clear" w:color="auto" w:fill="F2F2F2" w:themeFill="background1" w:themeFillShade="F2"/>
            <w:vAlign w:val="center"/>
            <w:hideMark/>
          </w:tcPr>
          <w:p w14:paraId="0DDECA43" w14:textId="77777777" w:rsidR="00426A02" w:rsidRPr="00426A02" w:rsidRDefault="00426A02" w:rsidP="00426A02">
            <w:pPr>
              <w:pStyle w:val="Tabletext"/>
              <w:jc w:val="center"/>
            </w:pPr>
            <w:r w:rsidRPr="00426A02">
              <w:t>Yes</w:t>
            </w:r>
          </w:p>
        </w:tc>
        <w:tc>
          <w:tcPr>
            <w:tcW w:w="1206" w:type="dxa"/>
            <w:tcBorders>
              <w:top w:val="single" w:sz="4" w:space="0" w:color="FFFFFF"/>
              <w:left w:val="nil"/>
              <w:bottom w:val="single" w:sz="4" w:space="0" w:color="FFFFFF"/>
              <w:right w:val="nil"/>
            </w:tcBorders>
            <w:shd w:val="clear" w:color="auto" w:fill="F2F2F2" w:themeFill="background1" w:themeFillShade="F2"/>
            <w:vAlign w:val="center"/>
            <w:hideMark/>
          </w:tcPr>
          <w:p w14:paraId="37022882" w14:textId="77777777" w:rsidR="00426A02" w:rsidRPr="00426A02" w:rsidRDefault="00426A02" w:rsidP="00426A02">
            <w:pPr>
              <w:pStyle w:val="Tabletext"/>
              <w:jc w:val="center"/>
            </w:pPr>
            <w:r w:rsidRPr="00426A02">
              <w:t>Short-term emergency costs</w:t>
            </w:r>
          </w:p>
        </w:tc>
        <w:tc>
          <w:tcPr>
            <w:tcW w:w="582" w:type="dxa"/>
            <w:tcBorders>
              <w:top w:val="single" w:sz="4" w:space="0" w:color="FFFFFF"/>
              <w:left w:val="nil"/>
              <w:bottom w:val="single" w:sz="4" w:space="0" w:color="FFFFFF"/>
              <w:right w:val="nil"/>
            </w:tcBorders>
            <w:shd w:val="clear" w:color="auto" w:fill="F2F2F2" w:themeFill="background1" w:themeFillShade="F2"/>
            <w:vAlign w:val="center"/>
            <w:hideMark/>
          </w:tcPr>
          <w:p w14:paraId="68D8D798" w14:textId="77777777" w:rsidR="00426A02" w:rsidRPr="00426A02" w:rsidRDefault="00426A02" w:rsidP="00426A02">
            <w:pPr>
              <w:pStyle w:val="Tabletext"/>
              <w:jc w:val="center"/>
            </w:pPr>
            <w:r w:rsidRPr="00426A02">
              <w:t>No</w:t>
            </w:r>
          </w:p>
        </w:tc>
        <w:tc>
          <w:tcPr>
            <w:tcW w:w="881" w:type="dxa"/>
            <w:tcBorders>
              <w:top w:val="single" w:sz="4" w:space="0" w:color="FFFFFF"/>
              <w:left w:val="nil"/>
              <w:bottom w:val="single" w:sz="4" w:space="0" w:color="FFFFFF"/>
              <w:right w:val="nil"/>
            </w:tcBorders>
            <w:shd w:val="clear" w:color="auto" w:fill="F2F2F2" w:themeFill="background1" w:themeFillShade="F2"/>
            <w:vAlign w:val="center"/>
            <w:hideMark/>
          </w:tcPr>
          <w:p w14:paraId="61D3D049" w14:textId="77777777" w:rsidR="00426A02" w:rsidRPr="00426A02" w:rsidRDefault="00426A02" w:rsidP="00426A02">
            <w:pPr>
              <w:pStyle w:val="Tabletext"/>
              <w:jc w:val="center"/>
            </w:pPr>
            <w:r w:rsidRPr="00426A02">
              <w:t>Cash</w:t>
            </w:r>
          </w:p>
        </w:tc>
        <w:tc>
          <w:tcPr>
            <w:tcW w:w="545" w:type="dxa"/>
            <w:tcBorders>
              <w:top w:val="single" w:sz="4" w:space="0" w:color="FFFFFF"/>
              <w:left w:val="nil"/>
              <w:bottom w:val="single" w:sz="4" w:space="0" w:color="FFFFFF"/>
              <w:right w:val="nil"/>
            </w:tcBorders>
            <w:shd w:val="clear" w:color="auto" w:fill="F2F2F2" w:themeFill="background1" w:themeFillShade="F2"/>
            <w:vAlign w:val="center"/>
            <w:hideMark/>
          </w:tcPr>
          <w:p w14:paraId="15EA7A35" w14:textId="77777777" w:rsidR="00426A02" w:rsidRPr="00426A02" w:rsidRDefault="00426A02" w:rsidP="00426A02">
            <w:pPr>
              <w:pStyle w:val="Tabletext"/>
              <w:jc w:val="center"/>
            </w:pPr>
            <w:r w:rsidRPr="00426A02">
              <w:t>Yes</w:t>
            </w:r>
          </w:p>
        </w:tc>
        <w:tc>
          <w:tcPr>
            <w:tcW w:w="627" w:type="dxa"/>
            <w:tcBorders>
              <w:top w:val="single" w:sz="4" w:space="0" w:color="FFFFFF"/>
              <w:left w:val="nil"/>
              <w:bottom w:val="single" w:sz="4" w:space="0" w:color="FFFFFF"/>
              <w:right w:val="nil"/>
            </w:tcBorders>
            <w:shd w:val="clear" w:color="auto" w:fill="F2F2F2" w:themeFill="background1" w:themeFillShade="F2"/>
            <w:vAlign w:val="center"/>
            <w:hideMark/>
          </w:tcPr>
          <w:p w14:paraId="5F5EF621" w14:textId="77777777" w:rsidR="00426A02" w:rsidRPr="00426A02" w:rsidRDefault="00426A02" w:rsidP="00426A02">
            <w:pPr>
              <w:pStyle w:val="Tabletext"/>
              <w:jc w:val="center"/>
            </w:pPr>
            <w:r w:rsidRPr="00426A02">
              <w:t>0.17</w:t>
            </w:r>
          </w:p>
        </w:tc>
        <w:tc>
          <w:tcPr>
            <w:tcW w:w="755" w:type="dxa"/>
            <w:tcBorders>
              <w:top w:val="single" w:sz="4" w:space="0" w:color="FFFFFF"/>
              <w:left w:val="nil"/>
              <w:bottom w:val="single" w:sz="4" w:space="0" w:color="FFFFFF"/>
              <w:right w:val="nil"/>
            </w:tcBorders>
            <w:shd w:val="clear" w:color="auto" w:fill="F2F2F2" w:themeFill="background1" w:themeFillShade="F2"/>
            <w:vAlign w:val="center"/>
            <w:hideMark/>
          </w:tcPr>
          <w:p w14:paraId="591536A4" w14:textId="77777777" w:rsidR="00426A02" w:rsidRPr="00426A02" w:rsidRDefault="00426A02" w:rsidP="00426A02">
            <w:pPr>
              <w:pStyle w:val="Tabletext"/>
              <w:jc w:val="center"/>
            </w:pPr>
            <w:r w:rsidRPr="00426A02">
              <w:t>-0.13</w:t>
            </w:r>
          </w:p>
        </w:tc>
        <w:tc>
          <w:tcPr>
            <w:tcW w:w="696" w:type="dxa"/>
            <w:tcBorders>
              <w:top w:val="single" w:sz="4" w:space="0" w:color="FFFFFF"/>
              <w:left w:val="nil"/>
              <w:bottom w:val="single" w:sz="4" w:space="0" w:color="FFFFFF"/>
              <w:right w:val="nil"/>
            </w:tcBorders>
            <w:shd w:val="clear" w:color="auto" w:fill="F2F2F2" w:themeFill="background1" w:themeFillShade="F2"/>
            <w:vAlign w:val="center"/>
            <w:hideMark/>
          </w:tcPr>
          <w:p w14:paraId="1DDE0593" w14:textId="77777777" w:rsidR="00426A02" w:rsidRPr="00426A02" w:rsidRDefault="00426A02" w:rsidP="00426A02">
            <w:pPr>
              <w:pStyle w:val="Tabletext"/>
              <w:jc w:val="center"/>
            </w:pPr>
            <w:r w:rsidRPr="00426A02">
              <w:t>-0.03</w:t>
            </w:r>
          </w:p>
        </w:tc>
      </w:tr>
      <w:tr w:rsidR="00C84317" w:rsidRPr="00426A02" w14:paraId="1C95FCD1" w14:textId="77777777" w:rsidTr="00A763BC">
        <w:trPr>
          <w:trHeight w:val="900"/>
          <w:jc w:val="center"/>
        </w:trPr>
        <w:tc>
          <w:tcPr>
            <w:tcW w:w="1821" w:type="dxa"/>
            <w:tcBorders>
              <w:top w:val="single" w:sz="4" w:space="0" w:color="FFFFFF"/>
              <w:left w:val="nil"/>
              <w:bottom w:val="single" w:sz="18" w:space="0" w:color="4F81BD" w:themeColor="accent1"/>
              <w:right w:val="nil"/>
            </w:tcBorders>
            <w:shd w:val="clear" w:color="000000" w:fill="D9D9D9"/>
            <w:vAlign w:val="center"/>
          </w:tcPr>
          <w:p w14:paraId="6775630D" w14:textId="5B1A3EA4" w:rsidR="00C84317" w:rsidRPr="00426A02" w:rsidRDefault="00C84317" w:rsidP="00C84317">
            <w:pPr>
              <w:spacing w:after="0" w:line="240" w:lineRule="auto"/>
              <w:jc w:val="left"/>
              <w:rPr>
                <w:rFonts w:ascii="Calibri" w:eastAsia="Times New Roman" w:hAnsi="Calibri" w:cs="Calibri"/>
                <w:sz w:val="22"/>
                <w:lang w:val="en-US"/>
              </w:rPr>
            </w:pPr>
            <w:r w:rsidRPr="00426A02">
              <w:rPr>
                <w:rFonts w:ascii="Calibri" w:eastAsia="Times New Roman" w:hAnsi="Calibri" w:cs="Calibri"/>
                <w:sz w:val="22"/>
                <w:lang w:val="en-US"/>
              </w:rPr>
              <w:t>Decision regarding disallowances and penalties</w:t>
            </w:r>
          </w:p>
        </w:tc>
        <w:tc>
          <w:tcPr>
            <w:tcW w:w="679" w:type="dxa"/>
            <w:tcBorders>
              <w:top w:val="single" w:sz="4" w:space="0" w:color="FFFFFF"/>
              <w:left w:val="nil"/>
              <w:bottom w:val="single" w:sz="18" w:space="0" w:color="4F81BD" w:themeColor="accent1"/>
              <w:right w:val="nil"/>
            </w:tcBorders>
            <w:shd w:val="clear" w:color="000000" w:fill="D9D9D9"/>
            <w:vAlign w:val="center"/>
          </w:tcPr>
          <w:p w14:paraId="1D65CF55" w14:textId="18E1FE82" w:rsidR="00C84317" w:rsidRPr="00426A02" w:rsidRDefault="00C84317" w:rsidP="00C84317">
            <w:pPr>
              <w:pStyle w:val="Tabletext"/>
              <w:jc w:val="center"/>
            </w:pPr>
            <w:r w:rsidRPr="00426A02">
              <w:t>2025</w:t>
            </w:r>
          </w:p>
        </w:tc>
        <w:tc>
          <w:tcPr>
            <w:tcW w:w="545" w:type="dxa"/>
            <w:tcBorders>
              <w:top w:val="single" w:sz="4" w:space="0" w:color="FFFFFF"/>
              <w:left w:val="nil"/>
              <w:bottom w:val="single" w:sz="18" w:space="0" w:color="4F81BD" w:themeColor="accent1"/>
              <w:right w:val="nil"/>
            </w:tcBorders>
            <w:shd w:val="clear" w:color="000000" w:fill="D9D9D9"/>
            <w:vAlign w:val="center"/>
          </w:tcPr>
          <w:p w14:paraId="65CF9FAE" w14:textId="30ED8E67" w:rsidR="00C84317" w:rsidRPr="00426A02" w:rsidRDefault="00C84317" w:rsidP="00C84317">
            <w:pPr>
              <w:pStyle w:val="Tabletext"/>
              <w:jc w:val="center"/>
            </w:pPr>
            <w:r w:rsidRPr="00426A02">
              <w:t>D.9</w:t>
            </w:r>
          </w:p>
        </w:tc>
        <w:tc>
          <w:tcPr>
            <w:tcW w:w="545" w:type="dxa"/>
            <w:tcBorders>
              <w:top w:val="single" w:sz="4" w:space="0" w:color="FFFFFF"/>
              <w:left w:val="nil"/>
              <w:bottom w:val="single" w:sz="18" w:space="0" w:color="4F81BD" w:themeColor="accent1"/>
              <w:right w:val="nil"/>
            </w:tcBorders>
            <w:shd w:val="clear" w:color="000000" w:fill="D9D9D9"/>
            <w:vAlign w:val="center"/>
          </w:tcPr>
          <w:p w14:paraId="692DD211" w14:textId="247CE2B5" w:rsidR="00C84317" w:rsidRPr="00426A02" w:rsidRDefault="00C84317" w:rsidP="00C84317">
            <w:pPr>
              <w:pStyle w:val="Tabletext"/>
              <w:jc w:val="center"/>
            </w:pPr>
            <w:r w:rsidRPr="00426A02">
              <w:t>Yes</w:t>
            </w:r>
          </w:p>
        </w:tc>
        <w:tc>
          <w:tcPr>
            <w:tcW w:w="1206" w:type="dxa"/>
            <w:tcBorders>
              <w:top w:val="single" w:sz="4" w:space="0" w:color="FFFFFF"/>
              <w:left w:val="nil"/>
              <w:bottom w:val="single" w:sz="18" w:space="0" w:color="4F81BD" w:themeColor="accent1"/>
              <w:right w:val="nil"/>
            </w:tcBorders>
            <w:shd w:val="clear" w:color="000000" w:fill="D9D9D9"/>
            <w:vAlign w:val="center"/>
          </w:tcPr>
          <w:p w14:paraId="1DE0B9AF" w14:textId="6611F2B3" w:rsidR="00C84317" w:rsidRPr="00426A02" w:rsidRDefault="00C84317" w:rsidP="00C84317">
            <w:pPr>
              <w:pStyle w:val="Tabletext"/>
              <w:jc w:val="center"/>
            </w:pPr>
            <w:r w:rsidRPr="00426A02">
              <w:t>Other</w:t>
            </w:r>
          </w:p>
        </w:tc>
        <w:tc>
          <w:tcPr>
            <w:tcW w:w="582" w:type="dxa"/>
            <w:tcBorders>
              <w:top w:val="single" w:sz="4" w:space="0" w:color="FFFFFF"/>
              <w:left w:val="nil"/>
              <w:bottom w:val="single" w:sz="18" w:space="0" w:color="4F81BD" w:themeColor="accent1"/>
              <w:right w:val="nil"/>
            </w:tcBorders>
            <w:shd w:val="clear" w:color="000000" w:fill="D9D9D9"/>
            <w:vAlign w:val="center"/>
          </w:tcPr>
          <w:p w14:paraId="51402A71" w14:textId="599898AA" w:rsidR="00C84317" w:rsidRPr="00426A02" w:rsidRDefault="00C84317" w:rsidP="00C84317">
            <w:pPr>
              <w:pStyle w:val="Tabletext"/>
              <w:jc w:val="center"/>
            </w:pPr>
            <w:r w:rsidRPr="00426A02">
              <w:t>No</w:t>
            </w:r>
          </w:p>
        </w:tc>
        <w:tc>
          <w:tcPr>
            <w:tcW w:w="881" w:type="dxa"/>
            <w:tcBorders>
              <w:top w:val="single" w:sz="4" w:space="0" w:color="FFFFFF"/>
              <w:left w:val="nil"/>
              <w:bottom w:val="single" w:sz="18" w:space="0" w:color="4F81BD" w:themeColor="accent1"/>
              <w:right w:val="nil"/>
            </w:tcBorders>
            <w:shd w:val="clear" w:color="000000" w:fill="D9D9D9"/>
            <w:vAlign w:val="center"/>
          </w:tcPr>
          <w:p w14:paraId="25A90FE9" w14:textId="4E259137" w:rsidR="00C84317" w:rsidRPr="00426A02" w:rsidRDefault="00C84317" w:rsidP="00C84317">
            <w:pPr>
              <w:pStyle w:val="Tabletext"/>
              <w:jc w:val="center"/>
            </w:pPr>
            <w:r w:rsidRPr="00426A02">
              <w:t>Accrual</w:t>
            </w:r>
          </w:p>
        </w:tc>
        <w:tc>
          <w:tcPr>
            <w:tcW w:w="545" w:type="dxa"/>
            <w:tcBorders>
              <w:top w:val="single" w:sz="4" w:space="0" w:color="FFFFFF"/>
              <w:left w:val="nil"/>
              <w:bottom w:val="single" w:sz="18" w:space="0" w:color="4F81BD" w:themeColor="accent1"/>
              <w:right w:val="nil"/>
            </w:tcBorders>
            <w:shd w:val="clear" w:color="000000" w:fill="D9D9D9"/>
            <w:vAlign w:val="center"/>
          </w:tcPr>
          <w:p w14:paraId="61D435D5" w14:textId="1240D48F" w:rsidR="00C84317" w:rsidRPr="00426A02" w:rsidRDefault="00C84317" w:rsidP="00C84317">
            <w:pPr>
              <w:pStyle w:val="Tabletext"/>
              <w:jc w:val="center"/>
            </w:pPr>
            <w:r w:rsidRPr="00426A02">
              <w:t>Yes</w:t>
            </w:r>
          </w:p>
        </w:tc>
        <w:tc>
          <w:tcPr>
            <w:tcW w:w="627" w:type="dxa"/>
            <w:tcBorders>
              <w:top w:val="single" w:sz="4" w:space="0" w:color="FFFFFF"/>
              <w:left w:val="nil"/>
              <w:bottom w:val="single" w:sz="18" w:space="0" w:color="4F81BD" w:themeColor="accent1"/>
              <w:right w:val="nil"/>
            </w:tcBorders>
            <w:shd w:val="clear" w:color="000000" w:fill="D9D9D9"/>
            <w:vAlign w:val="center"/>
          </w:tcPr>
          <w:p w14:paraId="25222491" w14:textId="5C2722CD" w:rsidR="00C84317" w:rsidRPr="00426A02" w:rsidRDefault="00C84317" w:rsidP="00C84317">
            <w:pPr>
              <w:pStyle w:val="Tabletext"/>
              <w:jc w:val="center"/>
            </w:pPr>
            <w:r w:rsidRPr="00426A02">
              <w:t>0.00</w:t>
            </w:r>
          </w:p>
        </w:tc>
        <w:tc>
          <w:tcPr>
            <w:tcW w:w="755" w:type="dxa"/>
            <w:tcBorders>
              <w:top w:val="single" w:sz="4" w:space="0" w:color="FFFFFF"/>
              <w:left w:val="nil"/>
              <w:bottom w:val="single" w:sz="18" w:space="0" w:color="4F81BD" w:themeColor="accent1"/>
              <w:right w:val="nil"/>
            </w:tcBorders>
            <w:shd w:val="clear" w:color="000000" w:fill="D9D9D9"/>
            <w:vAlign w:val="center"/>
          </w:tcPr>
          <w:p w14:paraId="29E18FA4" w14:textId="646EFCCB" w:rsidR="00C84317" w:rsidRPr="00426A02" w:rsidRDefault="00C84317" w:rsidP="00C84317">
            <w:pPr>
              <w:pStyle w:val="Tabletext"/>
              <w:jc w:val="center"/>
            </w:pPr>
            <w:r w:rsidRPr="00426A02">
              <w:t>0.12</w:t>
            </w:r>
          </w:p>
        </w:tc>
        <w:tc>
          <w:tcPr>
            <w:tcW w:w="696" w:type="dxa"/>
            <w:tcBorders>
              <w:top w:val="single" w:sz="4" w:space="0" w:color="FFFFFF"/>
              <w:left w:val="nil"/>
              <w:bottom w:val="single" w:sz="18" w:space="0" w:color="4F81BD" w:themeColor="accent1"/>
              <w:right w:val="nil"/>
            </w:tcBorders>
            <w:shd w:val="clear" w:color="000000" w:fill="D9D9D9"/>
            <w:vAlign w:val="center"/>
          </w:tcPr>
          <w:p w14:paraId="4D504C90" w14:textId="10E4EE49" w:rsidR="00C84317" w:rsidRPr="00426A02" w:rsidRDefault="00C84317" w:rsidP="00C84317">
            <w:pPr>
              <w:pStyle w:val="Tabletext"/>
              <w:jc w:val="center"/>
            </w:pPr>
            <w:r w:rsidRPr="00426A02">
              <w:t>-0.11</w:t>
            </w:r>
          </w:p>
        </w:tc>
      </w:tr>
    </w:tbl>
    <w:p w14:paraId="39FA3F6A" w14:textId="77777777" w:rsidR="009271C8" w:rsidRPr="009271C8" w:rsidRDefault="009271C8" w:rsidP="009271C8">
      <w:pPr>
        <w:rPr>
          <w:lang w:val="en-US"/>
        </w:rPr>
      </w:pPr>
    </w:p>
    <w:p w14:paraId="505F9CE0" w14:textId="77777777" w:rsidR="00B02257" w:rsidRPr="009A51AC" w:rsidRDefault="00C76181" w:rsidP="009B381B">
      <w:pPr>
        <w:pStyle w:val="Heading1"/>
        <w:rPr>
          <w:spacing w:val="-20"/>
          <w:w w:val="95"/>
          <w:highlight w:val="yellow"/>
          <w:lang w:val="en-US"/>
        </w:rPr>
      </w:pPr>
      <w:r w:rsidRPr="009A51AC">
        <w:rPr>
          <w:lang w:val="en-US"/>
        </w:rPr>
        <w:br w:type="page"/>
      </w:r>
      <w:bookmarkStart w:id="89" w:name="_Toc228279106"/>
      <w:r w:rsidR="00CA6A40" w:rsidRPr="009A51AC">
        <w:rPr>
          <w:spacing w:val="-20"/>
          <w:w w:val="95"/>
          <w:lang w:val="en-US"/>
        </w:rPr>
        <w:lastRenderedPageBreak/>
        <w:t>A</w:t>
      </w:r>
      <w:r w:rsidR="00C3562C" w:rsidRPr="009A51AC">
        <w:rPr>
          <w:spacing w:val="-20"/>
          <w:w w:val="95"/>
          <w:lang w:val="en-US"/>
        </w:rPr>
        <w:t xml:space="preserve">nnex II: </w:t>
      </w:r>
      <w:r w:rsidR="003A642C" w:rsidRPr="009A51AC">
        <w:rPr>
          <w:spacing w:val="-20"/>
          <w:w w:val="95"/>
          <w:lang w:val="en-US"/>
        </w:rPr>
        <w:t>Report on National Energy and Climate Plan</w:t>
      </w:r>
      <w:bookmarkEnd w:id="89"/>
    </w:p>
    <w:p w14:paraId="7F120F45" w14:textId="77777777" w:rsidR="00A557BE" w:rsidRPr="00710271" w:rsidRDefault="00A557BE" w:rsidP="00A557BE">
      <w:pPr>
        <w:rPr>
          <w:strike/>
          <w:sz w:val="22"/>
          <w:lang w:val="en-US"/>
        </w:rPr>
      </w:pPr>
      <w:bookmarkStart w:id="90" w:name="_Hlk228195289"/>
      <w:r w:rsidRPr="00710271">
        <w:rPr>
          <w:lang w:val="en-US"/>
        </w:rPr>
        <w:t>Regarding Greece’s action taken under the five Energy Union dimensions (decarbonisation, energy efficiency, energy security, internal energy market &amp;  research, innovation, and competitiveness)</w:t>
      </w:r>
      <w:r>
        <w:rPr>
          <w:lang w:val="en-US"/>
        </w:rPr>
        <w:t xml:space="preserve"> </w:t>
      </w:r>
      <w:r w:rsidRPr="00710271">
        <w:rPr>
          <w:lang w:val="en-US"/>
        </w:rPr>
        <w:t xml:space="preserve">— an overview is provided below.  </w:t>
      </w:r>
    </w:p>
    <w:p w14:paraId="72E0B85C" w14:textId="77777777" w:rsidR="00A557BE" w:rsidRPr="000D28EC" w:rsidRDefault="00A557BE" w:rsidP="00A557BE">
      <w:pPr>
        <w:pStyle w:val="ListParagraph"/>
        <w:numPr>
          <w:ilvl w:val="2"/>
          <w:numId w:val="42"/>
        </w:numPr>
        <w:ind w:left="284" w:hanging="284"/>
        <w:rPr>
          <w:b/>
          <w:color w:val="1F497D" w:themeColor="text2"/>
        </w:rPr>
      </w:pPr>
      <w:proofErr w:type="spellStart"/>
      <w:r w:rsidRPr="000D28EC">
        <w:rPr>
          <w:b/>
          <w:color w:val="1F497D" w:themeColor="text2"/>
        </w:rPr>
        <w:t>Decarbonization</w:t>
      </w:r>
      <w:proofErr w:type="spellEnd"/>
      <w:r w:rsidRPr="000D28EC">
        <w:rPr>
          <w:b/>
          <w:color w:val="1F497D" w:themeColor="text2"/>
        </w:rPr>
        <w:t xml:space="preserve"> </w:t>
      </w:r>
    </w:p>
    <w:p w14:paraId="320D89A6" w14:textId="77777777" w:rsidR="00A557BE" w:rsidRPr="00710271" w:rsidRDefault="00A557BE" w:rsidP="00A557BE">
      <w:pPr>
        <w:rPr>
          <w:lang w:val="en-US"/>
        </w:rPr>
      </w:pPr>
      <w:r w:rsidRPr="00710271">
        <w:rPr>
          <w:lang w:val="en-US"/>
        </w:rPr>
        <w:t>Greece is actively advancing its decarbonization strategy, aiming for climate neutrality by 2050. This commitment is outlined in its updated National Energy and Climate Plan (NECP), which sets ambitious targets for reducing greenhouse gas emissions and increasing renewable energy usage. In order to achieve the future targets for carbon neutrality, Greece utilizes available funding tools and sources (RRF, Decarbonisation Fund).</w:t>
      </w:r>
    </w:p>
    <w:p w14:paraId="4C667241" w14:textId="77777777" w:rsidR="00A557BE" w:rsidRPr="00710271" w:rsidRDefault="00A557BE" w:rsidP="00A557BE">
      <w:pPr>
        <w:rPr>
          <w:lang w:val="en-US"/>
        </w:rPr>
      </w:pPr>
      <w:r w:rsidRPr="00710271">
        <w:rPr>
          <w:lang w:val="en-US"/>
        </w:rPr>
        <w:t xml:space="preserve">Key decarbonization targets include Renewable Energy Integration, Energy Efficiency and Infrastructure, the Islands’ Decarbonization and GHG emissions reduction. </w:t>
      </w:r>
    </w:p>
    <w:p w14:paraId="113A165C" w14:textId="77777777" w:rsidR="00A557BE" w:rsidRPr="00710271" w:rsidRDefault="00A557BE" w:rsidP="00A557BE">
      <w:pPr>
        <w:pStyle w:val="ListParagraph"/>
        <w:numPr>
          <w:ilvl w:val="0"/>
          <w:numId w:val="49"/>
        </w:numPr>
        <w:spacing w:after="0"/>
        <w:ind w:left="714" w:hanging="357"/>
      </w:pPr>
      <w:proofErr w:type="spellStart"/>
      <w:r w:rsidRPr="00710271">
        <w:t>Renewable</w:t>
      </w:r>
      <w:proofErr w:type="spellEnd"/>
      <w:r w:rsidRPr="00710271">
        <w:t xml:space="preserve"> Energy </w:t>
      </w:r>
      <w:proofErr w:type="spellStart"/>
      <w:r w:rsidRPr="00710271">
        <w:t>Deployment</w:t>
      </w:r>
      <w:proofErr w:type="spellEnd"/>
      <w:r w:rsidRPr="00710271">
        <w:t xml:space="preserve"> </w:t>
      </w:r>
    </w:p>
    <w:p w14:paraId="7C788CBA" w14:textId="77777777" w:rsidR="00A557BE" w:rsidRPr="00710271" w:rsidRDefault="00A557BE" w:rsidP="00A557BE">
      <w:pPr>
        <w:spacing w:after="0"/>
        <w:rPr>
          <w:lang w:val="en-US"/>
        </w:rPr>
      </w:pPr>
      <w:r w:rsidRPr="00710271">
        <w:rPr>
          <w:lang w:val="en-US"/>
        </w:rPr>
        <w:t xml:space="preserve">A large number of projects and reforms are currently being implemented in this scope, mainly in the context of RRF and/or the REPOWER EU chapter. </w:t>
      </w:r>
    </w:p>
    <w:p w14:paraId="37BBBC73" w14:textId="77777777" w:rsidR="00A557BE" w:rsidRPr="00710271" w:rsidRDefault="00A557BE" w:rsidP="00A557BE">
      <w:pPr>
        <w:spacing w:after="0"/>
        <w:rPr>
          <w:i/>
          <w:iCs/>
          <w:lang w:val="en-US"/>
        </w:rPr>
      </w:pPr>
      <w:r w:rsidRPr="00710271">
        <w:rPr>
          <w:i/>
          <w:iCs/>
          <w:lang w:val="en-US"/>
        </w:rPr>
        <w:t>*</w:t>
      </w:r>
      <w:r w:rsidRPr="00710271">
        <w:rPr>
          <w:lang w:val="en-US"/>
        </w:rPr>
        <w:t xml:space="preserve"> </w:t>
      </w:r>
      <w:r w:rsidRPr="00710271">
        <w:rPr>
          <w:i/>
          <w:iCs/>
          <w:lang w:val="en-US"/>
        </w:rPr>
        <w:t>For more information see also the relevant paragraph in the “Annex Table 4 Reporting on SDGs 2026” file</w:t>
      </w:r>
      <w:r>
        <w:rPr>
          <w:i/>
          <w:iCs/>
          <w:lang w:val="en-US"/>
        </w:rPr>
        <w:t>.</w:t>
      </w:r>
    </w:p>
    <w:p w14:paraId="38394B70" w14:textId="77777777" w:rsidR="00A557BE" w:rsidRPr="00710271" w:rsidRDefault="00A557BE" w:rsidP="00A557BE">
      <w:pPr>
        <w:spacing w:after="0"/>
        <w:rPr>
          <w:lang w:val="en-US"/>
        </w:rPr>
      </w:pPr>
    </w:p>
    <w:p w14:paraId="090FE25B" w14:textId="77777777" w:rsidR="00A557BE" w:rsidRPr="00710271" w:rsidRDefault="00A557BE" w:rsidP="00A557BE">
      <w:pPr>
        <w:pStyle w:val="ListParagraph"/>
        <w:numPr>
          <w:ilvl w:val="0"/>
          <w:numId w:val="49"/>
        </w:numPr>
        <w:spacing w:after="0"/>
        <w:ind w:left="714" w:hanging="357"/>
      </w:pPr>
      <w:proofErr w:type="spellStart"/>
      <w:r w:rsidRPr="00710271">
        <w:t>Islands</w:t>
      </w:r>
      <w:proofErr w:type="spellEnd"/>
      <w:r w:rsidRPr="00710271">
        <w:t xml:space="preserve">’ </w:t>
      </w:r>
      <w:proofErr w:type="spellStart"/>
      <w:r w:rsidRPr="00710271">
        <w:t>Decarbonization</w:t>
      </w:r>
      <w:proofErr w:type="spellEnd"/>
    </w:p>
    <w:p w14:paraId="416B684B" w14:textId="77777777" w:rsidR="00A557BE" w:rsidRPr="00710271" w:rsidRDefault="00A557BE" w:rsidP="00A557BE">
      <w:pPr>
        <w:spacing w:after="0"/>
        <w:rPr>
          <w:color w:val="000000"/>
          <w:lang w:val="en-US"/>
        </w:rPr>
      </w:pPr>
      <w:r w:rsidRPr="00710271">
        <w:rPr>
          <w:color w:val="000000"/>
          <w:lang w:val="en-US"/>
        </w:rPr>
        <w:t xml:space="preserve">The Decarbonization Fund for the Greek Islands is a tool that shall allow Greece to claim up to 25 million allowances under the EU ETS for the financing of projects aimed at the decarbonization of electricity consumption in Greek Islands. Since non-interconnected islands rely heavily (in cases, even exclusively) on fossil fuels for their electricity needs, those funds will significantly reinforce the reduction of the reliance on fossil fuels. </w:t>
      </w:r>
    </w:p>
    <w:p w14:paraId="508CD7AB" w14:textId="77777777" w:rsidR="00A557BE" w:rsidRPr="00710271" w:rsidRDefault="00A557BE" w:rsidP="00A557BE">
      <w:pPr>
        <w:rPr>
          <w:rFonts w:cstheme="minorHAnsi"/>
          <w:i/>
          <w:color w:val="000000"/>
          <w:lang w:val="en-US"/>
        </w:rPr>
      </w:pPr>
      <w:bookmarkStart w:id="91" w:name="_heading=h.hiz6unquq1cn"/>
      <w:bookmarkEnd w:id="91"/>
      <w:r w:rsidRPr="00710271">
        <w:rPr>
          <w:rFonts w:cstheme="minorHAnsi"/>
          <w:i/>
          <w:iCs/>
          <w:color w:val="000000"/>
          <w:lang w:val="en-US"/>
        </w:rPr>
        <w:t>* For more information see also the relevant paragraph</w:t>
      </w:r>
      <w:r w:rsidRPr="00710271">
        <w:rPr>
          <w:rFonts w:cstheme="minorHAnsi"/>
          <w:i/>
          <w:iCs/>
          <w:lang w:val="en-US"/>
        </w:rPr>
        <w:t>s</w:t>
      </w:r>
      <w:r w:rsidRPr="00710271">
        <w:rPr>
          <w:rFonts w:cstheme="minorHAnsi"/>
          <w:i/>
          <w:iCs/>
          <w:color w:val="000000"/>
          <w:lang w:val="en-US"/>
        </w:rPr>
        <w:t xml:space="preserve"> in the “</w:t>
      </w:r>
      <w:r w:rsidRPr="00710271">
        <w:rPr>
          <w:rFonts w:cstheme="minorHAnsi"/>
          <w:i/>
          <w:iCs/>
          <w:lang w:val="en-US"/>
        </w:rPr>
        <w:t xml:space="preserve">Annex Table 4 Reporting on </w:t>
      </w:r>
      <w:r w:rsidRPr="00710271">
        <w:rPr>
          <w:rFonts w:eastAsia="Arial" w:cstheme="minorHAnsi"/>
          <w:i/>
          <w:iCs/>
          <w:lang w:val="en-US"/>
        </w:rPr>
        <w:t>SDGs 2026” file as well as 2025 – CSR 4 - Subpart 1</w:t>
      </w:r>
      <w:r w:rsidRPr="00710271">
        <w:rPr>
          <w:rFonts w:cstheme="minorHAnsi"/>
          <w:i/>
          <w:iCs/>
          <w:lang w:val="en-US"/>
        </w:rPr>
        <w:t xml:space="preserve"> </w:t>
      </w:r>
    </w:p>
    <w:p w14:paraId="463A8D78" w14:textId="77777777" w:rsidR="00A557BE" w:rsidRPr="00710271" w:rsidRDefault="00A557BE" w:rsidP="00A557BE">
      <w:pPr>
        <w:pStyle w:val="ListParagraph"/>
        <w:numPr>
          <w:ilvl w:val="0"/>
          <w:numId w:val="49"/>
        </w:numPr>
        <w:spacing w:after="0"/>
        <w:ind w:left="714" w:hanging="357"/>
      </w:pPr>
      <w:r w:rsidRPr="00710271">
        <w:t xml:space="preserve">GHG </w:t>
      </w:r>
      <w:proofErr w:type="spellStart"/>
      <w:r w:rsidRPr="00710271">
        <w:t>emissions</w:t>
      </w:r>
      <w:proofErr w:type="spellEnd"/>
      <w:r w:rsidRPr="00710271">
        <w:t xml:space="preserve"> </w:t>
      </w:r>
      <w:proofErr w:type="spellStart"/>
      <w:r w:rsidRPr="00710271">
        <w:t>reduction</w:t>
      </w:r>
      <w:proofErr w:type="spellEnd"/>
      <w:r w:rsidRPr="00710271">
        <w:t>.</w:t>
      </w:r>
    </w:p>
    <w:p w14:paraId="4F51FFF9" w14:textId="77777777" w:rsidR="00A557BE" w:rsidRPr="00710271" w:rsidRDefault="00A557BE" w:rsidP="00A557BE">
      <w:pPr>
        <w:spacing w:after="0"/>
        <w:rPr>
          <w:color w:val="FF0000"/>
          <w:lang w:val="en-US"/>
        </w:rPr>
      </w:pPr>
      <w:r w:rsidRPr="00710271">
        <w:rPr>
          <w:lang w:val="en-US"/>
        </w:rPr>
        <w:t xml:space="preserve">In an attempt to reduce GHG emissions, action is being taken towards the decarbonization of energy-intensive industries. Specifically, the RRF investment </w:t>
      </w:r>
      <w:proofErr w:type="spellStart"/>
      <w:r w:rsidRPr="00710271">
        <w:rPr>
          <w:lang w:val="en-US"/>
        </w:rPr>
        <w:t>Produc</w:t>
      </w:r>
      <w:proofErr w:type="spellEnd"/>
      <w:r w:rsidRPr="00710271">
        <w:rPr>
          <w:lang w:val="en-US"/>
        </w:rPr>
        <w:t>-e Green, whose 2</w:t>
      </w:r>
      <w:r w:rsidRPr="00710271">
        <w:rPr>
          <w:vertAlign w:val="superscript"/>
          <w:lang w:val="en-US"/>
        </w:rPr>
        <w:t>nd</w:t>
      </w:r>
      <w:r w:rsidRPr="00710271">
        <w:rPr>
          <w:lang w:val="en-US"/>
        </w:rPr>
        <w:t xml:space="preserve"> sub-project focuses on the deployment</w:t>
      </w:r>
      <w:r w:rsidRPr="00710271">
        <w:rPr>
          <w:color w:val="FF0000"/>
          <w:lang w:val="en-US"/>
        </w:rPr>
        <w:t xml:space="preserve"> </w:t>
      </w:r>
      <w:r w:rsidRPr="00710271">
        <w:rPr>
          <w:lang w:val="en-US"/>
        </w:rPr>
        <w:t xml:space="preserve">of carbon capture, utilization and storage (CCUS) technologies, targets the development of Greece’s first CO₂ storage facility. CCUS has long been </w:t>
      </w:r>
      <w:proofErr w:type="spellStart"/>
      <w:r w:rsidRPr="00710271">
        <w:rPr>
          <w:lang w:val="en-US"/>
        </w:rPr>
        <w:t>recognised</w:t>
      </w:r>
      <w:proofErr w:type="spellEnd"/>
      <w:r w:rsidRPr="00710271">
        <w:rPr>
          <w:lang w:val="en-US"/>
        </w:rPr>
        <w:t xml:space="preserve"> as a viable mitigation option for </w:t>
      </w:r>
      <w:proofErr w:type="spellStart"/>
      <w:r w:rsidRPr="00710271">
        <w:rPr>
          <w:lang w:val="en-US"/>
        </w:rPr>
        <w:t>stabilising</w:t>
      </w:r>
      <w:proofErr w:type="spellEnd"/>
      <w:r w:rsidRPr="00710271">
        <w:rPr>
          <w:lang w:val="en-US"/>
        </w:rPr>
        <w:t xml:space="preserve"> atmospheric greenhouse</w:t>
      </w:r>
      <w:r w:rsidRPr="00710271">
        <w:rPr>
          <w:lang w:val="en-US"/>
        </w:rPr>
        <w:noBreakHyphen/>
        <w:t>gas concentrations.</w:t>
      </w:r>
    </w:p>
    <w:p w14:paraId="17D5C2F5" w14:textId="77777777" w:rsidR="00A557BE" w:rsidRPr="00710271" w:rsidRDefault="00A557BE" w:rsidP="00A557BE">
      <w:pPr>
        <w:rPr>
          <w:lang w:val="en-US"/>
        </w:rPr>
      </w:pPr>
      <w:r w:rsidRPr="00710271">
        <w:rPr>
          <w:lang w:val="en-US"/>
        </w:rPr>
        <w:t xml:space="preserve">Another landmark reform during this period was the establishment of a comprehensive legal framework for carbon capture and storage (CCS). Greece adopted Law 5261/2025 (A’ 231), introducing the country’s first integrated CCS regulatory regime. The law sets out a detailed licensing framework covering all stages of CCS activities, including exploration, capture, </w:t>
      </w:r>
      <w:r w:rsidRPr="00710271">
        <w:rPr>
          <w:lang w:val="en-US"/>
        </w:rPr>
        <w:lastRenderedPageBreak/>
        <w:t>transport, use, and storage of CO₂. It imposes strict monitoring, reporting, and environmental protection obligations, ensuring that operators maintain continuous oversight of CO₂ behaviour and promptly address any leakage risks.</w:t>
      </w:r>
    </w:p>
    <w:p w14:paraId="7EA50020" w14:textId="77777777" w:rsidR="00A557BE" w:rsidRPr="00F84539" w:rsidRDefault="00A557BE" w:rsidP="00A557BE">
      <w:pPr>
        <w:pStyle w:val="ListParagraph"/>
        <w:numPr>
          <w:ilvl w:val="0"/>
          <w:numId w:val="49"/>
        </w:numPr>
        <w:spacing w:after="0"/>
        <w:ind w:left="714" w:hanging="357"/>
        <w:rPr>
          <w:lang w:val="en-US"/>
        </w:rPr>
      </w:pPr>
      <w:r w:rsidRPr="00F84539">
        <w:rPr>
          <w:lang w:val="en-US"/>
        </w:rPr>
        <w:t xml:space="preserve">Interconnections and system expansion/enhancement projects </w:t>
      </w:r>
    </w:p>
    <w:p w14:paraId="1B02C4A3" w14:textId="77777777" w:rsidR="00A557BE" w:rsidRPr="00710271" w:rsidRDefault="00A557BE" w:rsidP="00A557BE">
      <w:pPr>
        <w:rPr>
          <w:lang w:val="en-US"/>
        </w:rPr>
      </w:pPr>
      <w:r w:rsidRPr="00710271">
        <w:rPr>
          <w:lang w:val="en-US"/>
        </w:rPr>
        <w:t xml:space="preserve">In the field of island interconnections with the mainland system, the electrical interconnection between the Greek islands and the mainland will play a crucial role in decarbonization by replacing local, diesel-based power generation with cleaner electricity increasingly sourced from renewables. These connections enhance grid stability, reduce greenhouse gas emissions, and facilitate the integration of wind and solar power generated both on the islands and the mainland. A number of significant projects are being implemented at the moment. </w:t>
      </w:r>
    </w:p>
    <w:p w14:paraId="543E622D" w14:textId="77777777" w:rsidR="00A557BE" w:rsidRPr="00710271" w:rsidRDefault="00A557BE" w:rsidP="00A557BE">
      <w:pPr>
        <w:rPr>
          <w:i/>
          <w:iCs/>
          <w:lang w:val="en-US"/>
        </w:rPr>
      </w:pPr>
      <w:r w:rsidRPr="00710271">
        <w:rPr>
          <w:lang w:val="en-US"/>
        </w:rPr>
        <w:t>*</w:t>
      </w:r>
      <w:r w:rsidRPr="00710271">
        <w:rPr>
          <w:i/>
          <w:iCs/>
          <w:lang w:val="en-US"/>
        </w:rPr>
        <w:t>Further information is available in 2025 – CSR 4 – Subpart 4 and in Annex Table 4 Reporting on SDGs 2026” file</w:t>
      </w:r>
      <w:r>
        <w:rPr>
          <w:i/>
          <w:iCs/>
          <w:lang w:val="en-US"/>
        </w:rPr>
        <w:t>.</w:t>
      </w:r>
      <w:r w:rsidRPr="00710271">
        <w:rPr>
          <w:i/>
          <w:iCs/>
          <w:lang w:val="en-US"/>
        </w:rPr>
        <w:t xml:space="preserve"> </w:t>
      </w:r>
    </w:p>
    <w:p w14:paraId="784944B1" w14:textId="77777777" w:rsidR="00A557BE" w:rsidRPr="000D28EC" w:rsidRDefault="00A557BE" w:rsidP="00A557BE">
      <w:pPr>
        <w:pStyle w:val="ListParagraph"/>
        <w:numPr>
          <w:ilvl w:val="2"/>
          <w:numId w:val="42"/>
        </w:numPr>
        <w:ind w:left="284" w:hanging="284"/>
        <w:rPr>
          <w:b/>
          <w:color w:val="1F497D" w:themeColor="text2"/>
        </w:rPr>
      </w:pPr>
      <w:proofErr w:type="spellStart"/>
      <w:r w:rsidRPr="000D28EC">
        <w:rPr>
          <w:b/>
          <w:color w:val="1F497D" w:themeColor="text2"/>
        </w:rPr>
        <w:t>Improving</w:t>
      </w:r>
      <w:proofErr w:type="spellEnd"/>
      <w:r w:rsidRPr="000D28EC">
        <w:rPr>
          <w:b/>
          <w:color w:val="1F497D" w:themeColor="text2"/>
        </w:rPr>
        <w:t xml:space="preserve"> </w:t>
      </w:r>
      <w:proofErr w:type="spellStart"/>
      <w:r w:rsidRPr="000D28EC">
        <w:rPr>
          <w:b/>
          <w:color w:val="1F497D" w:themeColor="text2"/>
        </w:rPr>
        <w:t>energy</w:t>
      </w:r>
      <w:proofErr w:type="spellEnd"/>
      <w:r w:rsidRPr="000D28EC">
        <w:rPr>
          <w:b/>
          <w:color w:val="1F497D" w:themeColor="text2"/>
        </w:rPr>
        <w:t xml:space="preserve"> </w:t>
      </w:r>
      <w:proofErr w:type="spellStart"/>
      <w:r w:rsidRPr="000D28EC">
        <w:rPr>
          <w:b/>
          <w:color w:val="1F497D" w:themeColor="text2"/>
        </w:rPr>
        <w:t>efficiency</w:t>
      </w:r>
      <w:proofErr w:type="spellEnd"/>
    </w:p>
    <w:p w14:paraId="2DDD2D2B" w14:textId="77777777" w:rsidR="00A557BE" w:rsidRPr="00710271" w:rsidRDefault="00A557BE" w:rsidP="00A557BE">
      <w:pPr>
        <w:rPr>
          <w:color w:val="FF0000"/>
          <w:lang w:val="en-US"/>
        </w:rPr>
      </w:pPr>
      <w:r w:rsidRPr="00710271">
        <w:rPr>
          <w:lang w:val="en-US"/>
        </w:rPr>
        <w:t>Given the building sector’s outsized share of energy use, prioritising integrated mitigation and adaptation measures for the built environment is essential to cut emissions, boost resilience and reduce energy costs for households and businesses.</w:t>
      </w:r>
    </w:p>
    <w:p w14:paraId="191A8FA2" w14:textId="77777777" w:rsidR="00A557BE" w:rsidRPr="00710271" w:rsidRDefault="00A557BE" w:rsidP="00A557BE">
      <w:pPr>
        <w:rPr>
          <w:lang w:val="en-US"/>
        </w:rPr>
      </w:pPr>
      <w:r w:rsidRPr="00710271">
        <w:rPr>
          <w:lang w:val="en-US"/>
        </w:rPr>
        <w:t>Towards this direction, a set of investments that promote renovation and energy efficiency of buildings are being implemented. These programs cover a large area of sectors: residential, public and business sector buildings. Indicatively a) all the “Exikonomo” programs, aimed at improving energy efficiency in buildings, both residential and commercial. They provide financial support in the form of subsidies and low-interest loans for energy-saving upgrades. These programs help reduce energy consumption lower carbon emissions, and cut energy costs for households and businesses, supporting Greece’s broader goals for sustainability and climate action, b)  Changing Heating System and Water Heater: provides grants to households for the purchase and installation of new solar water heating systems and/or modern-technology heat pump systems and c) Promoting energy efficiency in municipal water and sewage companies: The program aims to reduce energy consumption and CO₂ emissions through energy upgrade interventions and improvements in the operational efficiency of municipal pumping stations.</w:t>
      </w:r>
    </w:p>
    <w:p w14:paraId="2B04F87E" w14:textId="77777777" w:rsidR="00A557BE" w:rsidRPr="00710271" w:rsidRDefault="00A557BE" w:rsidP="00A557BE">
      <w:pPr>
        <w:rPr>
          <w:lang w:val="en-US"/>
        </w:rPr>
      </w:pPr>
      <w:r w:rsidRPr="00710271">
        <w:rPr>
          <w:lang w:val="en-US"/>
        </w:rPr>
        <w:t xml:space="preserve">Special terms and conditions for financial support towards the energy </w:t>
      </w:r>
      <w:r>
        <w:rPr>
          <w:lang w:val="en-US"/>
        </w:rPr>
        <w:t>inefficient</w:t>
      </w:r>
      <w:r w:rsidRPr="00710271">
        <w:rPr>
          <w:lang w:val="en-US"/>
        </w:rPr>
        <w:t xml:space="preserve"> households are entailed in many of the programs, given that energy efficiency improvement programs implemented in the residential sector are expected to play a key role in alleviating the inherent vulnerability of citizens.</w:t>
      </w:r>
    </w:p>
    <w:p w14:paraId="78BDCDEA" w14:textId="77777777" w:rsidR="00A557BE" w:rsidRPr="00710271" w:rsidRDefault="00A557BE" w:rsidP="00A557BE">
      <w:pPr>
        <w:rPr>
          <w:i/>
          <w:iCs/>
          <w:lang w:val="en-US"/>
        </w:rPr>
      </w:pPr>
      <w:r w:rsidRPr="00710271">
        <w:rPr>
          <w:i/>
          <w:iCs/>
          <w:lang w:val="en-US"/>
        </w:rPr>
        <w:t>*A precise reference concerning their objective and implementation can be found in “Annex Table 4 4 - Reporting on SDGs 2026” file</w:t>
      </w:r>
      <w:r>
        <w:rPr>
          <w:i/>
          <w:iCs/>
          <w:lang w:val="en-US"/>
        </w:rPr>
        <w:t>.</w:t>
      </w:r>
      <w:r w:rsidRPr="00710271">
        <w:rPr>
          <w:i/>
          <w:iCs/>
          <w:lang w:val="en-US"/>
        </w:rPr>
        <w:t xml:space="preserve"> </w:t>
      </w:r>
    </w:p>
    <w:p w14:paraId="2491898A" w14:textId="77777777" w:rsidR="00A557BE" w:rsidRPr="000D28EC" w:rsidRDefault="00A557BE" w:rsidP="00A557BE">
      <w:pPr>
        <w:pStyle w:val="ListParagraph"/>
        <w:numPr>
          <w:ilvl w:val="2"/>
          <w:numId w:val="42"/>
        </w:numPr>
        <w:ind w:left="284" w:hanging="284"/>
        <w:rPr>
          <w:b/>
          <w:color w:val="1F497D" w:themeColor="text2"/>
        </w:rPr>
      </w:pPr>
      <w:r w:rsidRPr="000D28EC">
        <w:rPr>
          <w:b/>
          <w:color w:val="1F497D" w:themeColor="text2"/>
        </w:rPr>
        <w:t>Security of energy supply</w:t>
      </w:r>
      <w:r w:rsidRPr="000D28EC">
        <w:rPr>
          <w:b/>
          <w:color w:val="1F497D" w:themeColor="text2"/>
        </w:rPr>
        <w:tab/>
      </w:r>
    </w:p>
    <w:p w14:paraId="7E562C99" w14:textId="77777777" w:rsidR="00A557BE" w:rsidRPr="00710271" w:rsidRDefault="00A557BE" w:rsidP="00A557BE">
      <w:pPr>
        <w:rPr>
          <w:lang w:val="en-US"/>
        </w:rPr>
      </w:pPr>
      <w:r w:rsidRPr="00710271">
        <w:rPr>
          <w:lang w:val="en-US"/>
        </w:rPr>
        <w:t>With the aim of diversifying its energy sources, Greece is implementing a range of projects that strengthen its role as an energy and electricity hub in Southeast Europe, while positioning it as a key pillar of energy security and stability in the region.</w:t>
      </w:r>
    </w:p>
    <w:p w14:paraId="4AF9F5FF" w14:textId="77777777" w:rsidR="00A557BE" w:rsidRDefault="00A557BE" w:rsidP="00A557BE">
      <w:pPr>
        <w:rPr>
          <w:lang w:val="en-US"/>
        </w:rPr>
      </w:pPr>
      <w:r w:rsidRPr="00710271">
        <w:rPr>
          <w:lang w:val="en-US"/>
        </w:rPr>
        <w:lastRenderedPageBreak/>
        <w:t>Gas projects within Greece’s National Natural Gas System (NNGS) including pipeline reinforcements, new compressor stations, and network expansions  strengthen</w:t>
      </w:r>
      <w:r w:rsidRPr="00710271">
        <w:rPr>
          <w:color w:val="FF0000"/>
          <w:lang w:val="en-US"/>
        </w:rPr>
        <w:t xml:space="preserve"> </w:t>
      </w:r>
      <w:r w:rsidRPr="00710271">
        <w:rPr>
          <w:lang w:val="en-US"/>
        </w:rPr>
        <w:t>energy supply security by improving the grid’s reliability, flexibility and resilience. These internal upgrades also enhance day-to-day</w:t>
      </w:r>
      <w:r>
        <w:rPr>
          <w:lang w:val="en-US"/>
        </w:rPr>
        <w:t>-</w:t>
      </w:r>
      <w:r w:rsidRPr="00710271">
        <w:rPr>
          <w:lang w:val="en-US"/>
        </w:rPr>
        <w:t>supply</w:t>
      </w:r>
      <w:r>
        <w:rPr>
          <w:lang w:val="en-US"/>
        </w:rPr>
        <w:t>.</w:t>
      </w:r>
    </w:p>
    <w:p w14:paraId="725F20C2" w14:textId="77777777" w:rsidR="00A557BE" w:rsidRDefault="00A557BE" w:rsidP="00A557BE">
      <w:pPr>
        <w:rPr>
          <w:strike/>
          <w:lang w:val="en-US"/>
        </w:rPr>
      </w:pPr>
      <w:r w:rsidRPr="00710271">
        <w:rPr>
          <w:lang w:val="en-US"/>
        </w:rPr>
        <w:t xml:space="preserve">These internal upgrades also improve the system’s ability to balance supply and demand on a daily basis, while supporting a more rapid and coordinated response in emergency situations. Overall, the increased capacity of the transmission network enables more efficient and secure distribution of natural gas across the country, ensuring </w:t>
      </w:r>
      <w:r>
        <w:rPr>
          <w:lang w:val="en-US"/>
        </w:rPr>
        <w:t>uninterrupted</w:t>
      </w:r>
      <w:r w:rsidRPr="00710271">
        <w:rPr>
          <w:lang w:val="en-US"/>
        </w:rPr>
        <w:t xml:space="preserve"> supply and smoother system operation.</w:t>
      </w:r>
    </w:p>
    <w:p w14:paraId="4678AC9C" w14:textId="77777777" w:rsidR="00A557BE" w:rsidRDefault="00A557BE" w:rsidP="00A557BE">
      <w:pPr>
        <w:rPr>
          <w:lang w:val="en"/>
        </w:rPr>
      </w:pPr>
      <w:r w:rsidRPr="00710271">
        <w:rPr>
          <w:lang w:val="en-US"/>
        </w:rPr>
        <w:t xml:space="preserve">To achieve these objectives, several major projects are currently under development or/and construction. </w:t>
      </w:r>
      <w:r>
        <w:t>Indicatively, the most prominent ones are:</w:t>
      </w:r>
    </w:p>
    <w:p w14:paraId="1E82B983" w14:textId="77777777" w:rsidR="00A557BE" w:rsidRPr="00710271" w:rsidRDefault="00A557BE" w:rsidP="00A557BE">
      <w:pPr>
        <w:pStyle w:val="ListParagraph"/>
        <w:numPr>
          <w:ilvl w:val="0"/>
          <w:numId w:val="50"/>
        </w:numPr>
        <w:rPr>
          <w:lang w:val="en-US"/>
        </w:rPr>
      </w:pPr>
      <w:r w:rsidRPr="00710271">
        <w:rPr>
          <w:lang w:val="en-US"/>
        </w:rPr>
        <w:t>The construction of the compression station in Komotini to enhance technical adequacy and capacity of the National Natural Gas System, including its capability to import natural gas into South-East Europe in the form of LNG is in the final testing phase for integration into the system</w:t>
      </w:r>
    </w:p>
    <w:p w14:paraId="18138C17" w14:textId="77777777" w:rsidR="00A557BE" w:rsidRPr="00710271" w:rsidRDefault="00A557BE" w:rsidP="00A557BE">
      <w:pPr>
        <w:pStyle w:val="ListParagraph"/>
        <w:numPr>
          <w:ilvl w:val="0"/>
          <w:numId w:val="50"/>
        </w:numPr>
        <w:rPr>
          <w:lang w:val="en-US"/>
        </w:rPr>
      </w:pPr>
      <w:r w:rsidRPr="00710271">
        <w:rPr>
          <w:lang w:val="en-US"/>
        </w:rPr>
        <w:t>The Greece-North Macedonia natural gas pipeline to be completed by 2026 aims to diversify the sources of natural gas supply in North Macedonia, by providing an alternative to the existing connection with Bulgaria, which currently serves as the sole supply route.</w:t>
      </w:r>
    </w:p>
    <w:p w14:paraId="40F21C5B" w14:textId="77777777" w:rsidR="00A557BE" w:rsidRPr="00710271" w:rsidRDefault="00A557BE" w:rsidP="00A557BE">
      <w:pPr>
        <w:pStyle w:val="ListParagraph"/>
        <w:numPr>
          <w:ilvl w:val="0"/>
          <w:numId w:val="50"/>
        </w:numPr>
        <w:rPr>
          <w:lang w:val="en-US"/>
        </w:rPr>
      </w:pPr>
      <w:r w:rsidRPr="00710271">
        <w:rPr>
          <w:lang w:val="en-US"/>
        </w:rPr>
        <w:t xml:space="preserve">The Compression station for the feeding of TAP (Trans Adriatic Pipeline) in </w:t>
      </w:r>
      <w:proofErr w:type="spellStart"/>
      <w:r w:rsidRPr="00710271">
        <w:rPr>
          <w:lang w:val="en-US"/>
        </w:rPr>
        <w:t>Nea</w:t>
      </w:r>
      <w:proofErr w:type="spellEnd"/>
      <w:r w:rsidRPr="00710271">
        <w:rPr>
          <w:lang w:val="en-US"/>
        </w:rPr>
        <w:t xml:space="preserve"> </w:t>
      </w:r>
      <w:proofErr w:type="spellStart"/>
      <w:r w:rsidRPr="00710271">
        <w:rPr>
          <w:lang w:val="en-US"/>
        </w:rPr>
        <w:t>Mesimvria</w:t>
      </w:r>
      <w:proofErr w:type="spellEnd"/>
      <w:r w:rsidRPr="00710271">
        <w:rPr>
          <w:lang w:val="en-US"/>
        </w:rPr>
        <w:t xml:space="preserve"> – Booster Compressor is scheduled to be completed by the end of 2026.</w:t>
      </w:r>
    </w:p>
    <w:p w14:paraId="2336AC45" w14:textId="77777777" w:rsidR="00A557BE" w:rsidRDefault="00A557BE" w:rsidP="00A557BE">
      <w:pPr>
        <w:pStyle w:val="ListParagraph"/>
        <w:numPr>
          <w:ilvl w:val="0"/>
          <w:numId w:val="50"/>
        </w:numPr>
      </w:pPr>
      <w:r w:rsidRPr="00710271">
        <w:rPr>
          <w:lang w:val="en-US"/>
        </w:rPr>
        <w:t xml:space="preserve">Expansion (looping) of the Karperi–Komotini high-pressure pipeline branch, a priority project by DESFA, aims to enhance the capacity of the National Natural Gas Transmission System, enabling it to accommodate and transfer higher volumes of natural gas between the northern and southern parts of the network, allowing for more efficient movement of gas across Greece from entry points in the north to consumption centres and exit routes in the south. Its main objective is to remove existing congestion points, thereby ensuring firm and uninterrupted capacity at the new entry and exit points in the northern part of the NNGTS, as well as continuous access to the Virtual Trading Point (VTP). The alleviation of congestion is expected to enhance liquidity at the Greek VTP and to ensure non-discriminatory access for all users to the northern exit points, thereby contributing to the efficient functioning and overall benefits of the Greek gas market. </w:t>
      </w:r>
      <w:proofErr w:type="spellStart"/>
      <w:r>
        <w:t>It</w:t>
      </w:r>
      <w:proofErr w:type="spellEnd"/>
      <w:r>
        <w:t xml:space="preserve"> </w:t>
      </w:r>
      <w:proofErr w:type="spellStart"/>
      <w:r>
        <w:t>is</w:t>
      </w:r>
      <w:proofErr w:type="spellEnd"/>
      <w:r>
        <w:t xml:space="preserve"> scheduled for completion by 2028.</w:t>
      </w:r>
    </w:p>
    <w:p w14:paraId="037BAB69" w14:textId="0331B634" w:rsidR="00A557BE" w:rsidRPr="00710271" w:rsidRDefault="00A557BE" w:rsidP="00A557BE">
      <w:pPr>
        <w:pStyle w:val="ListParagraph"/>
        <w:numPr>
          <w:ilvl w:val="0"/>
          <w:numId w:val="50"/>
        </w:numPr>
        <w:rPr>
          <w:lang w:val="en-US"/>
        </w:rPr>
      </w:pPr>
      <w:r w:rsidRPr="00710271">
        <w:rPr>
          <w:lang w:val="en-US"/>
        </w:rPr>
        <w:t>The Construction of a small-scale LNG jetty at the Revythousa Terminal to be completed by the end of 2027, will serve the loading and unloading of LNG on small scale vessels in ports of Greece as well as the unloading of LNG vessels loaded at other European LNG terminals, thus allowing the terminal to optimize storage utilization</w:t>
      </w:r>
      <w:r w:rsidR="00900A39">
        <w:rPr>
          <w:lang w:val="en-US"/>
        </w:rPr>
        <w:t>.</w:t>
      </w:r>
    </w:p>
    <w:p w14:paraId="3A6B948A" w14:textId="77777777" w:rsidR="00A557BE" w:rsidRPr="00710271" w:rsidRDefault="00A557BE" w:rsidP="00A557BE">
      <w:pPr>
        <w:rPr>
          <w:lang w:val="en-US"/>
        </w:rPr>
      </w:pPr>
      <w:r w:rsidRPr="00710271">
        <w:rPr>
          <w:lang w:val="en-US"/>
        </w:rPr>
        <w:t xml:space="preserve">Finally, the </w:t>
      </w:r>
      <w:proofErr w:type="spellStart"/>
      <w:r w:rsidRPr="00710271">
        <w:rPr>
          <w:lang w:val="en-US"/>
        </w:rPr>
        <w:t>Ampelia</w:t>
      </w:r>
      <w:proofErr w:type="spellEnd"/>
      <w:r w:rsidRPr="00710271">
        <w:rPr>
          <w:lang w:val="en-US"/>
        </w:rPr>
        <w:t xml:space="preserve"> compressor project, which reinforces the transmission system in southern Greece to ensure hydraulic adequacy under all user</w:t>
      </w:r>
      <w:r w:rsidRPr="00710271">
        <w:rPr>
          <w:lang w:val="en-US"/>
        </w:rPr>
        <w:noBreakHyphen/>
        <w:t>selected entry</w:t>
      </w:r>
      <w:r w:rsidRPr="00710271">
        <w:rPr>
          <w:lang w:val="en-US"/>
        </w:rPr>
        <w:noBreakHyphen/>
        <w:t xml:space="preserve">point scenarios and nominated quantities, was completed in 2025. </w:t>
      </w:r>
    </w:p>
    <w:p w14:paraId="4C2E5137" w14:textId="77777777" w:rsidR="00A557BE" w:rsidRPr="00710271" w:rsidRDefault="00A557BE" w:rsidP="00A557BE">
      <w:pPr>
        <w:rPr>
          <w:lang w:val="en-US"/>
        </w:rPr>
      </w:pPr>
      <w:r>
        <w:rPr>
          <w:rFonts w:eastAsia="Aptos"/>
          <w:lang w:val="en"/>
        </w:rPr>
        <w:lastRenderedPageBreak/>
        <w:t>In addition to advancing decarbonisation, island</w:t>
      </w:r>
      <w:r>
        <w:rPr>
          <w:rFonts w:ascii="Cambria Math" w:eastAsia="Aptos" w:hAnsi="Cambria Math" w:cs="Cambria Math"/>
          <w:lang w:val="en"/>
        </w:rPr>
        <w:noBreakHyphen/>
      </w:r>
      <w:r>
        <w:rPr>
          <w:rFonts w:eastAsia="Aptos"/>
          <w:lang w:val="en"/>
        </w:rPr>
        <w:t>mainland interconnections also play a crucial role in enhancing the security of energy supply. These connections eliminate electrical isolation, enhance supply reliability, reduce the cost of energy produced, support environmental objectives and facilitate the large</w:t>
      </w:r>
      <w:r>
        <w:rPr>
          <w:rFonts w:ascii="Cambria Math" w:eastAsia="Aptos" w:hAnsi="Cambria Math" w:cs="Cambria Math"/>
          <w:lang w:val="en"/>
        </w:rPr>
        <w:noBreakHyphen/>
      </w:r>
      <w:r>
        <w:rPr>
          <w:rFonts w:eastAsia="Aptos"/>
          <w:lang w:val="en"/>
        </w:rPr>
        <w:t>scale integration of renewables in non</w:t>
      </w:r>
      <w:r>
        <w:rPr>
          <w:rFonts w:ascii="Cambria Math" w:eastAsia="Aptos" w:hAnsi="Cambria Math" w:cs="Cambria Math"/>
          <w:lang w:val="en"/>
        </w:rPr>
        <w:noBreakHyphen/>
      </w:r>
      <w:r>
        <w:rPr>
          <w:rFonts w:eastAsia="Aptos"/>
          <w:lang w:val="en"/>
        </w:rPr>
        <w:t>interconnected islands. The most important priority, in this regard, is the interconnection of the Aegean islands with the Continental System.</w:t>
      </w:r>
      <w:r>
        <w:rPr>
          <w:lang w:val="en-US"/>
        </w:rPr>
        <w:t xml:space="preserve"> On 24 May 2025, the interconnection of Crete with the mainland electricity grid entered into operation allowing for the phasing out of not-interconnected fossil fuel power plants and is expected to lower electricity bills. With the completion of the Cyclades Islands interconnections, t</w:t>
      </w:r>
      <w:r>
        <w:rPr>
          <w:rFonts w:cstheme="minorHAnsi"/>
          <w:lang w:val="en-US"/>
        </w:rPr>
        <w:t>his is expected to deliver more than €2 billion in savings between 2026 and 2029, primarily through lower public service obligation costs on electricity bills.</w:t>
      </w:r>
    </w:p>
    <w:p w14:paraId="27EE9814" w14:textId="77777777" w:rsidR="00A557BE" w:rsidRPr="00710271" w:rsidRDefault="00A557BE" w:rsidP="00A557BE">
      <w:pPr>
        <w:rPr>
          <w:i/>
          <w:iCs/>
          <w:lang w:val="en-US"/>
        </w:rPr>
      </w:pPr>
      <w:r w:rsidRPr="00710271">
        <w:rPr>
          <w:i/>
          <w:iCs/>
          <w:lang w:val="en-US"/>
        </w:rPr>
        <w:t>*Further information is available in 2025 – CSR 4 Subpart 4 and in Annex Table 4 - Reporting on SDGs 2026 file.</w:t>
      </w:r>
    </w:p>
    <w:p w14:paraId="074CFCBA" w14:textId="77777777" w:rsidR="00A557BE" w:rsidRDefault="00A557BE" w:rsidP="00A557BE">
      <w:pPr>
        <w:rPr>
          <w:rFonts w:eastAsia="Times New Roman" w:cstheme="minorHAnsi"/>
          <w:lang w:val="en-US"/>
        </w:rPr>
      </w:pPr>
      <w:r w:rsidRPr="00710271">
        <w:rPr>
          <w:lang w:val="en-US"/>
        </w:rPr>
        <w:t>Moreover, reinforcing the internal system is of pivotal importance. A major RRF project being in progress is that of the increase of the installed capacity in High/Medium Voltage substations of the Hellenic Electricity Distribution Network Operator (HEDNO), aiming to facilitate the connection of new RES generation units, by addressing the congestion of the distribution grid that prevents further growth of RES plants in specific areas with a high potential.</w:t>
      </w:r>
      <w:r>
        <w:rPr>
          <w:lang w:val="en-US"/>
        </w:rPr>
        <w:t xml:space="preserve"> The projects </w:t>
      </w:r>
      <w:r>
        <w:rPr>
          <w:rFonts w:eastAsia="Times New Roman" w:cstheme="minorHAnsi"/>
          <w:lang w:val="en-US"/>
        </w:rPr>
        <w:t>are expected to reduce grid management costs by at least €16 billion, while increasing grid capacity by 21 GW, significantly improving system efficiency and market liquidity.</w:t>
      </w:r>
    </w:p>
    <w:p w14:paraId="2F882DA9" w14:textId="77777777" w:rsidR="00A557BE" w:rsidRDefault="00A557BE" w:rsidP="00A557BE">
      <w:pPr>
        <w:rPr>
          <w:rFonts w:eastAsia="Aptos" w:cs="Aptos"/>
          <w:lang w:val="en"/>
        </w:rPr>
      </w:pPr>
      <w:r w:rsidRPr="00710271">
        <w:rPr>
          <w:lang w:val="en-US"/>
        </w:rPr>
        <w:t>Finally, the rising share of renewable energy in the national energy mix is increasing the need for energy</w:t>
      </w:r>
      <w:r w:rsidRPr="00710271">
        <w:rPr>
          <w:lang w:val="en-US"/>
        </w:rPr>
        <w:noBreakHyphen/>
        <w:t>storage solutions. The increasing curtailment RES production and the rejection of green power</w:t>
      </w:r>
      <w:r w:rsidRPr="00710271">
        <w:rPr>
          <w:color w:val="FF0000"/>
          <w:lang w:val="en-US"/>
        </w:rPr>
        <w:t xml:space="preserve"> </w:t>
      </w:r>
      <w:r w:rsidRPr="00710271">
        <w:rPr>
          <w:lang w:val="en-US"/>
        </w:rPr>
        <w:t>are likely to intensify unless</w:t>
      </w:r>
      <w:r>
        <w:rPr>
          <w:lang w:val="en-US"/>
        </w:rPr>
        <w:t xml:space="preserve"> </w:t>
      </w:r>
      <w:r w:rsidRPr="00710271">
        <w:rPr>
          <w:lang w:val="en-US"/>
        </w:rPr>
        <w:t>decisive</w:t>
      </w:r>
      <w:r w:rsidRPr="00710271">
        <w:rPr>
          <w:color w:val="FF0000"/>
          <w:lang w:val="en-US"/>
        </w:rPr>
        <w:t xml:space="preserve"> </w:t>
      </w:r>
      <w:r w:rsidRPr="00710271">
        <w:rPr>
          <w:lang w:val="en-US"/>
        </w:rPr>
        <w:t>measures are taken, such as the installation of Electricity Storage Stations (ESS). The National Energy and Climate Plan sets a target of installing 4,300 MW of electricity storage systems (ESS) by 2030.</w:t>
      </w:r>
    </w:p>
    <w:p w14:paraId="164C67D1" w14:textId="77777777" w:rsidR="00A557BE" w:rsidRDefault="00A557BE" w:rsidP="00A557BE">
      <w:pPr>
        <w:rPr>
          <w:rFonts w:eastAsia="Times New Roman" w:cstheme="minorHAnsi"/>
          <w:lang w:val="en-US"/>
        </w:rPr>
      </w:pPr>
      <w:r w:rsidRPr="00710271">
        <w:rPr>
          <w:lang w:val="en-US"/>
        </w:rPr>
        <w:t>Significant progress was achieved in integrating energy storage into the wholesale electricity market. By early 2026, the full regulatory framework governing the participation of energy storage systems had been completed, providing clarity on market access, remuneration mechanisms, and operational requirements. This regulatory readiness translated into tangible infrastructure development, with the first Battery Energy Storage System (BESS) being successfully connected to the Greek Transmission System Operator (TSO) grid on 31 March 2026.</w:t>
      </w:r>
      <w:r>
        <w:rPr>
          <w:lang w:val="en-US"/>
        </w:rPr>
        <w:t xml:space="preserve"> Moreover, </w:t>
      </w:r>
      <w:r w:rsidRPr="00710271">
        <w:rPr>
          <w:lang w:val="en-US"/>
        </w:rPr>
        <w:t>a</w:t>
      </w:r>
      <w:r>
        <w:rPr>
          <w:rFonts w:eastAsia="Times New Roman" w:cstheme="minorHAnsi"/>
          <w:lang w:val="en-US"/>
        </w:rPr>
        <w:t xml:space="preserve">round 700 MW of storage capacity is expected to be developed until August 2026, enabling excess renewable generation to be stored and dispatched during peak demand periods, thereby improving system efficiency and enhancing asset </w:t>
      </w:r>
      <w:proofErr w:type="spellStart"/>
      <w:r>
        <w:rPr>
          <w:rFonts w:eastAsia="Times New Roman" w:cstheme="minorHAnsi"/>
          <w:lang w:val="en-US"/>
        </w:rPr>
        <w:t>monetisation</w:t>
      </w:r>
      <w:proofErr w:type="spellEnd"/>
      <w:r>
        <w:rPr>
          <w:rFonts w:eastAsia="Times New Roman" w:cstheme="minorHAnsi"/>
          <w:lang w:val="en-US"/>
        </w:rPr>
        <w:t xml:space="preserve"> opportunities. </w:t>
      </w:r>
      <w:r w:rsidRPr="00710271">
        <w:rPr>
          <w:lang w:val="en-US"/>
        </w:rPr>
        <w:t>This milestone represents a critical step in enhancing system flexibility, facilitating higher penetration of renewable energy sources, and improving overall grid stability.</w:t>
      </w:r>
      <w:r>
        <w:rPr>
          <w:lang w:val="en-US"/>
        </w:rPr>
        <w:t xml:space="preserve"> </w:t>
      </w:r>
    </w:p>
    <w:p w14:paraId="0C3771FA" w14:textId="77777777" w:rsidR="00A557BE" w:rsidRDefault="00A557BE" w:rsidP="00A557BE">
      <w:pPr>
        <w:rPr>
          <w:rFonts w:eastAsia="Aptos" w:cs="Aptos"/>
          <w:lang w:val="en"/>
        </w:rPr>
      </w:pPr>
      <w:r w:rsidRPr="00710271">
        <w:rPr>
          <w:lang w:val="en-US"/>
        </w:rPr>
        <w:t>In the same context, the Ministry of Environment and Energy (YPEN) notified the EU of a support scheme for ESS through competitive procedures. As a result, three competitive tenders were conducted for granting investment and operational aid to ESS projects.</w:t>
      </w:r>
    </w:p>
    <w:p w14:paraId="461C4E60" w14:textId="77777777" w:rsidR="00A557BE" w:rsidRDefault="00A557BE" w:rsidP="00A557BE">
      <w:pPr>
        <w:rPr>
          <w:i/>
          <w:iCs/>
          <w:lang w:val="en-US"/>
        </w:rPr>
      </w:pPr>
      <w:r w:rsidRPr="00710271">
        <w:rPr>
          <w:i/>
          <w:iCs/>
          <w:lang w:val="en-US"/>
        </w:rPr>
        <w:t>*More analytically see investments “Support of the installation of storage systems to enhance RES penetration in “Annex Table 4 - Reporting on SDGs 2026 file.</w:t>
      </w:r>
    </w:p>
    <w:p w14:paraId="46F78873" w14:textId="77777777" w:rsidR="00A557BE" w:rsidRPr="000D28EC" w:rsidRDefault="00A557BE" w:rsidP="00A557BE">
      <w:pPr>
        <w:pStyle w:val="ListParagraph"/>
        <w:numPr>
          <w:ilvl w:val="2"/>
          <w:numId w:val="42"/>
        </w:numPr>
        <w:ind w:left="284" w:hanging="284"/>
        <w:rPr>
          <w:b/>
          <w:color w:val="1F497D" w:themeColor="text2"/>
        </w:rPr>
      </w:pPr>
      <w:r w:rsidRPr="000D28EC">
        <w:rPr>
          <w:b/>
          <w:color w:val="1F497D" w:themeColor="text2"/>
        </w:rPr>
        <w:lastRenderedPageBreak/>
        <w:t xml:space="preserve">Energy market </w:t>
      </w:r>
    </w:p>
    <w:p w14:paraId="213A79DF" w14:textId="77777777" w:rsidR="00A557BE" w:rsidRPr="00710271" w:rsidRDefault="00A557BE" w:rsidP="00A557BE">
      <w:pPr>
        <w:rPr>
          <w:lang w:val="en-US"/>
        </w:rPr>
      </w:pPr>
      <w:r w:rsidRPr="00710271">
        <w:rPr>
          <w:lang w:val="en-US"/>
        </w:rPr>
        <w:t>Between April 2025 and April 2026, the Greek electricity market experienced a period of accelerated transformation, driven by regulatory reforms, digitalisation, and the integration of new technologies.</w:t>
      </w:r>
      <w:r w:rsidRPr="00710271">
        <w:rPr>
          <w:color w:val="FF0000"/>
          <w:lang w:val="en-US"/>
        </w:rPr>
        <w:t xml:space="preserve"> </w:t>
      </w:r>
      <w:r w:rsidRPr="00710271">
        <w:rPr>
          <w:lang w:val="en-US"/>
        </w:rPr>
        <w:t>In this context, the Hellenic Electricity Distribution Network Operator (HEDNO) continued rolling out smart meters, enabling the gradual activation of demand</w:t>
      </w:r>
      <w:r w:rsidRPr="00710271">
        <w:rPr>
          <w:lang w:val="en-US"/>
        </w:rPr>
        <w:noBreakHyphen/>
        <w:t>side participation mechanisms and supporting a more flexible, consumer</w:t>
      </w:r>
      <w:r w:rsidRPr="00710271">
        <w:rPr>
          <w:lang w:val="en-US"/>
        </w:rPr>
        <w:noBreakHyphen/>
        <w:t>centric electricity market. These efforts were further supported by the Recovery and Resilience Facility (RRF) reform on the “Regulatory framework towards a smart grid,” which promoted the adoption of digital technologies and more efficient energy consumption management.</w:t>
      </w:r>
    </w:p>
    <w:p w14:paraId="5B622E89" w14:textId="77777777" w:rsidR="00A557BE" w:rsidRPr="00710271" w:rsidRDefault="00A557BE" w:rsidP="00A557BE">
      <w:pPr>
        <w:rPr>
          <w:lang w:val="en-US"/>
        </w:rPr>
      </w:pPr>
      <w:r w:rsidRPr="00710271">
        <w:rPr>
          <w:lang w:val="en-US"/>
        </w:rPr>
        <w:t>A major milestone during this period was the activation of dynamic pricing in the retail electricity market. Following the issuance of the relevant Ministerial Decision (OJ/</w:t>
      </w:r>
      <w:r>
        <w:t>Β</w:t>
      </w:r>
      <w:r w:rsidRPr="00710271">
        <w:rPr>
          <w:lang w:val="en-US"/>
        </w:rPr>
        <w:t>/6565/2025), dynamic pricing contracts became effective as of 1 February 2026. This development marked a significant step towards consumer empowerment, allowing customers to adjust their consumption patterns in response to wholesale market price signals, particularly benefiting from periods of low prices driven by high renewable energy production. The framework complements the ongoing rollout of smart meters, which are essential for enabling real-time consumption measurement and billing. A Revision and Reform of the Social Household Tariff Scheme is also scheduled to take place by the end of 2026.</w:t>
      </w:r>
    </w:p>
    <w:p w14:paraId="60A02565" w14:textId="77777777" w:rsidR="00A557BE" w:rsidRPr="00710271" w:rsidRDefault="00A557BE" w:rsidP="00A557BE">
      <w:pPr>
        <w:rPr>
          <w:lang w:val="en-US"/>
        </w:rPr>
      </w:pPr>
      <w:r w:rsidRPr="00710271">
        <w:rPr>
          <w:lang w:val="en-US"/>
        </w:rPr>
        <w:t>As part of the continued support measures for the agricultural sector, the Greek government decided to further strengthen the “GAIA” tariff scheme by extending its duration by two additional years from April 2026. The revised framework provides farmers and agricultural cooperatives with one of the lowest available electricity rates in the market. This extension enhances price stability and predictability for rural consumers, further reducing energy costs compared to previous arrangements and reinforcing the competitiveness and resilience of the agricultural sector.</w:t>
      </w:r>
    </w:p>
    <w:p w14:paraId="7AC7758B" w14:textId="77777777" w:rsidR="00A557BE" w:rsidRPr="000D28EC" w:rsidRDefault="00A557BE" w:rsidP="00A557BE">
      <w:pPr>
        <w:pStyle w:val="ListParagraph"/>
        <w:numPr>
          <w:ilvl w:val="2"/>
          <w:numId w:val="42"/>
        </w:numPr>
        <w:ind w:left="284" w:hanging="284"/>
        <w:rPr>
          <w:b/>
          <w:color w:val="1F497D" w:themeColor="text2"/>
        </w:rPr>
      </w:pPr>
      <w:r w:rsidRPr="000D28EC">
        <w:rPr>
          <w:b/>
          <w:color w:val="1F497D" w:themeColor="text2"/>
        </w:rPr>
        <w:t xml:space="preserve">Research, </w:t>
      </w:r>
      <w:proofErr w:type="spellStart"/>
      <w:r w:rsidRPr="000D28EC">
        <w:rPr>
          <w:b/>
          <w:color w:val="1F497D" w:themeColor="text2"/>
        </w:rPr>
        <w:t>innovation</w:t>
      </w:r>
      <w:proofErr w:type="spellEnd"/>
      <w:r w:rsidRPr="000D28EC">
        <w:rPr>
          <w:b/>
          <w:color w:val="1F497D" w:themeColor="text2"/>
        </w:rPr>
        <w:t xml:space="preserve"> and </w:t>
      </w:r>
      <w:proofErr w:type="spellStart"/>
      <w:r w:rsidRPr="000D28EC">
        <w:rPr>
          <w:b/>
          <w:color w:val="1F497D" w:themeColor="text2"/>
        </w:rPr>
        <w:t>competitiveness</w:t>
      </w:r>
      <w:proofErr w:type="spellEnd"/>
    </w:p>
    <w:p w14:paraId="50F55E3D" w14:textId="77777777" w:rsidR="00A557BE" w:rsidRPr="00710271" w:rsidRDefault="00A557BE" w:rsidP="00A557BE">
      <w:pPr>
        <w:rPr>
          <w:strike/>
          <w:lang w:val="en-US"/>
        </w:rPr>
      </w:pPr>
      <w:r w:rsidRPr="00710271">
        <w:rPr>
          <w:lang w:val="en-US"/>
        </w:rPr>
        <w:t>The “</w:t>
      </w:r>
      <w:proofErr w:type="spellStart"/>
      <w:r w:rsidRPr="00710271">
        <w:rPr>
          <w:lang w:val="en-US"/>
        </w:rPr>
        <w:t>Produc</w:t>
      </w:r>
      <w:proofErr w:type="spellEnd"/>
      <w:r w:rsidRPr="00710271">
        <w:rPr>
          <w:lang w:val="en-US"/>
        </w:rPr>
        <w:t>-E Green”</w:t>
      </w:r>
      <w:r>
        <w:rPr>
          <w:lang w:val="en-US"/>
        </w:rPr>
        <w:t xml:space="preserve"> scheme</w:t>
      </w:r>
      <w:r w:rsidRPr="00710271">
        <w:rPr>
          <w:lang w:val="en-US"/>
        </w:rPr>
        <w:t>, through its 1st subproject</w:t>
      </w:r>
      <w:r w:rsidRPr="00710271">
        <w:rPr>
          <w:color w:val="FF0000"/>
          <w:lang w:val="en-US"/>
        </w:rPr>
        <w:t xml:space="preserve"> </w:t>
      </w:r>
      <w:r w:rsidRPr="00710271">
        <w:rPr>
          <w:lang w:val="en-US"/>
        </w:rPr>
        <w:t xml:space="preserve">provides grants to industrial production units to establish capacity for manufacturing products and services that advance the green economy and foster innovation. </w:t>
      </w:r>
    </w:p>
    <w:p w14:paraId="702D3707" w14:textId="77777777" w:rsidR="00710271" w:rsidRPr="00A557BE" w:rsidRDefault="00A557BE" w:rsidP="00A557BE">
      <w:pPr>
        <w:rPr>
          <w:lang w:val="en-US"/>
        </w:rPr>
      </w:pPr>
      <w:r w:rsidRPr="00710271">
        <w:rPr>
          <w:lang w:val="en-US"/>
        </w:rPr>
        <w:t xml:space="preserve">The digitalization of the energy system and the development of smart grids are closely linked to innovation and competitiveness in the energy sector by enabling more efficient, reliable, and flexible energy management. These technologies allow for real-time monitoring and better integration of renewable energy sources, allowing energy providers to </w:t>
      </w:r>
      <w:proofErr w:type="spellStart"/>
      <w:r w:rsidRPr="00710271">
        <w:rPr>
          <w:lang w:val="en-US"/>
        </w:rPr>
        <w:t>optimise</w:t>
      </w:r>
      <w:proofErr w:type="spellEnd"/>
      <w:r w:rsidRPr="00710271">
        <w:rPr>
          <w:lang w:val="en-US"/>
        </w:rPr>
        <w:t xml:space="preserve"> operations, reduce costs and offer new services that foster a more dynamic and competitive market. Key initiatives driving this transition include HEDNO’s smart</w:t>
      </w:r>
      <w:r w:rsidRPr="00710271">
        <w:rPr>
          <w:rFonts w:ascii="Cambria Math" w:hAnsi="Cambria Math" w:cs="Cambria Math"/>
          <w:lang w:val="en-US"/>
        </w:rPr>
        <w:noBreakHyphen/>
      </w:r>
      <w:r w:rsidRPr="00710271">
        <w:rPr>
          <w:lang w:val="en-US"/>
        </w:rPr>
        <w:t>meter rollout and IPTO</w:t>
      </w:r>
      <w:r w:rsidRPr="00710271">
        <w:rPr>
          <w:rFonts w:ascii="Calibri" w:hAnsi="Calibri" w:cs="Calibri"/>
          <w:lang w:val="en-US"/>
        </w:rPr>
        <w:t>’</w:t>
      </w:r>
      <w:r w:rsidRPr="00710271">
        <w:rPr>
          <w:lang w:val="en-US"/>
        </w:rPr>
        <w:t>s grid</w:t>
      </w:r>
      <w:r w:rsidRPr="00710271">
        <w:rPr>
          <w:rFonts w:ascii="Cambria Math" w:hAnsi="Cambria Math" w:cs="Cambria Math"/>
          <w:lang w:val="en-US"/>
        </w:rPr>
        <w:noBreakHyphen/>
      </w:r>
      <w:proofErr w:type="spellStart"/>
      <w:r w:rsidRPr="00710271">
        <w:rPr>
          <w:lang w:val="en-US"/>
        </w:rPr>
        <w:t>modernisation</w:t>
      </w:r>
      <w:proofErr w:type="spellEnd"/>
      <w:r w:rsidRPr="00710271">
        <w:rPr>
          <w:lang w:val="en-US"/>
        </w:rPr>
        <w:t xml:space="preserve"> programme. </w:t>
      </w:r>
      <w:bookmarkEnd w:id="90"/>
    </w:p>
    <w:p w14:paraId="6908C127" w14:textId="77777777" w:rsidR="00D02539" w:rsidRDefault="00D02539" w:rsidP="00C76181">
      <w:pPr>
        <w:pStyle w:val="Heading1"/>
        <w:rPr>
          <w:lang w:val="en-US"/>
        </w:rPr>
        <w:sectPr w:rsidR="00D02539" w:rsidSect="00577A51">
          <w:footerReference w:type="even" r:id="rId16"/>
          <w:footerReference w:type="default" r:id="rId17"/>
          <w:pgSz w:w="11906" w:h="16838"/>
          <w:pgMar w:top="1304" w:right="1191" w:bottom="1191" w:left="1304" w:header="709" w:footer="709" w:gutter="567"/>
          <w:cols w:space="708"/>
          <w:titlePg/>
          <w:docGrid w:linePitch="360"/>
        </w:sectPr>
      </w:pPr>
      <w:bookmarkStart w:id="92" w:name="_Toc228279107"/>
    </w:p>
    <w:p w14:paraId="02B6E11B" w14:textId="39E2B2DB" w:rsidR="00C76181" w:rsidRDefault="00E03C4A" w:rsidP="00837640">
      <w:pPr>
        <w:pStyle w:val="Heading1"/>
        <w:spacing w:after="600"/>
        <w:rPr>
          <w:lang w:val="en-US"/>
        </w:rPr>
      </w:pPr>
      <w:r w:rsidRPr="000A5F2A">
        <w:rPr>
          <w:rFonts w:ascii="Times New Roman" w:eastAsia="Cambria" w:hAnsi="Times New Roman" w:cs="Times New Roman"/>
          <w:noProof/>
          <w:color w:val="000000"/>
          <w:lang w:val="en-US" w:eastAsia="en-US"/>
        </w:rPr>
        <w:lastRenderedPageBreak/>
        <w:drawing>
          <wp:anchor distT="0" distB="0" distL="114300" distR="114300" simplePos="0" relativeHeight="251677696" behindDoc="0" locked="0" layoutInCell="1" allowOverlap="0" wp14:anchorId="379C2F96" wp14:editId="7EB15E7C">
            <wp:simplePos x="0" y="0"/>
            <wp:positionH relativeFrom="page">
              <wp:posOffset>1152526</wp:posOffset>
            </wp:positionH>
            <wp:positionV relativeFrom="margin">
              <wp:posOffset>467360</wp:posOffset>
            </wp:positionV>
            <wp:extent cx="1276350" cy="814921"/>
            <wp:effectExtent l="0" t="0" r="0" b="4445"/>
            <wp:wrapNone/>
            <wp:docPr id="9045" name="Picture 9045"/>
            <wp:cNvGraphicFramePr/>
            <a:graphic xmlns:a="http://schemas.openxmlformats.org/drawingml/2006/main">
              <a:graphicData uri="http://schemas.openxmlformats.org/drawingml/2006/picture">
                <pic:pic xmlns:pic="http://schemas.openxmlformats.org/drawingml/2006/picture">
                  <pic:nvPicPr>
                    <pic:cNvPr id="9045" name="Picture 9045"/>
                    <pic:cNvPicPr/>
                  </pic:nvPicPr>
                  <pic:blipFill>
                    <a:blip r:embed="rId18" cstate="print"/>
                    <a:stretch>
                      <a:fillRect/>
                    </a:stretch>
                  </pic:blipFill>
                  <pic:spPr>
                    <a:xfrm>
                      <a:off x="0" y="0"/>
                      <a:ext cx="1283298" cy="819357"/>
                    </a:xfrm>
                    <a:prstGeom prst="rect">
                      <a:avLst/>
                    </a:prstGeom>
                  </pic:spPr>
                </pic:pic>
              </a:graphicData>
            </a:graphic>
            <wp14:sizeRelH relativeFrom="margin">
              <wp14:pctWidth>0</wp14:pctWidth>
            </wp14:sizeRelH>
            <wp14:sizeRelV relativeFrom="margin">
              <wp14:pctHeight>0</wp14:pctHeight>
            </wp14:sizeRelV>
          </wp:anchor>
        </w:drawing>
      </w:r>
      <w:r w:rsidR="00C76181">
        <w:rPr>
          <w:lang w:val="en-US"/>
        </w:rPr>
        <w:t>Annex I</w:t>
      </w:r>
      <w:r w:rsidR="00C3562C">
        <w:rPr>
          <w:lang w:val="en-US"/>
        </w:rPr>
        <w:t>I</w:t>
      </w:r>
      <w:r w:rsidR="00C76181">
        <w:rPr>
          <w:lang w:val="en-US"/>
        </w:rPr>
        <w:t xml:space="preserve">I: Hellenic Fiscal Council </w:t>
      </w:r>
      <w:bookmarkEnd w:id="92"/>
      <w:r w:rsidR="00B70F95">
        <w:rPr>
          <w:lang w:val="en-US"/>
        </w:rPr>
        <w:t>opinion</w:t>
      </w:r>
    </w:p>
    <w:p w14:paraId="4F78727D" w14:textId="77777777" w:rsidR="00D02539" w:rsidRPr="00D02539" w:rsidRDefault="00D02539" w:rsidP="00D02539">
      <w:pPr>
        <w:rPr>
          <w:lang w:val="en-US"/>
        </w:rPr>
      </w:pPr>
    </w:p>
    <w:p w14:paraId="327B4315" w14:textId="1E438F90" w:rsidR="00D02539" w:rsidRPr="00891B21" w:rsidRDefault="00D02539" w:rsidP="00D02539">
      <w:pPr>
        <w:jc w:val="right"/>
        <w:rPr>
          <w:rFonts w:ascii="Times New Roman" w:hAnsi="Times New Roman" w:cs="Times New Roman"/>
          <w:lang w:val="en-US"/>
        </w:rPr>
      </w:pPr>
      <w:r>
        <w:rPr>
          <w:rFonts w:ascii="Times New Roman" w:hAnsi="Times New Roman" w:cs="Times New Roman"/>
          <w:lang w:val="en-US"/>
        </w:rPr>
        <w:t xml:space="preserve">Athens, </w:t>
      </w:r>
      <w:r w:rsidRPr="00BD5969">
        <w:rPr>
          <w:rFonts w:ascii="Times New Roman" w:hAnsi="Times New Roman" w:cs="Times New Roman"/>
          <w:lang w:val="en-US"/>
        </w:rPr>
        <w:t>29</w:t>
      </w:r>
      <w:r w:rsidRPr="00E24476">
        <w:rPr>
          <w:rFonts w:ascii="Times New Roman" w:hAnsi="Times New Roman" w:cs="Times New Roman"/>
          <w:vertAlign w:val="superscript"/>
          <w:lang w:val="en-US"/>
        </w:rPr>
        <w:t>th</w:t>
      </w:r>
      <w:r w:rsidRPr="00E24476">
        <w:rPr>
          <w:rFonts w:ascii="Times New Roman" w:hAnsi="Times New Roman" w:cs="Times New Roman"/>
          <w:lang w:val="en-US"/>
        </w:rPr>
        <w:t xml:space="preserve"> of</w:t>
      </w:r>
      <w:r w:rsidRPr="00CF346E">
        <w:rPr>
          <w:rFonts w:ascii="Times New Roman" w:hAnsi="Times New Roman" w:cs="Times New Roman"/>
          <w:lang w:val="en-US"/>
        </w:rPr>
        <w:t xml:space="preserve"> </w:t>
      </w:r>
      <w:r>
        <w:rPr>
          <w:rFonts w:ascii="Times New Roman" w:hAnsi="Times New Roman" w:cs="Times New Roman"/>
          <w:lang w:val="en-US"/>
        </w:rPr>
        <w:t>April 202</w:t>
      </w:r>
      <w:r w:rsidRPr="00891B21">
        <w:rPr>
          <w:rFonts w:ascii="Times New Roman" w:hAnsi="Times New Roman" w:cs="Times New Roman"/>
          <w:lang w:val="en-US"/>
        </w:rPr>
        <w:t>6</w:t>
      </w:r>
    </w:p>
    <w:p w14:paraId="6DC26563" w14:textId="77777777" w:rsidR="00D02539" w:rsidRDefault="00D02539" w:rsidP="00D02539">
      <w:pPr>
        <w:spacing w:after="0" w:line="259" w:lineRule="auto"/>
        <w:jc w:val="center"/>
        <w:rPr>
          <w:rFonts w:ascii="Times New Roman" w:eastAsia="Arial" w:hAnsi="Times New Roman" w:cs="Times New Roman"/>
          <w:b/>
          <w:color w:val="3672B9"/>
          <w:sz w:val="24"/>
          <w:lang w:val="en-US"/>
        </w:rPr>
      </w:pPr>
      <w:r>
        <w:rPr>
          <w:rFonts w:ascii="Times New Roman" w:eastAsia="Arial" w:hAnsi="Times New Roman" w:cs="Times New Roman"/>
          <w:b/>
          <w:color w:val="3672B9"/>
          <w:sz w:val="24"/>
          <w:lang w:val="en-US"/>
        </w:rPr>
        <w:t>Assessment of</w:t>
      </w:r>
      <w:r w:rsidRPr="00745740">
        <w:rPr>
          <w:rFonts w:ascii="Times New Roman" w:eastAsia="Arial" w:hAnsi="Times New Roman" w:cs="Times New Roman"/>
          <w:b/>
          <w:color w:val="3672B9"/>
          <w:sz w:val="24"/>
          <w:lang w:val="en-US"/>
        </w:rPr>
        <w:t xml:space="preserve"> </w:t>
      </w:r>
      <w:r>
        <w:rPr>
          <w:rFonts w:ascii="Times New Roman" w:eastAsia="Arial" w:hAnsi="Times New Roman" w:cs="Times New Roman"/>
          <w:b/>
          <w:color w:val="3672B9"/>
          <w:sz w:val="24"/>
          <w:lang w:val="en-US"/>
        </w:rPr>
        <w:t xml:space="preserve">the compliance of the budgetary outturns data reported in </w:t>
      </w:r>
    </w:p>
    <w:p w14:paraId="55B87B2D" w14:textId="77777777" w:rsidR="00D02539" w:rsidRPr="00745740" w:rsidRDefault="00D02539" w:rsidP="00D02539">
      <w:pPr>
        <w:spacing w:after="0" w:line="259" w:lineRule="auto"/>
        <w:jc w:val="center"/>
        <w:rPr>
          <w:rFonts w:ascii="Times New Roman" w:eastAsia="Arial" w:hAnsi="Times New Roman" w:cs="Times New Roman"/>
          <w:b/>
          <w:color w:val="3672B9"/>
          <w:sz w:val="24"/>
          <w:lang w:val="en-US"/>
        </w:rPr>
      </w:pPr>
      <w:r w:rsidRPr="00745740">
        <w:rPr>
          <w:rFonts w:ascii="Times New Roman" w:eastAsia="Arial" w:hAnsi="Times New Roman" w:cs="Times New Roman"/>
          <w:b/>
          <w:color w:val="3672B9"/>
          <w:sz w:val="24"/>
          <w:lang w:val="en-US"/>
        </w:rPr>
        <w:t xml:space="preserve">the </w:t>
      </w:r>
      <w:r>
        <w:rPr>
          <w:rFonts w:ascii="Times New Roman" w:eastAsia="Arial" w:hAnsi="Times New Roman" w:cs="Times New Roman"/>
          <w:b/>
          <w:color w:val="3672B9"/>
          <w:sz w:val="24"/>
          <w:lang w:val="en-US"/>
        </w:rPr>
        <w:t>Annual Progress Report 202</w:t>
      </w:r>
      <w:r w:rsidRPr="00406CB4">
        <w:rPr>
          <w:rFonts w:ascii="Times New Roman" w:eastAsia="Arial" w:hAnsi="Times New Roman" w:cs="Times New Roman"/>
          <w:b/>
          <w:color w:val="3672B9"/>
          <w:sz w:val="24"/>
          <w:lang w:val="en-US"/>
        </w:rPr>
        <w:t>6</w:t>
      </w:r>
      <w:r>
        <w:rPr>
          <w:rFonts w:ascii="Times New Roman" w:eastAsia="Arial" w:hAnsi="Times New Roman" w:cs="Times New Roman"/>
          <w:b/>
          <w:color w:val="3672B9"/>
          <w:sz w:val="24"/>
          <w:lang w:val="en-US"/>
        </w:rPr>
        <w:t xml:space="preserve"> </w:t>
      </w:r>
    </w:p>
    <w:p w14:paraId="23971E01" w14:textId="77777777" w:rsidR="00D02539" w:rsidRPr="00CF346E" w:rsidRDefault="00D02539" w:rsidP="00837640">
      <w:pPr>
        <w:spacing w:after="0"/>
        <w:rPr>
          <w:rFonts w:ascii="Times New Roman" w:hAnsi="Times New Roman" w:cs="Times New Roman"/>
          <w:lang w:val="en-US"/>
        </w:rPr>
      </w:pPr>
      <w:r w:rsidRPr="00CF346E">
        <w:rPr>
          <w:rFonts w:ascii="Times New Roman" w:hAnsi="Times New Roman" w:cs="Times New Roman"/>
          <w:lang w:val="en-US"/>
        </w:rPr>
        <w:t xml:space="preserve"> </w:t>
      </w:r>
    </w:p>
    <w:p w14:paraId="7766C0E3" w14:textId="72F37A23" w:rsidR="00D02539" w:rsidRDefault="00D02539" w:rsidP="00837640">
      <w:pPr>
        <w:spacing w:after="0" w:line="250" w:lineRule="auto"/>
        <w:ind w:left="3" w:hanging="10"/>
        <w:rPr>
          <w:rFonts w:ascii="Times New Roman" w:eastAsia="Cambria" w:hAnsi="Times New Roman" w:cs="Times New Roman"/>
          <w:color w:val="000000"/>
          <w:vertAlign w:val="superscript"/>
          <w:lang w:val="en-US"/>
        </w:rPr>
      </w:pPr>
      <w:r w:rsidRPr="000A5F2A">
        <w:rPr>
          <w:rFonts w:ascii="Times New Roman" w:eastAsia="Cambria" w:hAnsi="Times New Roman" w:cs="Times New Roman"/>
          <w:color w:val="000000"/>
          <w:lang w:val="en-US"/>
        </w:rPr>
        <w:t xml:space="preserve">The Hellenic Fiscal Council (HIFSC) </w:t>
      </w:r>
      <w:r>
        <w:rPr>
          <w:rFonts w:ascii="Times New Roman" w:eastAsia="Cambria" w:hAnsi="Times New Roman" w:cs="Times New Roman"/>
          <w:color w:val="000000"/>
          <w:lang w:val="en-US"/>
        </w:rPr>
        <w:t xml:space="preserve">was </w:t>
      </w:r>
      <w:r w:rsidRPr="000A5F2A">
        <w:rPr>
          <w:rFonts w:ascii="Times New Roman" w:eastAsia="Cambria" w:hAnsi="Times New Roman" w:cs="Times New Roman"/>
          <w:color w:val="000000"/>
          <w:lang w:val="en-US"/>
        </w:rPr>
        <w:t xml:space="preserve">established as an independent fiscal authority under the law 4270/2014. HFISC submits </w:t>
      </w:r>
      <w:r>
        <w:rPr>
          <w:rFonts w:ascii="Times New Roman" w:eastAsia="Cambria" w:hAnsi="Times New Roman" w:cs="Times New Roman"/>
          <w:color w:val="000000"/>
          <w:lang w:val="en-US"/>
        </w:rPr>
        <w:t>the current</w:t>
      </w:r>
      <w:r w:rsidRPr="000A5F2A">
        <w:rPr>
          <w:rFonts w:ascii="Times New Roman" w:eastAsia="Cambria" w:hAnsi="Times New Roman" w:cs="Times New Roman"/>
          <w:color w:val="000000"/>
          <w:lang w:val="en-US"/>
        </w:rPr>
        <w:t xml:space="preserve"> </w:t>
      </w:r>
      <w:r>
        <w:rPr>
          <w:rFonts w:ascii="Times New Roman" w:eastAsia="Cambria" w:hAnsi="Times New Roman" w:cs="Times New Roman"/>
          <w:color w:val="000000"/>
          <w:lang w:val="en-US"/>
        </w:rPr>
        <w:t>a</w:t>
      </w:r>
      <w:r w:rsidRPr="0079229A">
        <w:rPr>
          <w:rFonts w:ascii="Times New Roman" w:eastAsia="Cambria" w:hAnsi="Times New Roman" w:cs="Times New Roman"/>
          <w:color w:val="000000"/>
          <w:lang w:val="en-US"/>
        </w:rPr>
        <w:t>ssessment of the compliance of the bu</w:t>
      </w:r>
      <w:r>
        <w:rPr>
          <w:rFonts w:ascii="Times New Roman" w:eastAsia="Cambria" w:hAnsi="Times New Roman" w:cs="Times New Roman"/>
          <w:color w:val="000000"/>
          <w:lang w:val="en-US"/>
        </w:rPr>
        <w:t xml:space="preserve">dgetary outturns data reported </w:t>
      </w:r>
      <w:r w:rsidRPr="0079229A">
        <w:rPr>
          <w:rFonts w:ascii="Times New Roman" w:eastAsia="Cambria" w:hAnsi="Times New Roman" w:cs="Times New Roman"/>
          <w:color w:val="000000"/>
          <w:lang w:val="en-US"/>
        </w:rPr>
        <w:t>in</w:t>
      </w:r>
      <w:r>
        <w:rPr>
          <w:rFonts w:ascii="Times New Roman" w:eastAsia="Cambria" w:hAnsi="Times New Roman" w:cs="Times New Roman"/>
          <w:color w:val="000000"/>
          <w:lang w:val="en-US"/>
        </w:rPr>
        <w:t xml:space="preserve"> the Annual Progress Report 202</w:t>
      </w:r>
      <w:r w:rsidRPr="004F2C0E">
        <w:rPr>
          <w:rFonts w:ascii="Times New Roman" w:eastAsia="Cambria" w:hAnsi="Times New Roman" w:cs="Times New Roman"/>
          <w:color w:val="000000"/>
          <w:lang w:val="en-US"/>
        </w:rPr>
        <w:t>6</w:t>
      </w:r>
      <w:r w:rsidRPr="0079229A">
        <w:rPr>
          <w:rFonts w:ascii="Times New Roman" w:eastAsia="Cambria" w:hAnsi="Times New Roman" w:cs="Times New Roman"/>
          <w:color w:val="000000"/>
          <w:lang w:val="en-US"/>
        </w:rPr>
        <w:t xml:space="preserve"> </w:t>
      </w:r>
      <w:r>
        <w:rPr>
          <w:rFonts w:ascii="Times New Roman" w:eastAsia="Cambria" w:hAnsi="Times New Roman" w:cs="Times New Roman"/>
          <w:color w:val="000000"/>
          <w:lang w:val="en-US"/>
        </w:rPr>
        <w:t>(APR 202</w:t>
      </w:r>
      <w:r w:rsidRPr="004F2C0E">
        <w:rPr>
          <w:rFonts w:ascii="Times New Roman" w:eastAsia="Cambria" w:hAnsi="Times New Roman" w:cs="Times New Roman"/>
          <w:color w:val="000000"/>
          <w:lang w:val="en-US"/>
        </w:rPr>
        <w:t>6</w:t>
      </w:r>
      <w:r w:rsidRPr="000A5F2A">
        <w:rPr>
          <w:rFonts w:ascii="Times New Roman" w:eastAsia="Cambria" w:hAnsi="Times New Roman" w:cs="Times New Roman"/>
          <w:color w:val="000000"/>
          <w:lang w:val="en-US"/>
        </w:rPr>
        <w:t>) as stipulated i</w:t>
      </w:r>
      <w:r>
        <w:rPr>
          <w:rFonts w:ascii="Times New Roman" w:eastAsia="Cambria" w:hAnsi="Times New Roman" w:cs="Times New Roman"/>
          <w:color w:val="000000"/>
          <w:lang w:val="en-US"/>
        </w:rPr>
        <w:t xml:space="preserve">n Regulation </w:t>
      </w:r>
      <w:r w:rsidRPr="000A5F2A">
        <w:rPr>
          <w:rFonts w:ascii="Times New Roman" w:eastAsia="Cambria" w:hAnsi="Times New Roman" w:cs="Times New Roman"/>
          <w:color w:val="000000"/>
          <w:lang w:val="en-US"/>
        </w:rPr>
        <w:t>(EU)</w:t>
      </w:r>
      <w:r>
        <w:rPr>
          <w:rFonts w:ascii="Times New Roman" w:eastAsia="Cambria" w:hAnsi="Times New Roman" w:cs="Times New Roman"/>
          <w:color w:val="000000"/>
          <w:lang w:val="en-US"/>
        </w:rPr>
        <w:t xml:space="preserve"> 2024/1263 (Art. 23</w:t>
      </w:r>
      <w:r w:rsidRPr="000A5F2A">
        <w:rPr>
          <w:rFonts w:ascii="Times New Roman" w:eastAsia="Cambria" w:hAnsi="Times New Roman" w:cs="Times New Roman"/>
          <w:color w:val="000000"/>
          <w:lang w:val="en-US"/>
        </w:rPr>
        <w:t>) of the Europea</w:t>
      </w:r>
      <w:r>
        <w:rPr>
          <w:rFonts w:ascii="Times New Roman" w:eastAsia="Cambria" w:hAnsi="Times New Roman" w:cs="Times New Roman"/>
          <w:color w:val="000000"/>
          <w:lang w:val="en-US"/>
        </w:rPr>
        <w:t>n Parliament and of the Council.</w:t>
      </w:r>
      <w:r>
        <w:rPr>
          <w:rStyle w:val="FootnoteReference"/>
          <w:rFonts w:ascii="Times New Roman" w:eastAsia="Cambria" w:hAnsi="Times New Roman" w:cs="Times New Roman"/>
          <w:color w:val="000000"/>
          <w:lang w:val="en-US"/>
        </w:rPr>
        <w:footnoteReference w:id="2"/>
      </w:r>
      <w:r w:rsidRPr="00BD17D4">
        <w:rPr>
          <w:rFonts w:ascii="Times New Roman" w:eastAsia="Cambria" w:hAnsi="Times New Roman" w:cs="Times New Roman"/>
          <w:color w:val="000000"/>
          <w:vertAlign w:val="superscript"/>
          <w:lang w:val="en-US"/>
        </w:rPr>
        <w:t xml:space="preserve">, </w:t>
      </w:r>
      <w:r w:rsidRPr="00BD17D4">
        <w:rPr>
          <w:rStyle w:val="FootnoteReference"/>
          <w:rFonts w:ascii="Times New Roman" w:eastAsia="Cambria" w:hAnsi="Times New Roman" w:cs="Times New Roman"/>
          <w:color w:val="000000"/>
          <w:lang w:val="en-US"/>
        </w:rPr>
        <w:footnoteReference w:id="3"/>
      </w:r>
    </w:p>
    <w:p w14:paraId="4D65B227" w14:textId="77777777" w:rsidR="00D02539" w:rsidRPr="000A5F2A" w:rsidRDefault="00D02539" w:rsidP="00837640">
      <w:pPr>
        <w:spacing w:after="0" w:line="250" w:lineRule="auto"/>
        <w:ind w:left="3" w:hanging="10"/>
        <w:rPr>
          <w:rFonts w:ascii="Times New Roman" w:eastAsia="Cambria" w:hAnsi="Times New Roman" w:cs="Times New Roman"/>
          <w:color w:val="000000"/>
          <w:lang w:val="en-US"/>
        </w:rPr>
      </w:pPr>
      <w:r w:rsidRPr="000A5F2A">
        <w:rPr>
          <w:rFonts w:ascii="Times New Roman" w:eastAsia="Cambria" w:hAnsi="Times New Roman" w:cs="Times New Roman"/>
          <w:color w:val="000000"/>
          <w:lang w:val="en-US"/>
        </w:rPr>
        <w:t>This assessment takes into account the following:</w:t>
      </w:r>
    </w:p>
    <w:p w14:paraId="517055A3" w14:textId="77777777" w:rsidR="00D02539" w:rsidRDefault="00D02539" w:rsidP="00837640">
      <w:pPr>
        <w:numPr>
          <w:ilvl w:val="0"/>
          <w:numId w:val="7"/>
        </w:numPr>
        <w:spacing w:before="120" w:after="0" w:line="250" w:lineRule="auto"/>
        <w:ind w:hanging="360"/>
        <w:rPr>
          <w:rFonts w:ascii="Times New Roman" w:eastAsia="Cambria" w:hAnsi="Times New Roman" w:cs="Times New Roman"/>
          <w:color w:val="000000"/>
          <w:lang w:val="en-US"/>
        </w:rPr>
      </w:pPr>
      <w:r w:rsidRPr="005059A2">
        <w:rPr>
          <w:rFonts w:ascii="Times New Roman" w:eastAsia="Cambria" w:hAnsi="Times New Roman" w:cs="Times New Roman"/>
          <w:color w:val="000000"/>
          <w:lang w:val="en-US"/>
        </w:rPr>
        <w:t>The APR</w:t>
      </w:r>
      <w:r>
        <w:rPr>
          <w:rFonts w:ascii="Times New Roman" w:eastAsia="Cambria" w:hAnsi="Times New Roman" w:cs="Times New Roman"/>
          <w:color w:val="000000"/>
          <w:lang w:val="en-US"/>
        </w:rPr>
        <w:t xml:space="preserve"> 2026</w:t>
      </w:r>
      <w:r w:rsidRPr="005059A2">
        <w:rPr>
          <w:rFonts w:ascii="Times New Roman" w:eastAsia="Cambria" w:hAnsi="Times New Roman" w:cs="Times New Roman"/>
          <w:color w:val="000000"/>
          <w:lang w:val="en-US"/>
        </w:rPr>
        <w:t xml:space="preserve"> macroeconomic scenario and budgetary forecasts that have been </w:t>
      </w:r>
      <w:r>
        <w:rPr>
          <w:rFonts w:ascii="Times New Roman" w:eastAsia="Cambria" w:hAnsi="Times New Roman" w:cs="Times New Roman"/>
          <w:color w:val="000000"/>
          <w:lang w:val="en-US"/>
        </w:rPr>
        <w:t>communicated</w:t>
      </w:r>
      <w:r w:rsidRPr="005059A2">
        <w:rPr>
          <w:rFonts w:ascii="Times New Roman" w:eastAsia="Cambria" w:hAnsi="Times New Roman" w:cs="Times New Roman"/>
          <w:color w:val="000000"/>
          <w:lang w:val="en-US"/>
        </w:rPr>
        <w:t xml:space="preserve"> by the Ministry of Economy and Finance (MinFin) to HFISC on </w:t>
      </w:r>
      <w:r>
        <w:rPr>
          <w:rFonts w:ascii="Times New Roman" w:eastAsia="Cambria" w:hAnsi="Times New Roman" w:cs="Times New Roman"/>
          <w:color w:val="000000"/>
          <w:lang w:val="en-US"/>
        </w:rPr>
        <w:t>16 and 2</w:t>
      </w:r>
      <w:r w:rsidRPr="00BB27E9">
        <w:rPr>
          <w:rFonts w:ascii="Times New Roman" w:eastAsia="Cambria" w:hAnsi="Times New Roman" w:cs="Times New Roman"/>
          <w:color w:val="000000"/>
          <w:lang w:val="en-US"/>
        </w:rPr>
        <w:t>4</w:t>
      </w:r>
      <w:r w:rsidRPr="00300EA5">
        <w:rPr>
          <w:rFonts w:ascii="Times New Roman" w:eastAsia="Cambria" w:hAnsi="Times New Roman" w:cs="Times New Roman"/>
          <w:color w:val="000000"/>
          <w:lang w:val="en-US"/>
        </w:rPr>
        <w:t xml:space="preserve"> April 2026</w:t>
      </w:r>
      <w:r>
        <w:rPr>
          <w:rFonts w:ascii="Times New Roman" w:eastAsia="Cambria" w:hAnsi="Times New Roman" w:cs="Times New Roman"/>
          <w:color w:val="000000"/>
          <w:lang w:val="en-US"/>
        </w:rPr>
        <w:t xml:space="preserve">, respectively, </w:t>
      </w:r>
      <w:r w:rsidRPr="005059A2">
        <w:rPr>
          <w:rFonts w:ascii="Times New Roman" w:eastAsia="Cambria" w:hAnsi="Times New Roman" w:cs="Times New Roman"/>
          <w:color w:val="000000"/>
          <w:lang w:val="en-US"/>
        </w:rPr>
        <w:t xml:space="preserve">and the technical dialogue between experts from MinFin and HFISC. </w:t>
      </w:r>
    </w:p>
    <w:p w14:paraId="5D923564" w14:textId="77777777" w:rsidR="00D02539" w:rsidRDefault="00D02539" w:rsidP="00837640">
      <w:pPr>
        <w:numPr>
          <w:ilvl w:val="0"/>
          <w:numId w:val="7"/>
        </w:numPr>
        <w:spacing w:before="60" w:after="0" w:line="250" w:lineRule="auto"/>
        <w:ind w:hanging="360"/>
        <w:rPr>
          <w:rFonts w:ascii="Times New Roman" w:eastAsia="Cambria" w:hAnsi="Times New Roman" w:cs="Times New Roman"/>
          <w:color w:val="000000"/>
          <w:lang w:val="en-US"/>
        </w:rPr>
      </w:pPr>
      <w:r>
        <w:rPr>
          <w:rFonts w:ascii="Times New Roman" w:eastAsia="Cambria" w:hAnsi="Times New Roman" w:cs="Times New Roman"/>
          <w:color w:val="000000"/>
          <w:lang w:val="en-US"/>
        </w:rPr>
        <w:t xml:space="preserve">The </w:t>
      </w:r>
      <w:r w:rsidRPr="00673F9A">
        <w:rPr>
          <w:rFonts w:ascii="Times New Roman" w:eastAsia="Cambria" w:hAnsi="Times New Roman" w:cs="Times New Roman"/>
          <w:color w:val="000000"/>
          <w:lang w:val="en-US"/>
        </w:rPr>
        <w:t xml:space="preserve">Council Recommendation </w:t>
      </w:r>
      <w:r>
        <w:rPr>
          <w:rFonts w:ascii="Times New Roman" w:eastAsia="Cambria" w:hAnsi="Times New Roman" w:cs="Times New Roman"/>
          <w:color w:val="000000"/>
          <w:lang w:val="en-US"/>
        </w:rPr>
        <w:t xml:space="preserve">of 21 January 2025 </w:t>
      </w:r>
      <w:r w:rsidRPr="00673F9A">
        <w:rPr>
          <w:rFonts w:ascii="Times New Roman" w:eastAsia="Cambria" w:hAnsi="Times New Roman" w:cs="Times New Roman"/>
          <w:color w:val="000000"/>
          <w:lang w:val="en-US"/>
        </w:rPr>
        <w:t>endorsing the national medium-term fi</w:t>
      </w:r>
      <w:r>
        <w:rPr>
          <w:rFonts w:ascii="Times New Roman" w:eastAsia="Cambria" w:hAnsi="Times New Roman" w:cs="Times New Roman"/>
          <w:color w:val="000000"/>
          <w:lang w:val="en-US"/>
        </w:rPr>
        <w:t>scal-structural plan of Greece.</w:t>
      </w:r>
      <w:r>
        <w:rPr>
          <w:rStyle w:val="FootnoteReference"/>
          <w:rFonts w:ascii="Times New Roman" w:eastAsia="Cambria" w:hAnsi="Times New Roman" w:cs="Times New Roman"/>
          <w:color w:val="000000"/>
          <w:lang w:val="en-US"/>
        </w:rPr>
        <w:footnoteReference w:id="4"/>
      </w:r>
      <w:r w:rsidRPr="00430A61">
        <w:rPr>
          <w:rFonts w:ascii="Times New Roman" w:eastAsia="Cambria" w:hAnsi="Times New Roman" w:cs="Times New Roman"/>
          <w:noProof/>
          <w:color w:val="000000"/>
          <w:lang w:val="en-US"/>
        </w:rPr>
        <w:t xml:space="preserve"> </w:t>
      </w:r>
    </w:p>
    <w:p w14:paraId="4D171BBD" w14:textId="77777777" w:rsidR="00D02539" w:rsidRDefault="00D02539" w:rsidP="00837640">
      <w:pPr>
        <w:numPr>
          <w:ilvl w:val="0"/>
          <w:numId w:val="7"/>
        </w:numPr>
        <w:spacing w:before="60" w:after="0" w:line="250" w:lineRule="auto"/>
        <w:ind w:hanging="360"/>
        <w:rPr>
          <w:rFonts w:ascii="Times New Roman" w:eastAsia="Cambria" w:hAnsi="Times New Roman" w:cs="Times New Roman"/>
          <w:color w:val="000000"/>
          <w:lang w:val="en-US"/>
        </w:rPr>
      </w:pPr>
      <w:r>
        <w:rPr>
          <w:rFonts w:ascii="Times New Roman" w:eastAsia="Cambria" w:hAnsi="Times New Roman" w:cs="Times New Roman"/>
          <w:noProof/>
          <w:color w:val="000000"/>
          <w:lang w:val="en-US"/>
        </w:rPr>
        <w:t xml:space="preserve">The </w:t>
      </w:r>
      <w:r w:rsidRPr="002D050B">
        <w:rPr>
          <w:rFonts w:ascii="Times New Roman" w:eastAsia="Cambria" w:hAnsi="Times New Roman" w:cs="Times New Roman"/>
          <w:noProof/>
          <w:color w:val="000000"/>
          <w:lang w:val="en-US"/>
        </w:rPr>
        <w:t>Council Recommendation allowing Greece to deviate from the maximum growth rates of net expenditure as set by the Council under Regulation (EU) 2024/1263</w:t>
      </w:r>
      <w:r>
        <w:rPr>
          <w:rFonts w:ascii="Times New Roman" w:eastAsia="Cambria" w:hAnsi="Times New Roman" w:cs="Times New Roman"/>
          <w:noProof/>
          <w:color w:val="000000"/>
          <w:lang w:val="en-US"/>
        </w:rPr>
        <w:t xml:space="preserve"> (</w:t>
      </w:r>
      <w:r w:rsidRPr="00EC7D60">
        <w:rPr>
          <w:rFonts w:ascii="Times New Roman" w:eastAsia="Cambria" w:hAnsi="Times New Roman" w:cs="Times New Roman"/>
          <w:noProof/>
          <w:color w:val="000000"/>
          <w:lang w:val="en-US"/>
        </w:rPr>
        <w:t>Activation of the national escape clause</w:t>
      </w:r>
      <w:r>
        <w:rPr>
          <w:rFonts w:ascii="Times New Roman" w:eastAsia="Cambria" w:hAnsi="Times New Roman" w:cs="Times New Roman"/>
          <w:noProof/>
          <w:color w:val="000000"/>
          <w:lang w:val="en-US"/>
        </w:rPr>
        <w:t>).</w:t>
      </w:r>
      <w:r>
        <w:rPr>
          <w:rStyle w:val="FootnoteReference"/>
          <w:rFonts w:ascii="Times New Roman" w:eastAsia="Cambria" w:hAnsi="Times New Roman" w:cs="Times New Roman"/>
          <w:noProof/>
          <w:color w:val="000000"/>
          <w:lang w:val="en-US"/>
        </w:rPr>
        <w:footnoteReference w:id="5"/>
      </w:r>
    </w:p>
    <w:p w14:paraId="0A8FF668" w14:textId="77777777" w:rsidR="00D02539" w:rsidRPr="00430A61" w:rsidRDefault="00D02539" w:rsidP="00837640">
      <w:pPr>
        <w:numPr>
          <w:ilvl w:val="0"/>
          <w:numId w:val="7"/>
        </w:numPr>
        <w:spacing w:before="60" w:after="0" w:line="250" w:lineRule="auto"/>
        <w:ind w:hanging="360"/>
        <w:rPr>
          <w:rFonts w:ascii="Times New Roman" w:eastAsia="Cambria" w:hAnsi="Times New Roman" w:cs="Times New Roman"/>
          <w:color w:val="000000"/>
          <w:lang w:val="en-US"/>
        </w:rPr>
      </w:pPr>
      <w:r w:rsidRPr="000A5F2A">
        <w:rPr>
          <w:rFonts w:ascii="Times New Roman" w:eastAsia="Cambria" w:hAnsi="Times New Roman" w:cs="Times New Roman"/>
          <w:color w:val="000000"/>
          <w:lang w:val="en-US"/>
        </w:rPr>
        <w:t xml:space="preserve">The most recent data published from the Hellenic Statistical </w:t>
      </w:r>
      <w:r>
        <w:rPr>
          <w:rFonts w:ascii="Times New Roman" w:eastAsia="Cambria" w:hAnsi="Times New Roman" w:cs="Times New Roman"/>
          <w:color w:val="000000"/>
          <w:lang w:val="en-US"/>
        </w:rPr>
        <w:t>Authority (ELSTAT) covering the</w:t>
      </w:r>
      <w:r w:rsidRPr="008F7F5A">
        <w:rPr>
          <w:rFonts w:ascii="Times New Roman" w:eastAsia="Cambria" w:hAnsi="Times New Roman" w:cs="Times New Roman"/>
          <w:color w:val="000000"/>
          <w:lang w:val="en-US"/>
        </w:rPr>
        <w:t xml:space="preserve"> </w:t>
      </w:r>
      <w:r>
        <w:rPr>
          <w:rFonts w:ascii="Times New Roman" w:eastAsia="Cambria" w:hAnsi="Times New Roman" w:cs="Times New Roman"/>
          <w:color w:val="000000"/>
          <w:lang w:val="en-US"/>
        </w:rPr>
        <w:t>entire year</w:t>
      </w:r>
      <w:r w:rsidRPr="000A5F2A">
        <w:rPr>
          <w:rFonts w:ascii="Times New Roman" w:eastAsia="Cambria" w:hAnsi="Times New Roman" w:cs="Times New Roman"/>
          <w:color w:val="000000"/>
          <w:lang w:val="en-US"/>
        </w:rPr>
        <w:t xml:space="preserve"> 202</w:t>
      </w:r>
      <w:r>
        <w:rPr>
          <w:rFonts w:ascii="Times New Roman" w:eastAsia="Cambria" w:hAnsi="Times New Roman" w:cs="Times New Roman"/>
          <w:color w:val="000000"/>
          <w:lang w:val="en-US"/>
        </w:rPr>
        <w:t>5</w:t>
      </w:r>
      <w:r w:rsidRPr="00C52AA7">
        <w:rPr>
          <w:rFonts w:ascii="Times New Roman" w:eastAsia="Cambria" w:hAnsi="Times New Roman" w:cs="Times New Roman"/>
          <w:color w:val="000000"/>
          <w:lang w:val="en-US"/>
        </w:rPr>
        <w:t>.</w:t>
      </w:r>
      <w:r w:rsidRPr="00C52AA7">
        <w:rPr>
          <w:rFonts w:ascii="Times New Roman" w:eastAsia="Cambria" w:hAnsi="Times New Roman" w:cs="Times New Roman"/>
          <w:color w:val="000000"/>
          <w:sz w:val="20"/>
          <w:vertAlign w:val="superscript"/>
        </w:rPr>
        <w:footnoteReference w:id="6"/>
      </w:r>
    </w:p>
    <w:p w14:paraId="4FECB7F7" w14:textId="77777777" w:rsidR="00D02539" w:rsidRPr="00E06A36" w:rsidRDefault="00D02539" w:rsidP="00837640">
      <w:pPr>
        <w:numPr>
          <w:ilvl w:val="0"/>
          <w:numId w:val="7"/>
        </w:numPr>
        <w:spacing w:after="0" w:line="250" w:lineRule="auto"/>
        <w:ind w:hanging="360"/>
        <w:rPr>
          <w:rFonts w:ascii="Times New Roman" w:eastAsia="Cambria" w:hAnsi="Times New Roman" w:cs="Times New Roman"/>
          <w:color w:val="000000"/>
          <w:lang w:val="en-US"/>
        </w:rPr>
      </w:pPr>
      <w:r w:rsidRPr="00E06A36">
        <w:rPr>
          <w:rFonts w:ascii="Times New Roman" w:eastAsia="Cambria" w:hAnsi="Times New Roman" w:cs="Times New Roman"/>
          <w:color w:val="000000"/>
          <w:lang w:val="en-US"/>
        </w:rPr>
        <w:t>The Draft Bugetary Plan 2026 (DBP 2026), State Budget 2026 (SB 2026) projections as well as those of the Medium-Term Fiscal-Structural Plan 2025-2028 (MTP 2025-2028).</w:t>
      </w:r>
      <w:r w:rsidRPr="00E06A36">
        <w:rPr>
          <w:rStyle w:val="FootnoteReference"/>
          <w:rFonts w:ascii="Times New Roman" w:eastAsia="Cambria" w:hAnsi="Times New Roman" w:cs="Times New Roman"/>
          <w:color w:val="000000"/>
          <w:lang w:val="en-US"/>
        </w:rPr>
        <w:footnoteReference w:id="7"/>
      </w:r>
      <w:r w:rsidRPr="00E06A36">
        <w:rPr>
          <w:rFonts w:ascii="Times New Roman" w:eastAsia="Cambria" w:hAnsi="Times New Roman" w:cs="Times New Roman"/>
          <w:color w:val="000000"/>
          <w:vertAlign w:val="superscript"/>
          <w:lang w:val="en-US"/>
        </w:rPr>
        <w:t xml:space="preserve">, </w:t>
      </w:r>
      <w:r w:rsidRPr="00E06A36">
        <w:rPr>
          <w:rFonts w:ascii="Times New Roman" w:eastAsia="Cambria" w:hAnsi="Times New Roman" w:cs="Times New Roman"/>
          <w:color w:val="000000"/>
          <w:vertAlign w:val="superscript"/>
        </w:rPr>
        <w:footnoteReference w:id="8"/>
      </w:r>
      <w:r w:rsidRPr="00E06A36">
        <w:rPr>
          <w:rFonts w:ascii="Times New Roman" w:eastAsia="Cambria" w:hAnsi="Times New Roman" w:cs="Times New Roman"/>
          <w:color w:val="000000"/>
          <w:vertAlign w:val="superscript"/>
          <w:lang w:val="en-US"/>
        </w:rPr>
        <w:t xml:space="preserve">, </w:t>
      </w:r>
      <w:r w:rsidRPr="00E06A36">
        <w:rPr>
          <w:rFonts w:ascii="Times New Roman" w:eastAsia="Cambria" w:hAnsi="Times New Roman" w:cs="Times New Roman"/>
          <w:color w:val="000000"/>
          <w:vertAlign w:val="superscript"/>
        </w:rPr>
        <w:footnoteReference w:id="9"/>
      </w:r>
    </w:p>
    <w:p w14:paraId="475A63CF" w14:textId="77777777" w:rsidR="00D02539" w:rsidRDefault="00D02539" w:rsidP="00837640">
      <w:pPr>
        <w:numPr>
          <w:ilvl w:val="0"/>
          <w:numId w:val="7"/>
        </w:numPr>
        <w:spacing w:before="60" w:after="0" w:line="250" w:lineRule="auto"/>
        <w:ind w:hanging="360"/>
        <w:rPr>
          <w:rFonts w:ascii="Times New Roman" w:eastAsia="Cambria" w:hAnsi="Times New Roman" w:cs="Times New Roman"/>
          <w:color w:val="000000"/>
          <w:lang w:val="en-US"/>
        </w:rPr>
      </w:pPr>
      <w:r w:rsidRPr="00E06A36">
        <w:rPr>
          <w:rFonts w:ascii="Times New Roman" w:eastAsia="Cambria" w:hAnsi="Times New Roman" w:cs="Times New Roman"/>
          <w:color w:val="000000"/>
          <w:lang w:val="en-US"/>
        </w:rPr>
        <w:t>The European Commission’s (EC) 2025 Autumn Forecasts, along with main economic indicators and macroeconomic forecasts of leading international and national institutions for the Greek economy.</w:t>
      </w:r>
      <w:r w:rsidRPr="00E06A36">
        <w:rPr>
          <w:rStyle w:val="FootnoteReference"/>
          <w:rFonts w:ascii="Times New Roman" w:eastAsia="Cambria" w:hAnsi="Times New Roman" w:cs="Times New Roman"/>
          <w:color w:val="000000"/>
          <w:lang w:val="en-US"/>
        </w:rPr>
        <w:footnoteReference w:id="10"/>
      </w:r>
    </w:p>
    <w:p w14:paraId="71B3D74F" w14:textId="77777777" w:rsidR="00D02539" w:rsidRPr="006A0D18" w:rsidRDefault="00D02539" w:rsidP="00D02539">
      <w:pPr>
        <w:spacing w:before="60" w:line="257" w:lineRule="auto"/>
        <w:ind w:left="567"/>
        <w:rPr>
          <w:rFonts w:ascii="Times New Roman" w:eastAsia="Cambria" w:hAnsi="Times New Roman" w:cs="Times New Roman"/>
          <w:color w:val="000000"/>
          <w:lang w:val="en-US"/>
        </w:rPr>
      </w:pPr>
    </w:p>
    <w:p w14:paraId="1B57ED1C" w14:textId="77777777" w:rsidR="00D02539" w:rsidRDefault="00D02539" w:rsidP="00D02539">
      <w:pPr>
        <w:spacing w:after="160"/>
        <w:rPr>
          <w:rFonts w:ascii="Times New Roman" w:eastAsiaTheme="minorHAnsi" w:hAnsi="Times New Roman" w:cs="Times New Roman"/>
          <w:b/>
          <w:lang w:val="en-US"/>
        </w:rPr>
      </w:pPr>
      <w:r w:rsidRPr="00EC0ACB">
        <w:rPr>
          <w:rFonts w:ascii="Times New Roman" w:eastAsiaTheme="minorHAnsi" w:hAnsi="Times New Roman" w:cs="Times New Roman"/>
          <w:b/>
          <w:lang w:val="en-US"/>
        </w:rPr>
        <w:lastRenderedPageBreak/>
        <w:t>The operational rule</w:t>
      </w:r>
    </w:p>
    <w:p w14:paraId="173004F2" w14:textId="00F67FDA" w:rsidR="00D02539" w:rsidRPr="00C324F9" w:rsidRDefault="00D02539" w:rsidP="00D02539">
      <w:pPr>
        <w:spacing w:after="160"/>
        <w:rPr>
          <w:rFonts w:ascii="Times New Roman" w:eastAsiaTheme="minorHAnsi" w:hAnsi="Times New Roman" w:cs="Times New Roman"/>
          <w:vertAlign w:val="superscript"/>
          <w:lang w:val="en-US"/>
        </w:rPr>
      </w:pPr>
      <w:r>
        <w:rPr>
          <w:rFonts w:ascii="Times New Roman" w:hAnsi="Times New Roman" w:cs="Times New Roman"/>
          <w:lang w:val="en-US"/>
        </w:rPr>
        <w:t xml:space="preserve">The MTP 2025 - </w:t>
      </w:r>
      <w:r w:rsidRPr="00490B85">
        <w:rPr>
          <w:rFonts w:ascii="Times New Roman" w:hAnsi="Times New Roman" w:cs="Times New Roman"/>
          <w:lang w:val="en-US"/>
        </w:rPr>
        <w:t>2028 had set a recommended net primary expenditure growth target of 3.7% for Greece in 2025</w:t>
      </w:r>
      <w:r>
        <w:rPr>
          <w:rFonts w:ascii="Times New Roman" w:hAnsi="Times New Roman" w:cs="Times New Roman"/>
          <w:lang w:val="en-US"/>
        </w:rPr>
        <w:t xml:space="preserve"> (see Table 1)</w:t>
      </w:r>
      <w:r w:rsidRPr="00490B85">
        <w:rPr>
          <w:rFonts w:ascii="Times New Roman" w:hAnsi="Times New Roman" w:cs="Times New Roman"/>
          <w:lang w:val="en-US"/>
        </w:rPr>
        <w:t>. The observed expenditure growth was 2.9% in 2025</w:t>
      </w:r>
      <w:r>
        <w:rPr>
          <w:rFonts w:ascii="Times New Roman" w:hAnsi="Times New Roman" w:cs="Times New Roman"/>
          <w:lang w:val="en-US"/>
        </w:rPr>
        <w:t xml:space="preserve"> mainly </w:t>
      </w:r>
      <w:r w:rsidRPr="00490B85">
        <w:rPr>
          <w:rFonts w:ascii="Times New Roman" w:hAnsi="Times New Roman" w:cs="Times New Roman"/>
          <w:lang w:val="en-US"/>
        </w:rPr>
        <w:t>due to higher-than-anticipated impact of discretionary revenue measures (DRMs), that was initially p</w:t>
      </w:r>
      <w:r>
        <w:rPr>
          <w:rFonts w:ascii="Times New Roman" w:hAnsi="Times New Roman" w:cs="Times New Roman"/>
          <w:lang w:val="en-US"/>
        </w:rPr>
        <w:t>rojected at €0.1 billion (October 2025</w:t>
      </w:r>
      <w:r w:rsidRPr="00490B85">
        <w:rPr>
          <w:rFonts w:ascii="Times New Roman" w:hAnsi="Times New Roman" w:cs="Times New Roman"/>
          <w:lang w:val="en-US"/>
        </w:rPr>
        <w:t>), whilst the actual implementation resulted in higher revenues</w:t>
      </w:r>
      <w:r>
        <w:rPr>
          <w:rFonts w:ascii="Times New Roman" w:hAnsi="Times New Roman" w:cs="Times New Roman"/>
          <w:lang w:val="en-US"/>
        </w:rPr>
        <w:t xml:space="preserve"> performance of approximately €1.1</w:t>
      </w:r>
      <w:r w:rsidRPr="00490B85">
        <w:rPr>
          <w:rFonts w:ascii="Times New Roman" w:hAnsi="Times New Roman" w:cs="Times New Roman"/>
          <w:lang w:val="en-US"/>
        </w:rPr>
        <w:t xml:space="preserve"> billion. </w:t>
      </w:r>
      <w:r>
        <w:rPr>
          <w:rFonts w:ascii="Times New Roman" w:hAnsi="Times New Roman" w:cs="Times New Roman"/>
          <w:lang w:val="en-US"/>
        </w:rPr>
        <w:t>At the same time, total expenditure was lower than</w:t>
      </w:r>
      <w:r w:rsidRPr="002342D6">
        <w:rPr>
          <w:rFonts w:ascii="Times New Roman" w:hAnsi="Times New Roman" w:cs="Times New Roman"/>
          <w:lang w:val="en-US"/>
        </w:rPr>
        <w:t xml:space="preserve"> initial</w:t>
      </w:r>
      <w:r>
        <w:rPr>
          <w:rFonts w:ascii="Times New Roman" w:hAnsi="Times New Roman" w:cs="Times New Roman"/>
          <w:lang w:val="en-US"/>
        </w:rPr>
        <w:t>ly estimated</w:t>
      </w:r>
      <w:r w:rsidRPr="002342D6">
        <w:rPr>
          <w:rFonts w:ascii="Times New Roman" w:hAnsi="Times New Roman" w:cs="Times New Roman"/>
          <w:lang w:val="en-US"/>
        </w:rPr>
        <w:t xml:space="preserve">. </w:t>
      </w:r>
      <w:r w:rsidRPr="002342D6">
        <w:rPr>
          <w:rFonts w:ascii="Times New Roman" w:eastAsiaTheme="minorHAnsi" w:hAnsi="Times New Roman" w:cs="Times New Roman"/>
          <w:lang w:val="en-US"/>
        </w:rPr>
        <w:t xml:space="preserve">Overall, </w:t>
      </w:r>
      <w:r w:rsidRPr="00FA21FF">
        <w:rPr>
          <w:rFonts w:ascii="Times New Roman" w:eastAsiaTheme="minorHAnsi" w:hAnsi="Times New Roman" w:cs="Times New Roman"/>
          <w:lang w:val="en-US"/>
        </w:rPr>
        <w:t xml:space="preserve">the combined effect of higher revenues from DRMs and lower spending kept net primary expenditure below the recommended </w:t>
      </w:r>
      <w:r w:rsidRPr="007003F4">
        <w:rPr>
          <w:rFonts w:ascii="Times New Roman" w:eastAsiaTheme="minorHAnsi" w:hAnsi="Times New Roman" w:cs="Times New Roman"/>
          <w:lang w:val="en-US"/>
        </w:rPr>
        <w:t>threshold, creating fiscal space to support higher expenditure growth over the period 2026</w:t>
      </w:r>
      <w:r>
        <w:rPr>
          <w:rFonts w:ascii="Times New Roman" w:eastAsiaTheme="minorHAnsi" w:hAnsi="Times New Roman" w:cs="Times New Roman"/>
          <w:lang w:val="en-US"/>
        </w:rPr>
        <w:t xml:space="preserve"> </w:t>
      </w:r>
      <w:r w:rsidRPr="007003F4">
        <w:rPr>
          <w:rFonts w:ascii="Times New Roman" w:eastAsiaTheme="minorHAnsi" w:hAnsi="Times New Roman" w:cs="Times New Roman"/>
          <w:lang w:val="en-US"/>
        </w:rPr>
        <w:t>–</w:t>
      </w:r>
      <w:r>
        <w:rPr>
          <w:rFonts w:ascii="Times New Roman" w:eastAsiaTheme="minorHAnsi" w:hAnsi="Times New Roman" w:cs="Times New Roman"/>
          <w:lang w:val="en-US"/>
        </w:rPr>
        <w:t xml:space="preserve"> </w:t>
      </w:r>
      <w:r w:rsidRPr="007003F4">
        <w:rPr>
          <w:rFonts w:ascii="Times New Roman" w:eastAsiaTheme="minorHAnsi" w:hAnsi="Times New Roman" w:cs="Times New Roman"/>
          <w:lang w:val="en-US"/>
        </w:rPr>
        <w:t>2028.</w:t>
      </w:r>
      <w:r>
        <w:rPr>
          <w:rFonts w:ascii="Times New Roman" w:eastAsiaTheme="minorHAnsi" w:hAnsi="Times New Roman" w:cs="Times New Roman"/>
          <w:lang w:val="en-US"/>
        </w:rPr>
        <w:t xml:space="preserve"> In cumulated terms, net primary expenditure growth for 2025 stood at 2.8%, well below the </w:t>
      </w:r>
      <w:r w:rsidR="008D0442">
        <w:rPr>
          <w:rFonts w:ascii="Times New Roman" w:eastAsiaTheme="minorHAnsi" w:hAnsi="Times New Roman" w:cs="Times New Roman"/>
          <w:lang w:val="en-US"/>
        </w:rPr>
        <w:t>recommended</w:t>
      </w:r>
      <w:r>
        <w:rPr>
          <w:rFonts w:ascii="Times New Roman" w:eastAsiaTheme="minorHAnsi" w:hAnsi="Times New Roman" w:cs="Times New Roman"/>
          <w:lang w:val="en-US"/>
        </w:rPr>
        <w:t xml:space="preserve"> 6.5%. In the control account, the cumulated balance reached -1.4% of GDP and improved further to -1.6% of GDP after  accounting for flexibility related to increased defence expenditure, remaining consistent with the new fiscal framework.</w:t>
      </w:r>
      <w:r w:rsidRPr="00490B85">
        <w:rPr>
          <w:rStyle w:val="FootnoteReference"/>
          <w:rFonts w:ascii="Times New Roman" w:hAnsi="Times New Roman" w:cs="Times New Roman"/>
          <w:lang w:val="en-US"/>
        </w:rPr>
        <w:footnoteReference w:id="11"/>
      </w:r>
    </w:p>
    <w:p w14:paraId="283A6D1D" w14:textId="77777777" w:rsidR="00D02539" w:rsidRPr="00B95CB7" w:rsidRDefault="00D02539" w:rsidP="00D02539">
      <w:pPr>
        <w:spacing w:after="160"/>
        <w:rPr>
          <w:rFonts w:ascii="Times New Roman" w:eastAsiaTheme="minorHAnsi" w:hAnsi="Times New Roman" w:cs="Times New Roman"/>
          <w:lang w:val="en-US"/>
        </w:rPr>
      </w:pPr>
      <w:r w:rsidRPr="00490B85">
        <w:rPr>
          <w:rFonts w:ascii="Times New Roman" w:eastAsiaTheme="minorHAnsi" w:hAnsi="Times New Roman" w:cs="Times New Roman"/>
          <w:lang w:val="en-US"/>
        </w:rPr>
        <w:t>T</w:t>
      </w:r>
      <w:r>
        <w:rPr>
          <w:rFonts w:ascii="Times New Roman" w:eastAsiaTheme="minorHAnsi" w:hAnsi="Times New Roman" w:cs="Times New Roman"/>
          <w:lang w:val="en-US"/>
        </w:rPr>
        <w:t>he improved tax revenues in 2025 vis a vis 2024</w:t>
      </w:r>
      <w:r w:rsidRPr="00490B85">
        <w:rPr>
          <w:rFonts w:ascii="Times New Roman" w:eastAsiaTheme="minorHAnsi" w:hAnsi="Times New Roman" w:cs="Times New Roman"/>
          <w:lang w:val="en-US"/>
        </w:rPr>
        <w:t xml:space="preserve"> has been mainly attributed to</w:t>
      </w:r>
      <w:r w:rsidRPr="004B7C86">
        <w:rPr>
          <w:lang w:val="en-US"/>
        </w:rPr>
        <w:t xml:space="preserve"> </w:t>
      </w:r>
      <w:r w:rsidRPr="004B7C86">
        <w:rPr>
          <w:rFonts w:ascii="Times New Roman" w:eastAsiaTheme="minorHAnsi" w:hAnsi="Times New Roman" w:cs="Times New Roman"/>
          <w:lang w:val="en-US"/>
        </w:rPr>
        <w:t>stronger tax and non-tax collections</w:t>
      </w:r>
      <w:r w:rsidRPr="00490B85">
        <w:rPr>
          <w:rFonts w:ascii="Times New Roman" w:eastAsiaTheme="minorHAnsi" w:hAnsi="Times New Roman" w:cs="Times New Roman"/>
          <w:lang w:val="en-US"/>
        </w:rPr>
        <w:t>: increased household incomes; a decline in unemployment (higher revenues from social security contributions</w:t>
      </w:r>
      <w:r w:rsidRPr="004B7C86">
        <w:rPr>
          <w:rFonts w:ascii="Times New Roman" w:eastAsiaTheme="minorHAnsi" w:hAnsi="Times New Roman" w:cs="Times New Roman"/>
          <w:lang w:val="en-US"/>
        </w:rPr>
        <w:t>)</w:t>
      </w:r>
      <w:r>
        <w:rPr>
          <w:rFonts w:ascii="Times New Roman" w:eastAsiaTheme="minorHAnsi" w:hAnsi="Times New Roman" w:cs="Times New Roman"/>
          <w:lang w:val="en-US"/>
        </w:rPr>
        <w:t>; i</w:t>
      </w:r>
      <w:r w:rsidRPr="003E5123">
        <w:rPr>
          <w:rFonts w:ascii="Times New Roman" w:eastAsiaTheme="minorHAnsi" w:hAnsi="Times New Roman" w:cs="Times New Roman"/>
          <w:lang w:val="en-US"/>
        </w:rPr>
        <w:t>mprove</w:t>
      </w:r>
      <w:r>
        <w:rPr>
          <w:rFonts w:ascii="Times New Roman" w:eastAsiaTheme="minorHAnsi" w:hAnsi="Times New Roman" w:cs="Times New Roman"/>
          <w:lang w:val="en-US"/>
        </w:rPr>
        <w:t xml:space="preserve">d revenues from legal entities; </w:t>
      </w:r>
      <w:r w:rsidRPr="003E5123">
        <w:rPr>
          <w:rFonts w:ascii="Times New Roman" w:eastAsiaTheme="minorHAnsi" w:hAnsi="Times New Roman" w:cs="Times New Roman"/>
          <w:lang w:val="en-US"/>
        </w:rPr>
        <w:t>higher dividends and bette</w:t>
      </w:r>
      <w:r>
        <w:rPr>
          <w:rFonts w:ascii="Times New Roman" w:eastAsiaTheme="minorHAnsi" w:hAnsi="Times New Roman" w:cs="Times New Roman"/>
          <w:lang w:val="en-US"/>
        </w:rPr>
        <w:t xml:space="preserve">r performance by public entities. </w:t>
      </w:r>
      <w:r w:rsidRPr="00577F10">
        <w:rPr>
          <w:rFonts w:ascii="Times New Roman" w:eastAsiaTheme="minorHAnsi" w:hAnsi="Times New Roman" w:cs="Times New Roman"/>
          <w:lang w:val="en-US"/>
        </w:rPr>
        <w:t>As a result, in 2025</w:t>
      </w:r>
      <w:r>
        <w:rPr>
          <w:rFonts w:ascii="Times New Roman" w:eastAsiaTheme="minorHAnsi" w:hAnsi="Times New Roman" w:cs="Times New Roman"/>
          <w:lang w:val="en-US"/>
        </w:rPr>
        <w:t xml:space="preserve"> the primary surplus reached 4.9</w:t>
      </w:r>
      <w:r w:rsidRPr="00577F10">
        <w:rPr>
          <w:rFonts w:ascii="Times New Roman" w:eastAsiaTheme="minorHAnsi" w:hAnsi="Times New Roman" w:cs="Times New Roman"/>
          <w:lang w:val="en-US"/>
        </w:rPr>
        <w:t>% of GDP, significantly exceeding the</w:t>
      </w:r>
      <w:r>
        <w:rPr>
          <w:rFonts w:ascii="Times New Roman" w:eastAsiaTheme="minorHAnsi" w:hAnsi="Times New Roman" w:cs="Times New Roman"/>
          <w:lang w:val="en-US"/>
        </w:rPr>
        <w:t xml:space="preserve"> 2.5% projected in the MTP 2025 - </w:t>
      </w:r>
      <w:r w:rsidRPr="00577F10">
        <w:rPr>
          <w:rFonts w:ascii="Times New Roman" w:eastAsiaTheme="minorHAnsi" w:hAnsi="Times New Roman" w:cs="Times New Roman"/>
          <w:lang w:val="en-US"/>
        </w:rPr>
        <w:t>2028 and the 3.6% target set in the DBP 2026. Similarly, the headline balance recorded a surplus of</w:t>
      </w:r>
      <w:r>
        <w:rPr>
          <w:rFonts w:ascii="Times New Roman" w:eastAsiaTheme="minorHAnsi" w:hAnsi="Times New Roman" w:cs="Times New Roman"/>
          <w:lang w:val="en-US"/>
        </w:rPr>
        <w:t xml:space="preserve"> 1.7</w:t>
      </w:r>
      <w:r w:rsidRPr="00577F10">
        <w:rPr>
          <w:rFonts w:ascii="Times New Roman" w:eastAsiaTheme="minorHAnsi" w:hAnsi="Times New Roman" w:cs="Times New Roman"/>
          <w:lang w:val="en-US"/>
        </w:rPr>
        <w:t>% of GDP, compared to a projected d</w:t>
      </w:r>
      <w:r>
        <w:rPr>
          <w:rFonts w:ascii="Times New Roman" w:eastAsiaTheme="minorHAnsi" w:hAnsi="Times New Roman" w:cs="Times New Roman"/>
          <w:lang w:val="en-US"/>
        </w:rPr>
        <w:t xml:space="preserve">eficit of -0.6% in the MTP 2025 - </w:t>
      </w:r>
      <w:r w:rsidRPr="00577F10">
        <w:rPr>
          <w:rFonts w:ascii="Times New Roman" w:eastAsiaTheme="minorHAnsi" w:hAnsi="Times New Roman" w:cs="Times New Roman"/>
          <w:lang w:val="en-US"/>
        </w:rPr>
        <w:t>2028 and a surplus of 0.6% in the DBP 2026.</w:t>
      </w:r>
      <w:r w:rsidRPr="00490B85">
        <w:rPr>
          <w:rFonts w:ascii="Times New Roman" w:eastAsiaTheme="minorHAnsi" w:hAnsi="Times New Roman" w:cs="Times New Roman"/>
          <w:lang w:val="en-US"/>
        </w:rPr>
        <w:t xml:space="preserve"> </w:t>
      </w:r>
    </w:p>
    <w:p w14:paraId="6478CA06" w14:textId="77777777" w:rsidR="00D02539" w:rsidRDefault="00D02539" w:rsidP="00D02539">
      <w:pPr>
        <w:rPr>
          <w:rFonts w:ascii="Times New Roman" w:eastAsiaTheme="minorHAnsi" w:hAnsi="Times New Roman" w:cs="Times New Roman"/>
          <w:lang w:val="en-US"/>
        </w:rPr>
      </w:pPr>
      <w:r w:rsidRPr="00EF0150">
        <w:rPr>
          <w:rFonts w:ascii="Times New Roman" w:eastAsiaTheme="minorHAnsi" w:hAnsi="Times New Roman" w:cs="Times New Roman"/>
          <w:lang w:val="en-US"/>
        </w:rPr>
        <w:t>In 2026, annual net primary expenditure growth is estimated at 7.5%, exceeding the 3.6% recommended in the MTP 2025–2028</w:t>
      </w:r>
      <w:r>
        <w:rPr>
          <w:rFonts w:ascii="Times New Roman" w:eastAsiaTheme="minorHAnsi" w:hAnsi="Times New Roman" w:cs="Times New Roman"/>
          <w:lang w:val="en-US"/>
        </w:rPr>
        <w:t xml:space="preserve"> (see Table 1)</w:t>
      </w:r>
      <w:r w:rsidRPr="00EF0150">
        <w:rPr>
          <w:rFonts w:ascii="Times New Roman" w:eastAsiaTheme="minorHAnsi" w:hAnsi="Times New Roman" w:cs="Times New Roman"/>
          <w:lang w:val="en-US"/>
        </w:rPr>
        <w:t>. In cumulative terms, growth is projected at 10.6%, slightly above the recommended 10.3%. The cumulative balance of the control account stands at 0.2% of GDP and adjusts to -0.1% of GDP after accounting for flexibility related to increased defence expenditure, thereby providing some fiscal space for 2026.</w:t>
      </w:r>
    </w:p>
    <w:p w14:paraId="08EB35E1" w14:textId="77777777" w:rsidR="00D02539" w:rsidRPr="00A74C9D" w:rsidRDefault="00D02539" w:rsidP="00D02539">
      <w:pPr>
        <w:rPr>
          <w:rFonts w:ascii="Times New Roman" w:eastAsiaTheme="minorHAnsi" w:hAnsi="Times New Roman" w:cs="Times New Roman"/>
          <w:lang w:val="en-US"/>
        </w:rPr>
      </w:pPr>
      <w:r w:rsidRPr="001E1EAE">
        <w:rPr>
          <w:rFonts w:ascii="Times New Roman" w:eastAsiaTheme="minorHAnsi" w:hAnsi="Times New Roman" w:cs="Times New Roman"/>
          <w:lang w:val="en-US"/>
        </w:rPr>
        <w:t>For 2026, the Ministry of Finance projections indicate an improved fiscal outlook between October 2025 and April 2026. The primary balance has been revised upward from 2.8% to 3.2% of GDP, while the headline balance has improved from a deficit of -0.1% of GDP to a surplus of 0.2%.</w:t>
      </w:r>
      <w:r>
        <w:rPr>
          <w:rFonts w:ascii="Times New Roman" w:eastAsiaTheme="minorHAnsi" w:hAnsi="Times New Roman" w:cs="Times New Roman"/>
          <w:lang w:val="en-US"/>
        </w:rPr>
        <w:t xml:space="preserve"> </w:t>
      </w:r>
      <w:r w:rsidRPr="00A74C9D">
        <w:rPr>
          <w:rFonts w:ascii="Times New Roman" w:eastAsiaTheme="minorHAnsi" w:hAnsi="Times New Roman" w:cs="Times New Roman"/>
          <w:lang w:val="en-US"/>
        </w:rPr>
        <w:t>These improved results are conditional on additional measures that may be required if the energy crisis intensifies.</w:t>
      </w:r>
    </w:p>
    <w:p w14:paraId="102E90D4" w14:textId="181B067D" w:rsidR="00D02539" w:rsidRDefault="00D02539" w:rsidP="00D02539">
      <w:pPr>
        <w:rPr>
          <w:rFonts w:ascii="Times New Roman" w:hAnsi="Times New Roman" w:cs="Times New Roman"/>
          <w:bCs/>
          <w:color w:val="0D0D0D"/>
          <w:shd w:val="clear" w:color="auto" w:fill="FFFFFF"/>
          <w:lang w:val="en-US"/>
        </w:rPr>
      </w:pPr>
      <w:r w:rsidRPr="00BB2CF5">
        <w:rPr>
          <w:rFonts w:ascii="Times New Roman" w:hAnsi="Times New Roman" w:cs="Times New Roman"/>
          <w:bCs/>
          <w:color w:val="0D0D0D"/>
          <w:shd w:val="clear" w:color="auto" w:fill="FFFFFF"/>
          <w:lang w:val="en-US"/>
        </w:rPr>
        <w:t>The continuation of primary fiscal surpluses, anchored in a nationally determined fiscal rule framework that fully aligns and complements the fiscal rules of the EU, represents a calibrated policy stance aimed at reconciling fiscal prudence with macroeconomic stability. Nowadays, within a post-program environment, this approach signals a transition from externally imposed conditionalities to a domestically owned fiscal strategy. Fiscal rules at national and EU level, if properly designed and institutionally safeguarded, enhance policy credibility, support debt sustainability, strengthen investor confidence and ultimately enhance economic growth.</w:t>
      </w:r>
    </w:p>
    <w:p w14:paraId="27738371" w14:textId="77777777" w:rsidR="00D02539" w:rsidRPr="00BB2CF5" w:rsidRDefault="00D02539" w:rsidP="00D02539">
      <w:pPr>
        <w:rPr>
          <w:rFonts w:ascii="Times New Roman" w:hAnsi="Times New Roman" w:cs="Times New Roman"/>
          <w:bCs/>
          <w:color w:val="0D0D0D"/>
          <w:shd w:val="clear" w:color="auto" w:fill="FFFFFF"/>
          <w:lang w:val="en-US"/>
        </w:rPr>
      </w:pPr>
    </w:p>
    <w:p w14:paraId="7DA71EB3" w14:textId="77777777" w:rsidR="00F259E1" w:rsidRDefault="00F259E1" w:rsidP="00D02539">
      <w:pPr>
        <w:spacing w:after="0"/>
        <w:ind w:left="-15"/>
        <w:rPr>
          <w:rFonts w:ascii="Times New Roman" w:eastAsia="Times New Roman" w:hAnsi="Times New Roman" w:cs="Times New Roman"/>
          <w:color w:val="000000"/>
          <w:sz w:val="20"/>
          <w:szCs w:val="20"/>
          <w:lang w:val="en-US"/>
        </w:rPr>
      </w:pPr>
    </w:p>
    <w:p w14:paraId="6A8199C2" w14:textId="77777777" w:rsidR="00B70F95" w:rsidRDefault="00B70F95" w:rsidP="00D02539">
      <w:pPr>
        <w:spacing w:after="0"/>
        <w:ind w:left="-15"/>
        <w:rPr>
          <w:rFonts w:ascii="Times New Roman" w:eastAsia="Times New Roman" w:hAnsi="Times New Roman" w:cs="Times New Roman"/>
          <w:color w:val="000000"/>
          <w:sz w:val="20"/>
          <w:szCs w:val="20"/>
          <w:lang w:val="en-US"/>
        </w:rPr>
      </w:pPr>
    </w:p>
    <w:p w14:paraId="158641FF" w14:textId="16342BD0" w:rsidR="00D02539" w:rsidRDefault="00D02539" w:rsidP="00D02539">
      <w:pPr>
        <w:spacing w:after="0"/>
        <w:ind w:left="-15"/>
        <w:rPr>
          <w:rFonts w:ascii="Times New Roman" w:eastAsia="Times New Roman" w:hAnsi="Times New Roman" w:cs="Times New Roman"/>
          <w:color w:val="000000"/>
          <w:sz w:val="20"/>
          <w:szCs w:val="20"/>
          <w:lang w:val="en-US"/>
        </w:rPr>
      </w:pPr>
      <w:r w:rsidRPr="00B11E3C">
        <w:rPr>
          <w:rFonts w:ascii="Times New Roman" w:eastAsia="Times New Roman" w:hAnsi="Times New Roman" w:cs="Times New Roman"/>
          <w:color w:val="000000"/>
          <w:sz w:val="20"/>
          <w:szCs w:val="20"/>
          <w:lang w:val="en-US"/>
        </w:rPr>
        <w:lastRenderedPageBreak/>
        <w:t>Table 1: Observed and Recommended net expenditure</w:t>
      </w:r>
      <w:r>
        <w:rPr>
          <w:rFonts w:ascii="Times New Roman" w:eastAsia="Times New Roman" w:hAnsi="Times New Roman" w:cs="Times New Roman"/>
          <w:color w:val="000000"/>
          <w:sz w:val="20"/>
          <w:szCs w:val="20"/>
          <w:lang w:val="en-US"/>
        </w:rPr>
        <w:t xml:space="preserve">, Control account, </w:t>
      </w:r>
      <w:r w:rsidR="000F59DC">
        <w:rPr>
          <w:rFonts w:ascii="Times New Roman" w:eastAsia="Times New Roman" w:hAnsi="Times New Roman" w:cs="Times New Roman"/>
          <w:color w:val="000000"/>
          <w:sz w:val="20"/>
          <w:szCs w:val="20"/>
          <w:lang w:val="en-US"/>
        </w:rPr>
        <w:t>Augmented</w:t>
      </w:r>
      <w:r>
        <w:rPr>
          <w:rFonts w:ascii="Times New Roman" w:eastAsia="Times New Roman" w:hAnsi="Times New Roman" w:cs="Times New Roman"/>
          <w:color w:val="000000"/>
          <w:sz w:val="20"/>
          <w:szCs w:val="20"/>
          <w:lang w:val="en-US"/>
        </w:rPr>
        <w:t xml:space="preserve"> control account</w:t>
      </w:r>
    </w:p>
    <w:tbl>
      <w:tblPr>
        <w:tblW w:w="9068" w:type="dxa"/>
        <w:tblInd w:w="-5" w:type="dxa"/>
        <w:tblLook w:val="04A0" w:firstRow="1" w:lastRow="0" w:firstColumn="1" w:lastColumn="0" w:noHBand="0" w:noVBand="1"/>
      </w:tblPr>
      <w:tblGrid>
        <w:gridCol w:w="567"/>
        <w:gridCol w:w="99"/>
        <w:gridCol w:w="666"/>
        <w:gridCol w:w="716"/>
        <w:gridCol w:w="3197"/>
        <w:gridCol w:w="1109"/>
        <w:gridCol w:w="666"/>
        <w:gridCol w:w="666"/>
        <w:gridCol w:w="666"/>
        <w:gridCol w:w="716"/>
      </w:tblGrid>
      <w:tr w:rsidR="00D02539" w:rsidRPr="00BB27E9" w14:paraId="51EF497B" w14:textId="77777777" w:rsidTr="00837640">
        <w:trPr>
          <w:trHeight w:val="300"/>
        </w:trPr>
        <w:tc>
          <w:tcPr>
            <w:tcW w:w="567" w:type="dxa"/>
            <w:tcBorders>
              <w:top w:val="single" w:sz="4" w:space="0" w:color="auto"/>
              <w:left w:val="single" w:sz="4" w:space="0" w:color="auto"/>
              <w:bottom w:val="nil"/>
              <w:right w:val="nil"/>
            </w:tcBorders>
            <w:shd w:val="clear" w:color="000000" w:fill="2F75B5"/>
            <w:noWrap/>
            <w:vAlign w:val="center"/>
            <w:hideMark/>
          </w:tcPr>
          <w:p w14:paraId="5A9E931A" w14:textId="77777777" w:rsidR="00D02539" w:rsidRPr="007B4C3C" w:rsidRDefault="00D02539" w:rsidP="00837640">
            <w:pPr>
              <w:spacing w:after="0" w:line="240" w:lineRule="auto"/>
              <w:rPr>
                <w:rFonts w:ascii="Times New Roman" w:eastAsia="Times New Roman" w:hAnsi="Times New Roman" w:cs="Times New Roman"/>
                <w:b/>
                <w:bCs/>
                <w:color w:val="FFFFFF"/>
                <w:sz w:val="20"/>
                <w:szCs w:val="20"/>
                <w:lang w:val="en-US"/>
              </w:rPr>
            </w:pPr>
          </w:p>
        </w:tc>
        <w:tc>
          <w:tcPr>
            <w:tcW w:w="4678" w:type="dxa"/>
            <w:gridSpan w:val="4"/>
            <w:tcBorders>
              <w:top w:val="nil"/>
              <w:left w:val="nil"/>
              <w:bottom w:val="single" w:sz="4" w:space="0" w:color="auto"/>
              <w:right w:val="nil"/>
            </w:tcBorders>
            <w:shd w:val="clear" w:color="000000" w:fill="2F75B5"/>
            <w:noWrap/>
            <w:vAlign w:val="center"/>
            <w:hideMark/>
          </w:tcPr>
          <w:p w14:paraId="107E2085" w14:textId="77777777" w:rsidR="00D02539" w:rsidRPr="007B4C3C" w:rsidRDefault="00D02539" w:rsidP="00837640">
            <w:pPr>
              <w:spacing w:after="0" w:line="240" w:lineRule="auto"/>
              <w:rPr>
                <w:rFonts w:ascii="Times New Roman" w:eastAsia="Times New Roman" w:hAnsi="Times New Roman" w:cs="Times New Roman"/>
                <w:b/>
                <w:bCs/>
                <w:color w:val="FFFFFF"/>
                <w:sz w:val="20"/>
                <w:szCs w:val="20"/>
                <w:lang w:val="en-US"/>
              </w:rPr>
            </w:pPr>
            <w:r w:rsidRPr="007B4C3C">
              <w:rPr>
                <w:rFonts w:ascii="Times New Roman" w:eastAsia="Times New Roman" w:hAnsi="Times New Roman" w:cs="Times New Roman"/>
                <w:b/>
                <w:bCs/>
                <w:color w:val="FFFFFF"/>
                <w:sz w:val="20"/>
                <w:szCs w:val="20"/>
                <w:lang w:val="en-US"/>
              </w:rPr>
              <w:t> </w:t>
            </w:r>
          </w:p>
        </w:tc>
        <w:tc>
          <w:tcPr>
            <w:tcW w:w="1109" w:type="dxa"/>
            <w:tcBorders>
              <w:top w:val="nil"/>
              <w:left w:val="nil"/>
              <w:bottom w:val="single" w:sz="4" w:space="0" w:color="auto"/>
              <w:right w:val="nil"/>
            </w:tcBorders>
            <w:shd w:val="clear" w:color="000000" w:fill="2F75B5"/>
            <w:noWrap/>
            <w:vAlign w:val="center"/>
            <w:hideMark/>
          </w:tcPr>
          <w:p w14:paraId="51B23A26" w14:textId="77777777" w:rsidR="00D02539" w:rsidRPr="007B4C3C" w:rsidRDefault="00D02539" w:rsidP="00837640">
            <w:pPr>
              <w:spacing w:after="0" w:line="240" w:lineRule="auto"/>
              <w:jc w:val="center"/>
              <w:rPr>
                <w:rFonts w:ascii="Times New Roman" w:eastAsia="Times New Roman" w:hAnsi="Times New Roman" w:cs="Times New Roman"/>
                <w:b/>
                <w:bCs/>
                <w:color w:val="FFFFFF"/>
                <w:sz w:val="20"/>
                <w:szCs w:val="20"/>
                <w:lang w:val="en-US"/>
              </w:rPr>
            </w:pPr>
            <w:r w:rsidRPr="007B4C3C">
              <w:rPr>
                <w:rFonts w:ascii="Times New Roman" w:eastAsia="Times New Roman" w:hAnsi="Times New Roman" w:cs="Times New Roman"/>
                <w:b/>
                <w:bCs/>
                <w:color w:val="FFFFFF"/>
                <w:sz w:val="20"/>
                <w:szCs w:val="20"/>
                <w:lang w:val="en-US"/>
              </w:rPr>
              <w:t> </w:t>
            </w:r>
          </w:p>
        </w:tc>
        <w:tc>
          <w:tcPr>
            <w:tcW w:w="666" w:type="dxa"/>
            <w:tcBorders>
              <w:top w:val="single" w:sz="4" w:space="0" w:color="auto"/>
              <w:left w:val="nil"/>
              <w:bottom w:val="nil"/>
              <w:right w:val="nil"/>
            </w:tcBorders>
            <w:shd w:val="clear" w:color="000000" w:fill="2F75B5"/>
            <w:noWrap/>
            <w:vAlign w:val="center"/>
            <w:hideMark/>
          </w:tcPr>
          <w:p w14:paraId="3D6DA79C" w14:textId="77777777" w:rsidR="00D02539" w:rsidRPr="00BB27E9" w:rsidRDefault="00D02539" w:rsidP="00837640">
            <w:pPr>
              <w:spacing w:after="0" w:line="240" w:lineRule="auto"/>
              <w:jc w:val="center"/>
              <w:rPr>
                <w:rFonts w:ascii="Times New Roman" w:eastAsia="Times New Roman" w:hAnsi="Times New Roman" w:cs="Times New Roman"/>
                <w:b/>
                <w:bCs/>
                <w:color w:val="FFFFFF"/>
                <w:sz w:val="20"/>
                <w:szCs w:val="20"/>
              </w:rPr>
            </w:pPr>
            <w:r w:rsidRPr="00BB27E9">
              <w:rPr>
                <w:rFonts w:ascii="Times New Roman" w:eastAsia="Times New Roman" w:hAnsi="Times New Roman" w:cs="Times New Roman"/>
                <w:b/>
                <w:bCs/>
                <w:color w:val="FFFFFF"/>
                <w:sz w:val="20"/>
                <w:szCs w:val="20"/>
              </w:rPr>
              <w:t>2023</w:t>
            </w:r>
          </w:p>
        </w:tc>
        <w:tc>
          <w:tcPr>
            <w:tcW w:w="666" w:type="dxa"/>
            <w:tcBorders>
              <w:top w:val="single" w:sz="4" w:space="0" w:color="auto"/>
              <w:left w:val="nil"/>
              <w:bottom w:val="nil"/>
              <w:right w:val="nil"/>
            </w:tcBorders>
            <w:shd w:val="clear" w:color="000000" w:fill="2F75B5"/>
            <w:noWrap/>
            <w:vAlign w:val="center"/>
            <w:hideMark/>
          </w:tcPr>
          <w:p w14:paraId="32C3E36A" w14:textId="77777777" w:rsidR="00D02539" w:rsidRPr="00BB27E9" w:rsidRDefault="00D02539" w:rsidP="00837640">
            <w:pPr>
              <w:spacing w:after="0" w:line="240" w:lineRule="auto"/>
              <w:jc w:val="center"/>
              <w:rPr>
                <w:rFonts w:ascii="Times New Roman" w:eastAsia="Times New Roman" w:hAnsi="Times New Roman" w:cs="Times New Roman"/>
                <w:b/>
                <w:bCs/>
                <w:color w:val="FFFFFF"/>
                <w:sz w:val="20"/>
                <w:szCs w:val="20"/>
              </w:rPr>
            </w:pPr>
            <w:r w:rsidRPr="00BB27E9">
              <w:rPr>
                <w:rFonts w:ascii="Times New Roman" w:eastAsia="Times New Roman" w:hAnsi="Times New Roman" w:cs="Times New Roman"/>
                <w:b/>
                <w:bCs/>
                <w:color w:val="FFFFFF"/>
                <w:sz w:val="20"/>
                <w:szCs w:val="20"/>
              </w:rPr>
              <w:t>2024</w:t>
            </w:r>
          </w:p>
        </w:tc>
        <w:tc>
          <w:tcPr>
            <w:tcW w:w="666" w:type="dxa"/>
            <w:tcBorders>
              <w:top w:val="single" w:sz="4" w:space="0" w:color="auto"/>
              <w:left w:val="nil"/>
              <w:bottom w:val="nil"/>
              <w:right w:val="nil"/>
            </w:tcBorders>
            <w:shd w:val="clear" w:color="000000" w:fill="2F75B5"/>
            <w:noWrap/>
            <w:vAlign w:val="center"/>
            <w:hideMark/>
          </w:tcPr>
          <w:p w14:paraId="1FF827E3" w14:textId="77777777" w:rsidR="00D02539" w:rsidRPr="00BB27E9" w:rsidRDefault="00D02539" w:rsidP="00837640">
            <w:pPr>
              <w:spacing w:after="0" w:line="240" w:lineRule="auto"/>
              <w:jc w:val="center"/>
              <w:rPr>
                <w:rFonts w:ascii="Times New Roman" w:eastAsia="Times New Roman" w:hAnsi="Times New Roman" w:cs="Times New Roman"/>
                <w:b/>
                <w:bCs/>
                <w:color w:val="FFFFFF"/>
                <w:sz w:val="20"/>
                <w:szCs w:val="20"/>
              </w:rPr>
            </w:pPr>
            <w:r w:rsidRPr="00BB27E9">
              <w:rPr>
                <w:rFonts w:ascii="Times New Roman" w:eastAsia="Times New Roman" w:hAnsi="Times New Roman" w:cs="Times New Roman"/>
                <w:b/>
                <w:bCs/>
                <w:color w:val="FFFFFF"/>
                <w:sz w:val="20"/>
                <w:szCs w:val="20"/>
              </w:rPr>
              <w:t>2025</w:t>
            </w:r>
          </w:p>
        </w:tc>
        <w:tc>
          <w:tcPr>
            <w:tcW w:w="716" w:type="dxa"/>
            <w:tcBorders>
              <w:top w:val="single" w:sz="4" w:space="0" w:color="auto"/>
              <w:left w:val="nil"/>
              <w:bottom w:val="nil"/>
              <w:right w:val="nil"/>
            </w:tcBorders>
            <w:shd w:val="clear" w:color="000000" w:fill="2F75B5"/>
            <w:noWrap/>
            <w:vAlign w:val="center"/>
            <w:hideMark/>
          </w:tcPr>
          <w:p w14:paraId="0E1EE2CB" w14:textId="77777777" w:rsidR="00D02539" w:rsidRPr="00BB27E9" w:rsidRDefault="00D02539" w:rsidP="00837640">
            <w:pPr>
              <w:spacing w:after="0" w:line="240" w:lineRule="auto"/>
              <w:jc w:val="center"/>
              <w:rPr>
                <w:rFonts w:ascii="Times New Roman" w:eastAsia="Times New Roman" w:hAnsi="Times New Roman" w:cs="Times New Roman"/>
                <w:b/>
                <w:bCs/>
                <w:color w:val="FFFFFF"/>
                <w:sz w:val="20"/>
                <w:szCs w:val="20"/>
              </w:rPr>
            </w:pPr>
            <w:r w:rsidRPr="00BB27E9">
              <w:rPr>
                <w:rFonts w:ascii="Times New Roman" w:eastAsia="Times New Roman" w:hAnsi="Times New Roman" w:cs="Times New Roman"/>
                <w:b/>
                <w:bCs/>
                <w:color w:val="FFFFFF"/>
                <w:sz w:val="20"/>
                <w:szCs w:val="20"/>
              </w:rPr>
              <w:t>2026</w:t>
            </w:r>
            <w:r>
              <w:rPr>
                <w:rFonts w:ascii="Times New Roman" w:eastAsia="Times New Roman" w:hAnsi="Times New Roman" w:cs="Times New Roman"/>
                <w:b/>
                <w:bCs/>
                <w:color w:val="FFFFFF"/>
                <w:sz w:val="20"/>
                <w:szCs w:val="20"/>
              </w:rPr>
              <w:t>*</w:t>
            </w:r>
          </w:p>
        </w:tc>
      </w:tr>
      <w:tr w:rsidR="00D02539" w:rsidRPr="00BB27E9" w14:paraId="4304EA44" w14:textId="77777777" w:rsidTr="00837640">
        <w:trPr>
          <w:trHeight w:val="300"/>
        </w:trPr>
        <w:tc>
          <w:tcPr>
            <w:tcW w:w="5245" w:type="dxa"/>
            <w:gridSpan w:val="5"/>
            <w:tcBorders>
              <w:top w:val="single" w:sz="4" w:space="0" w:color="auto"/>
              <w:left w:val="single" w:sz="4" w:space="0" w:color="auto"/>
              <w:bottom w:val="nil"/>
              <w:right w:val="nil"/>
            </w:tcBorders>
            <w:shd w:val="clear" w:color="000000" w:fill="DDEBF7"/>
            <w:noWrap/>
            <w:vAlign w:val="center"/>
            <w:hideMark/>
          </w:tcPr>
          <w:p w14:paraId="63E2D550" w14:textId="77777777" w:rsidR="00D02539" w:rsidRPr="00BB27E9" w:rsidRDefault="00D02539" w:rsidP="00837640">
            <w:pPr>
              <w:spacing w:after="0" w:line="240" w:lineRule="auto"/>
              <w:rPr>
                <w:rFonts w:ascii="Times New Roman" w:eastAsia="Times New Roman" w:hAnsi="Times New Roman" w:cs="Times New Roman"/>
                <w:b/>
                <w:bCs/>
                <w:color w:val="000000"/>
                <w:sz w:val="20"/>
                <w:szCs w:val="20"/>
                <w:u w:val="single"/>
              </w:rPr>
            </w:pPr>
            <w:r w:rsidRPr="00BB27E9">
              <w:rPr>
                <w:rFonts w:ascii="Times New Roman" w:eastAsia="Times New Roman" w:hAnsi="Times New Roman" w:cs="Times New Roman"/>
                <w:b/>
                <w:bCs/>
                <w:color w:val="000000"/>
                <w:sz w:val="20"/>
                <w:szCs w:val="20"/>
                <w:u w:val="single"/>
              </w:rPr>
              <w:t>Observed net expenditure</w:t>
            </w:r>
          </w:p>
        </w:tc>
        <w:tc>
          <w:tcPr>
            <w:tcW w:w="1109" w:type="dxa"/>
            <w:tcBorders>
              <w:top w:val="nil"/>
              <w:left w:val="nil"/>
              <w:bottom w:val="nil"/>
              <w:right w:val="nil"/>
            </w:tcBorders>
            <w:shd w:val="clear" w:color="000000" w:fill="DDEBF7"/>
            <w:noWrap/>
            <w:vAlign w:val="center"/>
            <w:hideMark/>
          </w:tcPr>
          <w:p w14:paraId="101E51E8" w14:textId="77777777" w:rsidR="00D02539" w:rsidRPr="00BB27E9" w:rsidRDefault="00D02539" w:rsidP="00837640">
            <w:pPr>
              <w:spacing w:after="0" w:line="240" w:lineRule="auto"/>
              <w:jc w:val="center"/>
              <w:rPr>
                <w:rFonts w:ascii="Times New Roman" w:eastAsia="Times New Roman" w:hAnsi="Times New Roman" w:cs="Times New Roman"/>
                <w:b/>
                <w:bCs/>
                <w:color w:val="000000"/>
                <w:sz w:val="20"/>
                <w:szCs w:val="20"/>
              </w:rPr>
            </w:pPr>
            <w:r w:rsidRPr="00BB27E9">
              <w:rPr>
                <w:rFonts w:ascii="Times New Roman" w:eastAsia="Times New Roman" w:hAnsi="Times New Roman" w:cs="Times New Roman"/>
                <w:b/>
                <w:bCs/>
                <w:color w:val="000000"/>
                <w:sz w:val="20"/>
                <w:szCs w:val="20"/>
              </w:rPr>
              <w:t> </w:t>
            </w:r>
          </w:p>
        </w:tc>
        <w:tc>
          <w:tcPr>
            <w:tcW w:w="666" w:type="dxa"/>
            <w:tcBorders>
              <w:top w:val="single" w:sz="4" w:space="0" w:color="auto"/>
              <w:left w:val="nil"/>
              <w:bottom w:val="nil"/>
              <w:right w:val="nil"/>
            </w:tcBorders>
            <w:shd w:val="clear" w:color="000000" w:fill="DDEBF7"/>
            <w:noWrap/>
            <w:vAlign w:val="center"/>
            <w:hideMark/>
          </w:tcPr>
          <w:p w14:paraId="7638DDB6"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 </w:t>
            </w:r>
          </w:p>
        </w:tc>
        <w:tc>
          <w:tcPr>
            <w:tcW w:w="666" w:type="dxa"/>
            <w:tcBorders>
              <w:top w:val="single" w:sz="4" w:space="0" w:color="auto"/>
              <w:left w:val="nil"/>
              <w:bottom w:val="nil"/>
              <w:right w:val="nil"/>
            </w:tcBorders>
            <w:shd w:val="clear" w:color="000000" w:fill="DDEBF7"/>
            <w:noWrap/>
            <w:vAlign w:val="center"/>
            <w:hideMark/>
          </w:tcPr>
          <w:p w14:paraId="7E9E844D"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 </w:t>
            </w:r>
          </w:p>
        </w:tc>
        <w:tc>
          <w:tcPr>
            <w:tcW w:w="666" w:type="dxa"/>
            <w:tcBorders>
              <w:top w:val="single" w:sz="4" w:space="0" w:color="auto"/>
              <w:left w:val="nil"/>
              <w:bottom w:val="nil"/>
              <w:right w:val="nil"/>
            </w:tcBorders>
            <w:shd w:val="clear" w:color="000000" w:fill="DDEBF7"/>
            <w:noWrap/>
            <w:vAlign w:val="center"/>
            <w:hideMark/>
          </w:tcPr>
          <w:p w14:paraId="22468179"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 </w:t>
            </w:r>
          </w:p>
        </w:tc>
        <w:tc>
          <w:tcPr>
            <w:tcW w:w="716" w:type="dxa"/>
            <w:tcBorders>
              <w:top w:val="single" w:sz="4" w:space="0" w:color="auto"/>
              <w:left w:val="nil"/>
              <w:bottom w:val="nil"/>
              <w:right w:val="nil"/>
            </w:tcBorders>
            <w:shd w:val="clear" w:color="000000" w:fill="DDEBF7"/>
            <w:noWrap/>
            <w:vAlign w:val="center"/>
            <w:hideMark/>
          </w:tcPr>
          <w:p w14:paraId="05E1D068"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 </w:t>
            </w:r>
          </w:p>
        </w:tc>
      </w:tr>
      <w:tr w:rsidR="00D02539" w:rsidRPr="00BB27E9" w14:paraId="4BB8DB0A" w14:textId="77777777" w:rsidTr="00837640">
        <w:trPr>
          <w:trHeight w:val="300"/>
        </w:trPr>
        <w:tc>
          <w:tcPr>
            <w:tcW w:w="567" w:type="dxa"/>
            <w:tcBorders>
              <w:top w:val="nil"/>
              <w:left w:val="single" w:sz="4" w:space="0" w:color="auto"/>
              <w:bottom w:val="nil"/>
              <w:right w:val="nil"/>
            </w:tcBorders>
            <w:shd w:val="clear" w:color="000000" w:fill="DDEBF7"/>
            <w:noWrap/>
            <w:vAlign w:val="center"/>
            <w:hideMark/>
          </w:tcPr>
          <w:p w14:paraId="2E9C0D4B" w14:textId="77777777" w:rsidR="00D02539" w:rsidRPr="00BB27E9" w:rsidRDefault="00D02539" w:rsidP="00837640">
            <w:pPr>
              <w:spacing w:after="0" w:line="240" w:lineRule="auto"/>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1.</w:t>
            </w:r>
          </w:p>
        </w:tc>
        <w:tc>
          <w:tcPr>
            <w:tcW w:w="4678" w:type="dxa"/>
            <w:gridSpan w:val="4"/>
            <w:tcBorders>
              <w:top w:val="nil"/>
              <w:left w:val="nil"/>
              <w:bottom w:val="nil"/>
              <w:right w:val="nil"/>
            </w:tcBorders>
            <w:shd w:val="clear" w:color="000000" w:fill="DDEBF7"/>
            <w:noWrap/>
            <w:vAlign w:val="center"/>
            <w:hideMark/>
          </w:tcPr>
          <w:p w14:paraId="33B6C0E0" w14:textId="77777777" w:rsidR="00D02539" w:rsidRPr="00BB27E9" w:rsidRDefault="00D02539" w:rsidP="00837640">
            <w:pPr>
              <w:spacing w:after="0" w:line="240" w:lineRule="auto"/>
              <w:rPr>
                <w:rFonts w:ascii="Times New Roman" w:eastAsia="Times New Roman" w:hAnsi="Times New Roman" w:cs="Times New Roman"/>
                <w:color w:val="000000"/>
                <w:sz w:val="20"/>
                <w:szCs w:val="20"/>
              </w:rPr>
            </w:pPr>
            <w:proofErr w:type="spellStart"/>
            <w:r w:rsidRPr="00BB27E9">
              <w:rPr>
                <w:rFonts w:ascii="Times New Roman" w:eastAsia="Times New Roman" w:hAnsi="Times New Roman" w:cs="Times New Roman"/>
                <w:color w:val="000000"/>
                <w:sz w:val="20"/>
                <w:szCs w:val="20"/>
              </w:rPr>
              <w:t>Total</w:t>
            </w:r>
            <w:proofErr w:type="spellEnd"/>
            <w:r w:rsidRPr="00BB27E9">
              <w:rPr>
                <w:rFonts w:ascii="Times New Roman" w:eastAsia="Times New Roman" w:hAnsi="Times New Roman" w:cs="Times New Roman"/>
                <w:color w:val="000000"/>
                <w:sz w:val="20"/>
                <w:szCs w:val="20"/>
              </w:rPr>
              <w:t xml:space="preserve"> </w:t>
            </w:r>
            <w:proofErr w:type="spellStart"/>
            <w:r w:rsidRPr="00BB27E9">
              <w:rPr>
                <w:rFonts w:ascii="Times New Roman" w:eastAsia="Times New Roman" w:hAnsi="Times New Roman" w:cs="Times New Roman"/>
                <w:color w:val="000000"/>
                <w:sz w:val="20"/>
                <w:szCs w:val="20"/>
              </w:rPr>
              <w:t>expenditure</w:t>
            </w:r>
            <w:proofErr w:type="spellEnd"/>
          </w:p>
        </w:tc>
        <w:tc>
          <w:tcPr>
            <w:tcW w:w="1109" w:type="dxa"/>
            <w:tcBorders>
              <w:top w:val="nil"/>
              <w:left w:val="nil"/>
              <w:bottom w:val="nil"/>
              <w:right w:val="nil"/>
            </w:tcBorders>
            <w:shd w:val="clear" w:color="000000" w:fill="DDEBF7"/>
            <w:noWrap/>
            <w:vAlign w:val="center"/>
            <w:hideMark/>
          </w:tcPr>
          <w:p w14:paraId="051227EC"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proofErr w:type="spellStart"/>
            <w:r w:rsidRPr="00BB27E9">
              <w:rPr>
                <w:rFonts w:ascii="Times New Roman" w:eastAsia="Times New Roman" w:hAnsi="Times New Roman" w:cs="Times New Roman"/>
                <w:color w:val="000000"/>
                <w:sz w:val="20"/>
                <w:szCs w:val="20"/>
              </w:rPr>
              <w:t>bn</w:t>
            </w:r>
            <w:proofErr w:type="spellEnd"/>
            <w:r w:rsidRPr="00BB27E9">
              <w:rPr>
                <w:rFonts w:ascii="Times New Roman" w:eastAsia="Times New Roman" w:hAnsi="Times New Roman" w:cs="Times New Roman"/>
                <w:color w:val="000000"/>
                <w:sz w:val="20"/>
                <w:szCs w:val="20"/>
              </w:rPr>
              <w:t xml:space="preserve"> NAC</w:t>
            </w:r>
          </w:p>
        </w:tc>
        <w:tc>
          <w:tcPr>
            <w:tcW w:w="666" w:type="dxa"/>
            <w:tcBorders>
              <w:top w:val="nil"/>
              <w:left w:val="nil"/>
              <w:bottom w:val="nil"/>
              <w:right w:val="nil"/>
            </w:tcBorders>
            <w:shd w:val="clear" w:color="000000" w:fill="DDEBF7"/>
            <w:noWrap/>
            <w:vAlign w:val="bottom"/>
            <w:hideMark/>
          </w:tcPr>
          <w:p w14:paraId="24923458"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111,3</w:t>
            </w:r>
          </w:p>
        </w:tc>
        <w:tc>
          <w:tcPr>
            <w:tcW w:w="666" w:type="dxa"/>
            <w:tcBorders>
              <w:top w:val="nil"/>
              <w:left w:val="nil"/>
              <w:bottom w:val="nil"/>
              <w:right w:val="nil"/>
            </w:tcBorders>
            <w:shd w:val="clear" w:color="000000" w:fill="DDEBF7"/>
            <w:noWrap/>
            <w:vAlign w:val="bottom"/>
            <w:hideMark/>
          </w:tcPr>
          <w:p w14:paraId="17EEE2DF"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113,9</w:t>
            </w:r>
          </w:p>
        </w:tc>
        <w:tc>
          <w:tcPr>
            <w:tcW w:w="666" w:type="dxa"/>
            <w:tcBorders>
              <w:top w:val="nil"/>
              <w:left w:val="nil"/>
              <w:bottom w:val="nil"/>
              <w:right w:val="nil"/>
            </w:tcBorders>
            <w:shd w:val="clear" w:color="000000" w:fill="DDEBF7"/>
            <w:noWrap/>
            <w:vAlign w:val="bottom"/>
            <w:hideMark/>
          </w:tcPr>
          <w:p w14:paraId="428242C1"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119,9</w:t>
            </w:r>
          </w:p>
        </w:tc>
        <w:tc>
          <w:tcPr>
            <w:tcW w:w="716" w:type="dxa"/>
            <w:tcBorders>
              <w:top w:val="nil"/>
              <w:left w:val="nil"/>
              <w:bottom w:val="nil"/>
              <w:right w:val="nil"/>
            </w:tcBorders>
            <w:shd w:val="clear" w:color="000000" w:fill="DDEBF7"/>
            <w:noWrap/>
            <w:vAlign w:val="bottom"/>
            <w:hideMark/>
          </w:tcPr>
          <w:p w14:paraId="1A47B35E"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131,1</w:t>
            </w:r>
          </w:p>
        </w:tc>
      </w:tr>
      <w:tr w:rsidR="00D02539" w:rsidRPr="00BB27E9" w14:paraId="25FC1F2C" w14:textId="77777777" w:rsidTr="00837640">
        <w:trPr>
          <w:trHeight w:val="300"/>
        </w:trPr>
        <w:tc>
          <w:tcPr>
            <w:tcW w:w="567" w:type="dxa"/>
            <w:tcBorders>
              <w:top w:val="nil"/>
              <w:left w:val="single" w:sz="4" w:space="0" w:color="auto"/>
              <w:bottom w:val="nil"/>
              <w:right w:val="nil"/>
            </w:tcBorders>
            <w:shd w:val="clear" w:color="000000" w:fill="DDEBF7"/>
            <w:noWrap/>
            <w:vAlign w:val="center"/>
            <w:hideMark/>
          </w:tcPr>
          <w:p w14:paraId="0DB7E9D3" w14:textId="77777777" w:rsidR="00D02539" w:rsidRPr="00BB27E9" w:rsidRDefault="00D02539" w:rsidP="00837640">
            <w:pPr>
              <w:spacing w:after="0" w:line="240" w:lineRule="auto"/>
              <w:outlineLvl w:val="0"/>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2.</w:t>
            </w:r>
          </w:p>
        </w:tc>
        <w:tc>
          <w:tcPr>
            <w:tcW w:w="4678" w:type="dxa"/>
            <w:gridSpan w:val="4"/>
            <w:tcBorders>
              <w:top w:val="nil"/>
              <w:left w:val="nil"/>
              <w:bottom w:val="nil"/>
              <w:right w:val="nil"/>
            </w:tcBorders>
            <w:shd w:val="clear" w:color="000000" w:fill="DDEBF7"/>
            <w:noWrap/>
            <w:vAlign w:val="center"/>
            <w:hideMark/>
          </w:tcPr>
          <w:p w14:paraId="6391F94D" w14:textId="77777777" w:rsidR="00D02539" w:rsidRPr="00BB27E9" w:rsidRDefault="00D02539" w:rsidP="00837640">
            <w:pPr>
              <w:spacing w:after="0" w:line="240" w:lineRule="auto"/>
              <w:outlineLvl w:val="0"/>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Interest expenditure</w:t>
            </w:r>
          </w:p>
        </w:tc>
        <w:tc>
          <w:tcPr>
            <w:tcW w:w="1109" w:type="dxa"/>
            <w:tcBorders>
              <w:top w:val="nil"/>
              <w:left w:val="nil"/>
              <w:bottom w:val="nil"/>
              <w:right w:val="nil"/>
            </w:tcBorders>
            <w:shd w:val="clear" w:color="000000" w:fill="DDEBF7"/>
            <w:noWrap/>
            <w:vAlign w:val="center"/>
            <w:hideMark/>
          </w:tcPr>
          <w:p w14:paraId="7215DAE8" w14:textId="77777777" w:rsidR="00D02539" w:rsidRPr="00BB27E9" w:rsidRDefault="00D02539" w:rsidP="00837640">
            <w:pPr>
              <w:spacing w:after="0" w:line="240" w:lineRule="auto"/>
              <w:jc w:val="center"/>
              <w:outlineLvl w:val="0"/>
              <w:rPr>
                <w:rFonts w:ascii="Times New Roman" w:eastAsia="Times New Roman" w:hAnsi="Times New Roman" w:cs="Times New Roman"/>
                <w:color w:val="000000"/>
                <w:sz w:val="20"/>
                <w:szCs w:val="20"/>
              </w:rPr>
            </w:pPr>
            <w:proofErr w:type="spellStart"/>
            <w:r w:rsidRPr="00BB27E9">
              <w:rPr>
                <w:rFonts w:ascii="Times New Roman" w:eastAsia="Times New Roman" w:hAnsi="Times New Roman" w:cs="Times New Roman"/>
                <w:color w:val="000000"/>
                <w:sz w:val="20"/>
                <w:szCs w:val="20"/>
              </w:rPr>
              <w:t>bn</w:t>
            </w:r>
            <w:proofErr w:type="spellEnd"/>
            <w:r w:rsidRPr="00BB27E9">
              <w:rPr>
                <w:rFonts w:ascii="Times New Roman" w:eastAsia="Times New Roman" w:hAnsi="Times New Roman" w:cs="Times New Roman"/>
                <w:color w:val="000000"/>
                <w:sz w:val="20"/>
                <w:szCs w:val="20"/>
              </w:rPr>
              <w:t xml:space="preserve"> NAC</w:t>
            </w:r>
          </w:p>
        </w:tc>
        <w:tc>
          <w:tcPr>
            <w:tcW w:w="666" w:type="dxa"/>
            <w:tcBorders>
              <w:top w:val="nil"/>
              <w:left w:val="nil"/>
              <w:bottom w:val="nil"/>
              <w:right w:val="nil"/>
            </w:tcBorders>
            <w:shd w:val="clear" w:color="000000" w:fill="DDEBF7"/>
            <w:noWrap/>
            <w:vAlign w:val="bottom"/>
            <w:hideMark/>
          </w:tcPr>
          <w:p w14:paraId="4B7BF19D" w14:textId="77777777" w:rsidR="00D02539" w:rsidRPr="00BB27E9" w:rsidRDefault="00D02539" w:rsidP="00837640">
            <w:pPr>
              <w:spacing w:after="0" w:line="240" w:lineRule="auto"/>
              <w:jc w:val="center"/>
              <w:outlineLvl w:val="0"/>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7,6</w:t>
            </w:r>
          </w:p>
        </w:tc>
        <w:tc>
          <w:tcPr>
            <w:tcW w:w="666" w:type="dxa"/>
            <w:tcBorders>
              <w:top w:val="nil"/>
              <w:left w:val="nil"/>
              <w:bottom w:val="nil"/>
              <w:right w:val="nil"/>
            </w:tcBorders>
            <w:shd w:val="clear" w:color="000000" w:fill="DDEBF7"/>
            <w:noWrap/>
            <w:vAlign w:val="bottom"/>
            <w:hideMark/>
          </w:tcPr>
          <w:p w14:paraId="6CF0ED46" w14:textId="77777777" w:rsidR="00D02539" w:rsidRPr="00BB27E9" w:rsidRDefault="00D02539" w:rsidP="00837640">
            <w:pPr>
              <w:spacing w:after="0" w:line="240" w:lineRule="auto"/>
              <w:jc w:val="center"/>
              <w:outlineLvl w:val="0"/>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8,2</w:t>
            </w:r>
          </w:p>
        </w:tc>
        <w:tc>
          <w:tcPr>
            <w:tcW w:w="666" w:type="dxa"/>
            <w:tcBorders>
              <w:top w:val="nil"/>
              <w:left w:val="nil"/>
              <w:bottom w:val="nil"/>
              <w:right w:val="nil"/>
            </w:tcBorders>
            <w:shd w:val="clear" w:color="000000" w:fill="DDEBF7"/>
            <w:noWrap/>
            <w:vAlign w:val="bottom"/>
            <w:hideMark/>
          </w:tcPr>
          <w:p w14:paraId="71CB7D14" w14:textId="77777777" w:rsidR="00D02539" w:rsidRPr="00BB27E9" w:rsidRDefault="00D02539" w:rsidP="00837640">
            <w:pPr>
              <w:spacing w:after="0" w:line="240" w:lineRule="auto"/>
              <w:jc w:val="center"/>
              <w:outlineLvl w:val="0"/>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7,8</w:t>
            </w:r>
          </w:p>
        </w:tc>
        <w:tc>
          <w:tcPr>
            <w:tcW w:w="716" w:type="dxa"/>
            <w:tcBorders>
              <w:top w:val="nil"/>
              <w:left w:val="nil"/>
              <w:bottom w:val="nil"/>
              <w:right w:val="nil"/>
            </w:tcBorders>
            <w:shd w:val="clear" w:color="000000" w:fill="DDEBF7"/>
            <w:noWrap/>
            <w:vAlign w:val="bottom"/>
            <w:hideMark/>
          </w:tcPr>
          <w:p w14:paraId="268A62C6" w14:textId="77777777" w:rsidR="00D02539" w:rsidRPr="00BB27E9" w:rsidRDefault="00D02539" w:rsidP="00837640">
            <w:pPr>
              <w:spacing w:after="0" w:line="240" w:lineRule="auto"/>
              <w:jc w:val="center"/>
              <w:outlineLvl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7,9</w:t>
            </w:r>
          </w:p>
        </w:tc>
      </w:tr>
      <w:tr w:rsidR="00D02539" w:rsidRPr="00BB27E9" w14:paraId="2FFEC8F0" w14:textId="77777777" w:rsidTr="00837640">
        <w:trPr>
          <w:trHeight w:val="300"/>
        </w:trPr>
        <w:tc>
          <w:tcPr>
            <w:tcW w:w="567" w:type="dxa"/>
            <w:tcBorders>
              <w:top w:val="nil"/>
              <w:left w:val="single" w:sz="4" w:space="0" w:color="auto"/>
              <w:bottom w:val="nil"/>
              <w:right w:val="nil"/>
            </w:tcBorders>
            <w:shd w:val="clear" w:color="000000" w:fill="DDEBF7"/>
            <w:noWrap/>
            <w:vAlign w:val="center"/>
            <w:hideMark/>
          </w:tcPr>
          <w:p w14:paraId="54449B46" w14:textId="77777777" w:rsidR="00D02539" w:rsidRPr="00BB27E9" w:rsidRDefault="00D02539" w:rsidP="00837640">
            <w:pPr>
              <w:spacing w:after="0" w:line="240" w:lineRule="auto"/>
              <w:outlineLvl w:val="0"/>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3.</w:t>
            </w:r>
          </w:p>
        </w:tc>
        <w:tc>
          <w:tcPr>
            <w:tcW w:w="4678" w:type="dxa"/>
            <w:gridSpan w:val="4"/>
            <w:tcBorders>
              <w:top w:val="nil"/>
              <w:left w:val="nil"/>
              <w:bottom w:val="nil"/>
              <w:right w:val="nil"/>
            </w:tcBorders>
            <w:shd w:val="clear" w:color="000000" w:fill="DDEBF7"/>
            <w:noWrap/>
            <w:vAlign w:val="center"/>
            <w:hideMark/>
          </w:tcPr>
          <w:p w14:paraId="6705A06C" w14:textId="77777777" w:rsidR="00D02539" w:rsidRPr="00BB27E9" w:rsidRDefault="00D02539" w:rsidP="00837640">
            <w:pPr>
              <w:spacing w:after="0" w:line="240" w:lineRule="auto"/>
              <w:outlineLvl w:val="0"/>
              <w:rPr>
                <w:rFonts w:ascii="Times New Roman" w:eastAsia="Times New Roman" w:hAnsi="Times New Roman" w:cs="Times New Roman"/>
                <w:color w:val="000000"/>
                <w:sz w:val="20"/>
                <w:szCs w:val="20"/>
              </w:rPr>
            </w:pPr>
            <w:proofErr w:type="spellStart"/>
            <w:r w:rsidRPr="00BB27E9">
              <w:rPr>
                <w:rFonts w:ascii="Times New Roman" w:eastAsia="Times New Roman" w:hAnsi="Times New Roman" w:cs="Times New Roman"/>
                <w:color w:val="000000"/>
                <w:sz w:val="20"/>
                <w:szCs w:val="20"/>
              </w:rPr>
              <w:t>Cyclical</w:t>
            </w:r>
            <w:proofErr w:type="spellEnd"/>
            <w:r w:rsidRPr="00BB27E9">
              <w:rPr>
                <w:rFonts w:ascii="Times New Roman" w:eastAsia="Times New Roman" w:hAnsi="Times New Roman" w:cs="Times New Roman"/>
                <w:color w:val="000000"/>
                <w:sz w:val="20"/>
                <w:szCs w:val="20"/>
              </w:rPr>
              <w:t xml:space="preserve"> </w:t>
            </w:r>
            <w:proofErr w:type="spellStart"/>
            <w:r w:rsidRPr="00BB27E9">
              <w:rPr>
                <w:rFonts w:ascii="Times New Roman" w:eastAsia="Times New Roman" w:hAnsi="Times New Roman" w:cs="Times New Roman"/>
                <w:color w:val="000000"/>
                <w:sz w:val="20"/>
                <w:szCs w:val="20"/>
              </w:rPr>
              <w:t>unemployment</w:t>
            </w:r>
            <w:proofErr w:type="spellEnd"/>
            <w:r w:rsidRPr="00BB27E9">
              <w:rPr>
                <w:rFonts w:ascii="Times New Roman" w:eastAsia="Times New Roman" w:hAnsi="Times New Roman" w:cs="Times New Roman"/>
                <w:color w:val="000000"/>
                <w:sz w:val="20"/>
                <w:szCs w:val="20"/>
              </w:rPr>
              <w:t xml:space="preserve"> </w:t>
            </w:r>
            <w:proofErr w:type="spellStart"/>
            <w:r w:rsidRPr="00BB27E9">
              <w:rPr>
                <w:rFonts w:ascii="Times New Roman" w:eastAsia="Times New Roman" w:hAnsi="Times New Roman" w:cs="Times New Roman"/>
                <w:color w:val="000000"/>
                <w:sz w:val="20"/>
                <w:szCs w:val="20"/>
              </w:rPr>
              <w:t>expenditure</w:t>
            </w:r>
            <w:proofErr w:type="spellEnd"/>
          </w:p>
        </w:tc>
        <w:tc>
          <w:tcPr>
            <w:tcW w:w="1109" w:type="dxa"/>
            <w:tcBorders>
              <w:top w:val="nil"/>
              <w:left w:val="nil"/>
              <w:bottom w:val="nil"/>
              <w:right w:val="nil"/>
            </w:tcBorders>
            <w:shd w:val="clear" w:color="000000" w:fill="DDEBF7"/>
            <w:noWrap/>
            <w:vAlign w:val="center"/>
            <w:hideMark/>
          </w:tcPr>
          <w:p w14:paraId="5DE840D3" w14:textId="77777777" w:rsidR="00D02539" w:rsidRPr="00BB27E9" w:rsidRDefault="00D02539" w:rsidP="00837640">
            <w:pPr>
              <w:spacing w:after="0" w:line="240" w:lineRule="auto"/>
              <w:jc w:val="center"/>
              <w:outlineLvl w:val="0"/>
              <w:rPr>
                <w:rFonts w:ascii="Times New Roman" w:eastAsia="Times New Roman" w:hAnsi="Times New Roman" w:cs="Times New Roman"/>
                <w:color w:val="000000"/>
                <w:sz w:val="20"/>
                <w:szCs w:val="20"/>
              </w:rPr>
            </w:pPr>
            <w:proofErr w:type="spellStart"/>
            <w:r w:rsidRPr="00BB27E9">
              <w:rPr>
                <w:rFonts w:ascii="Times New Roman" w:eastAsia="Times New Roman" w:hAnsi="Times New Roman" w:cs="Times New Roman"/>
                <w:color w:val="000000"/>
                <w:sz w:val="20"/>
                <w:szCs w:val="20"/>
              </w:rPr>
              <w:t>bn</w:t>
            </w:r>
            <w:proofErr w:type="spellEnd"/>
            <w:r w:rsidRPr="00BB27E9">
              <w:rPr>
                <w:rFonts w:ascii="Times New Roman" w:eastAsia="Times New Roman" w:hAnsi="Times New Roman" w:cs="Times New Roman"/>
                <w:color w:val="000000"/>
                <w:sz w:val="20"/>
                <w:szCs w:val="20"/>
              </w:rPr>
              <w:t xml:space="preserve"> NAC</w:t>
            </w:r>
          </w:p>
        </w:tc>
        <w:tc>
          <w:tcPr>
            <w:tcW w:w="666" w:type="dxa"/>
            <w:tcBorders>
              <w:top w:val="nil"/>
              <w:left w:val="nil"/>
              <w:bottom w:val="nil"/>
              <w:right w:val="nil"/>
            </w:tcBorders>
            <w:shd w:val="clear" w:color="000000" w:fill="DDEBF7"/>
            <w:noWrap/>
            <w:vAlign w:val="bottom"/>
            <w:hideMark/>
          </w:tcPr>
          <w:p w14:paraId="320BC694" w14:textId="77777777" w:rsidR="00D02539" w:rsidRPr="00BB27E9" w:rsidRDefault="00D02539" w:rsidP="00837640">
            <w:pPr>
              <w:spacing w:after="0" w:line="240" w:lineRule="auto"/>
              <w:jc w:val="center"/>
              <w:outlineLvl w:val="0"/>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0,3</w:t>
            </w:r>
          </w:p>
        </w:tc>
        <w:tc>
          <w:tcPr>
            <w:tcW w:w="666" w:type="dxa"/>
            <w:tcBorders>
              <w:top w:val="nil"/>
              <w:left w:val="nil"/>
              <w:bottom w:val="nil"/>
              <w:right w:val="nil"/>
            </w:tcBorders>
            <w:shd w:val="clear" w:color="000000" w:fill="DDEBF7"/>
            <w:noWrap/>
            <w:vAlign w:val="bottom"/>
            <w:hideMark/>
          </w:tcPr>
          <w:p w14:paraId="08CDF323" w14:textId="77777777" w:rsidR="00D02539" w:rsidRPr="00BB27E9" w:rsidRDefault="00D02539" w:rsidP="00837640">
            <w:pPr>
              <w:spacing w:after="0" w:line="240" w:lineRule="auto"/>
              <w:jc w:val="center"/>
              <w:outlineLvl w:val="0"/>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0,1</w:t>
            </w:r>
          </w:p>
        </w:tc>
        <w:tc>
          <w:tcPr>
            <w:tcW w:w="666" w:type="dxa"/>
            <w:tcBorders>
              <w:top w:val="nil"/>
              <w:left w:val="nil"/>
              <w:bottom w:val="nil"/>
              <w:right w:val="nil"/>
            </w:tcBorders>
            <w:shd w:val="clear" w:color="000000" w:fill="DDEBF7"/>
            <w:noWrap/>
            <w:vAlign w:val="bottom"/>
            <w:hideMark/>
          </w:tcPr>
          <w:p w14:paraId="5FF5313F" w14:textId="77777777" w:rsidR="00D02539" w:rsidRPr="00BB27E9" w:rsidRDefault="00D02539" w:rsidP="00837640">
            <w:pPr>
              <w:spacing w:after="0" w:line="240" w:lineRule="auto"/>
              <w:jc w:val="center"/>
              <w:outlineLvl w:val="0"/>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-0,1</w:t>
            </w:r>
          </w:p>
        </w:tc>
        <w:tc>
          <w:tcPr>
            <w:tcW w:w="716" w:type="dxa"/>
            <w:tcBorders>
              <w:top w:val="nil"/>
              <w:left w:val="nil"/>
              <w:bottom w:val="nil"/>
              <w:right w:val="nil"/>
            </w:tcBorders>
            <w:shd w:val="clear" w:color="000000" w:fill="DDEBF7"/>
            <w:noWrap/>
            <w:vAlign w:val="bottom"/>
            <w:hideMark/>
          </w:tcPr>
          <w:p w14:paraId="5C6F2C2E" w14:textId="77777777" w:rsidR="00D02539" w:rsidRPr="00BB27E9" w:rsidRDefault="00D02539" w:rsidP="00837640">
            <w:pPr>
              <w:spacing w:after="0" w:line="240" w:lineRule="auto"/>
              <w:jc w:val="center"/>
              <w:outlineLvl w:val="0"/>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-0,2</w:t>
            </w:r>
          </w:p>
        </w:tc>
      </w:tr>
      <w:tr w:rsidR="00D02539" w:rsidRPr="00BB27E9" w14:paraId="3E566849" w14:textId="77777777" w:rsidTr="00837640">
        <w:trPr>
          <w:trHeight w:val="300"/>
        </w:trPr>
        <w:tc>
          <w:tcPr>
            <w:tcW w:w="567" w:type="dxa"/>
            <w:tcBorders>
              <w:top w:val="nil"/>
              <w:left w:val="single" w:sz="4" w:space="0" w:color="auto"/>
              <w:bottom w:val="nil"/>
              <w:right w:val="nil"/>
            </w:tcBorders>
            <w:shd w:val="clear" w:color="000000" w:fill="DDEBF7"/>
            <w:noWrap/>
            <w:vAlign w:val="center"/>
            <w:hideMark/>
          </w:tcPr>
          <w:p w14:paraId="5C6F6C10" w14:textId="77777777" w:rsidR="00D02539" w:rsidRPr="00BB27E9" w:rsidRDefault="00D02539" w:rsidP="00837640">
            <w:pPr>
              <w:spacing w:after="0" w:line="240" w:lineRule="auto"/>
              <w:outlineLvl w:val="0"/>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4.</w:t>
            </w:r>
          </w:p>
        </w:tc>
        <w:tc>
          <w:tcPr>
            <w:tcW w:w="4678" w:type="dxa"/>
            <w:gridSpan w:val="4"/>
            <w:tcBorders>
              <w:top w:val="nil"/>
              <w:left w:val="nil"/>
              <w:bottom w:val="nil"/>
              <w:right w:val="nil"/>
            </w:tcBorders>
            <w:shd w:val="clear" w:color="000000" w:fill="DDEBF7"/>
            <w:noWrap/>
            <w:vAlign w:val="center"/>
            <w:hideMark/>
          </w:tcPr>
          <w:p w14:paraId="39918997" w14:textId="77777777" w:rsidR="00D02539" w:rsidRPr="00BB27E9" w:rsidRDefault="00D02539" w:rsidP="00837640">
            <w:pPr>
              <w:spacing w:after="0" w:line="240" w:lineRule="auto"/>
              <w:outlineLvl w:val="0"/>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 xml:space="preserve">EU </w:t>
            </w:r>
            <w:proofErr w:type="spellStart"/>
            <w:r w:rsidRPr="00BB27E9">
              <w:rPr>
                <w:rFonts w:ascii="Times New Roman" w:eastAsia="Times New Roman" w:hAnsi="Times New Roman" w:cs="Times New Roman"/>
                <w:color w:val="000000"/>
                <w:sz w:val="20"/>
                <w:szCs w:val="20"/>
              </w:rPr>
              <w:t>funded</w:t>
            </w:r>
            <w:proofErr w:type="spellEnd"/>
            <w:r w:rsidRPr="00BB27E9">
              <w:rPr>
                <w:rFonts w:ascii="Times New Roman" w:eastAsia="Times New Roman" w:hAnsi="Times New Roman" w:cs="Times New Roman"/>
                <w:color w:val="000000"/>
                <w:sz w:val="20"/>
                <w:szCs w:val="20"/>
              </w:rPr>
              <w:t xml:space="preserve"> </w:t>
            </w:r>
            <w:proofErr w:type="spellStart"/>
            <w:r w:rsidRPr="00BB27E9">
              <w:rPr>
                <w:rFonts w:ascii="Times New Roman" w:eastAsia="Times New Roman" w:hAnsi="Times New Roman" w:cs="Times New Roman"/>
                <w:color w:val="000000"/>
                <w:sz w:val="20"/>
                <w:szCs w:val="20"/>
              </w:rPr>
              <w:t>expenditure</w:t>
            </w:r>
            <w:proofErr w:type="spellEnd"/>
          </w:p>
        </w:tc>
        <w:tc>
          <w:tcPr>
            <w:tcW w:w="1109" w:type="dxa"/>
            <w:tcBorders>
              <w:top w:val="nil"/>
              <w:left w:val="nil"/>
              <w:bottom w:val="nil"/>
              <w:right w:val="nil"/>
            </w:tcBorders>
            <w:shd w:val="clear" w:color="000000" w:fill="DDEBF7"/>
            <w:noWrap/>
            <w:vAlign w:val="center"/>
            <w:hideMark/>
          </w:tcPr>
          <w:p w14:paraId="1F582F4A" w14:textId="77777777" w:rsidR="00D02539" w:rsidRPr="00BB27E9" w:rsidRDefault="00D02539" w:rsidP="00837640">
            <w:pPr>
              <w:spacing w:after="0" w:line="240" w:lineRule="auto"/>
              <w:jc w:val="center"/>
              <w:outlineLvl w:val="0"/>
              <w:rPr>
                <w:rFonts w:ascii="Times New Roman" w:eastAsia="Times New Roman" w:hAnsi="Times New Roman" w:cs="Times New Roman"/>
                <w:color w:val="000000"/>
                <w:sz w:val="20"/>
                <w:szCs w:val="20"/>
              </w:rPr>
            </w:pPr>
            <w:proofErr w:type="spellStart"/>
            <w:r w:rsidRPr="00BB27E9">
              <w:rPr>
                <w:rFonts w:ascii="Times New Roman" w:eastAsia="Times New Roman" w:hAnsi="Times New Roman" w:cs="Times New Roman"/>
                <w:color w:val="000000"/>
                <w:sz w:val="20"/>
                <w:szCs w:val="20"/>
              </w:rPr>
              <w:t>bn</w:t>
            </w:r>
            <w:proofErr w:type="spellEnd"/>
            <w:r w:rsidRPr="00BB27E9">
              <w:rPr>
                <w:rFonts w:ascii="Times New Roman" w:eastAsia="Times New Roman" w:hAnsi="Times New Roman" w:cs="Times New Roman"/>
                <w:color w:val="000000"/>
                <w:sz w:val="20"/>
                <w:szCs w:val="20"/>
              </w:rPr>
              <w:t xml:space="preserve"> NAC</w:t>
            </w:r>
          </w:p>
        </w:tc>
        <w:tc>
          <w:tcPr>
            <w:tcW w:w="666" w:type="dxa"/>
            <w:tcBorders>
              <w:top w:val="nil"/>
              <w:left w:val="nil"/>
              <w:bottom w:val="nil"/>
              <w:right w:val="nil"/>
            </w:tcBorders>
            <w:shd w:val="clear" w:color="000000" w:fill="DDEBF7"/>
            <w:noWrap/>
            <w:vAlign w:val="bottom"/>
            <w:hideMark/>
          </w:tcPr>
          <w:p w14:paraId="151ADDA9" w14:textId="77777777" w:rsidR="00D02539" w:rsidRPr="00BB27E9" w:rsidRDefault="00D02539" w:rsidP="00837640">
            <w:pPr>
              <w:spacing w:after="0" w:line="240" w:lineRule="auto"/>
              <w:jc w:val="center"/>
              <w:outlineLvl w:val="0"/>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5,7</w:t>
            </w:r>
          </w:p>
        </w:tc>
        <w:tc>
          <w:tcPr>
            <w:tcW w:w="666" w:type="dxa"/>
            <w:tcBorders>
              <w:top w:val="nil"/>
              <w:left w:val="nil"/>
              <w:bottom w:val="nil"/>
              <w:right w:val="nil"/>
            </w:tcBorders>
            <w:shd w:val="clear" w:color="000000" w:fill="DDEBF7"/>
            <w:noWrap/>
            <w:vAlign w:val="bottom"/>
            <w:hideMark/>
          </w:tcPr>
          <w:p w14:paraId="42B66394" w14:textId="77777777" w:rsidR="00D02539" w:rsidRPr="00BB27E9" w:rsidRDefault="00D02539" w:rsidP="00837640">
            <w:pPr>
              <w:spacing w:after="0" w:line="240" w:lineRule="auto"/>
              <w:jc w:val="center"/>
              <w:outlineLvl w:val="0"/>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5,9</w:t>
            </w:r>
          </w:p>
        </w:tc>
        <w:tc>
          <w:tcPr>
            <w:tcW w:w="666" w:type="dxa"/>
            <w:tcBorders>
              <w:top w:val="nil"/>
              <w:left w:val="nil"/>
              <w:bottom w:val="nil"/>
              <w:right w:val="nil"/>
            </w:tcBorders>
            <w:shd w:val="clear" w:color="000000" w:fill="DDEBF7"/>
            <w:noWrap/>
            <w:vAlign w:val="bottom"/>
            <w:hideMark/>
          </w:tcPr>
          <w:p w14:paraId="6A16EDAB" w14:textId="77777777" w:rsidR="00D02539" w:rsidRPr="00BB27E9" w:rsidRDefault="00D02539" w:rsidP="00837640">
            <w:pPr>
              <w:spacing w:after="0" w:line="240" w:lineRule="auto"/>
              <w:jc w:val="center"/>
              <w:outlineLvl w:val="0"/>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8,4</w:t>
            </w:r>
          </w:p>
        </w:tc>
        <w:tc>
          <w:tcPr>
            <w:tcW w:w="716" w:type="dxa"/>
            <w:tcBorders>
              <w:top w:val="nil"/>
              <w:left w:val="nil"/>
              <w:bottom w:val="nil"/>
              <w:right w:val="nil"/>
            </w:tcBorders>
            <w:shd w:val="clear" w:color="000000" w:fill="DDEBF7"/>
            <w:noWrap/>
            <w:vAlign w:val="bottom"/>
            <w:hideMark/>
          </w:tcPr>
          <w:p w14:paraId="0CA8AF36" w14:textId="77777777" w:rsidR="00D02539" w:rsidRPr="00BB27E9" w:rsidRDefault="00D02539" w:rsidP="00837640">
            <w:pPr>
              <w:spacing w:after="0" w:line="240" w:lineRule="auto"/>
              <w:jc w:val="center"/>
              <w:outlineLvl w:val="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12,5</w:t>
            </w:r>
          </w:p>
        </w:tc>
      </w:tr>
      <w:tr w:rsidR="00D02539" w:rsidRPr="00BB27E9" w14:paraId="14BEAD3B" w14:textId="77777777" w:rsidTr="00837640">
        <w:trPr>
          <w:trHeight w:val="300"/>
        </w:trPr>
        <w:tc>
          <w:tcPr>
            <w:tcW w:w="567" w:type="dxa"/>
            <w:tcBorders>
              <w:top w:val="nil"/>
              <w:left w:val="single" w:sz="4" w:space="0" w:color="auto"/>
              <w:bottom w:val="nil"/>
              <w:right w:val="nil"/>
            </w:tcBorders>
            <w:shd w:val="clear" w:color="000000" w:fill="DDEBF7"/>
            <w:noWrap/>
            <w:vAlign w:val="center"/>
            <w:hideMark/>
          </w:tcPr>
          <w:p w14:paraId="13EB7ECE" w14:textId="77777777" w:rsidR="00D02539" w:rsidRPr="00BB27E9" w:rsidRDefault="00D02539" w:rsidP="00837640">
            <w:pPr>
              <w:spacing w:after="0" w:line="240" w:lineRule="auto"/>
              <w:outlineLvl w:val="0"/>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5.</w:t>
            </w:r>
          </w:p>
        </w:tc>
        <w:tc>
          <w:tcPr>
            <w:tcW w:w="4678" w:type="dxa"/>
            <w:gridSpan w:val="4"/>
            <w:tcBorders>
              <w:top w:val="nil"/>
              <w:left w:val="nil"/>
              <w:bottom w:val="nil"/>
              <w:right w:val="nil"/>
            </w:tcBorders>
            <w:shd w:val="clear" w:color="000000" w:fill="DDEBF7"/>
            <w:noWrap/>
            <w:vAlign w:val="center"/>
            <w:hideMark/>
          </w:tcPr>
          <w:p w14:paraId="4C6C66D9" w14:textId="77777777" w:rsidR="00D02539" w:rsidRPr="00BB27E9" w:rsidRDefault="00D02539" w:rsidP="00837640">
            <w:pPr>
              <w:spacing w:after="0" w:line="240" w:lineRule="auto"/>
              <w:outlineLvl w:val="0"/>
              <w:rPr>
                <w:rFonts w:ascii="Times New Roman" w:eastAsia="Times New Roman" w:hAnsi="Times New Roman" w:cs="Times New Roman"/>
                <w:color w:val="000000"/>
                <w:sz w:val="20"/>
                <w:szCs w:val="20"/>
                <w:lang w:val="en-US"/>
              </w:rPr>
            </w:pPr>
            <w:r w:rsidRPr="00BB27E9">
              <w:rPr>
                <w:rFonts w:ascii="Times New Roman" w:eastAsia="Times New Roman" w:hAnsi="Times New Roman" w:cs="Times New Roman"/>
                <w:color w:val="000000"/>
                <w:sz w:val="20"/>
                <w:szCs w:val="20"/>
                <w:lang w:val="en-US"/>
              </w:rPr>
              <w:t>National co-financing of EU programmes</w:t>
            </w:r>
          </w:p>
        </w:tc>
        <w:tc>
          <w:tcPr>
            <w:tcW w:w="1109" w:type="dxa"/>
            <w:tcBorders>
              <w:top w:val="nil"/>
              <w:left w:val="nil"/>
              <w:bottom w:val="nil"/>
              <w:right w:val="nil"/>
            </w:tcBorders>
            <w:shd w:val="clear" w:color="000000" w:fill="DDEBF7"/>
            <w:noWrap/>
            <w:vAlign w:val="center"/>
            <w:hideMark/>
          </w:tcPr>
          <w:p w14:paraId="75B26DA4" w14:textId="77777777" w:rsidR="00D02539" w:rsidRPr="00BB27E9" w:rsidRDefault="00D02539" w:rsidP="00837640">
            <w:pPr>
              <w:spacing w:after="0" w:line="240" w:lineRule="auto"/>
              <w:jc w:val="center"/>
              <w:outlineLvl w:val="0"/>
              <w:rPr>
                <w:rFonts w:ascii="Times New Roman" w:eastAsia="Times New Roman" w:hAnsi="Times New Roman" w:cs="Times New Roman"/>
                <w:color w:val="000000"/>
                <w:sz w:val="20"/>
                <w:szCs w:val="20"/>
              </w:rPr>
            </w:pPr>
            <w:proofErr w:type="spellStart"/>
            <w:r w:rsidRPr="00BB27E9">
              <w:rPr>
                <w:rFonts w:ascii="Times New Roman" w:eastAsia="Times New Roman" w:hAnsi="Times New Roman" w:cs="Times New Roman"/>
                <w:color w:val="000000"/>
                <w:sz w:val="20"/>
                <w:szCs w:val="20"/>
              </w:rPr>
              <w:t>bn</w:t>
            </w:r>
            <w:proofErr w:type="spellEnd"/>
            <w:r w:rsidRPr="00BB27E9">
              <w:rPr>
                <w:rFonts w:ascii="Times New Roman" w:eastAsia="Times New Roman" w:hAnsi="Times New Roman" w:cs="Times New Roman"/>
                <w:color w:val="000000"/>
                <w:sz w:val="20"/>
                <w:szCs w:val="20"/>
              </w:rPr>
              <w:t xml:space="preserve"> NAC</w:t>
            </w:r>
          </w:p>
        </w:tc>
        <w:tc>
          <w:tcPr>
            <w:tcW w:w="666" w:type="dxa"/>
            <w:tcBorders>
              <w:top w:val="nil"/>
              <w:left w:val="nil"/>
              <w:bottom w:val="nil"/>
              <w:right w:val="nil"/>
            </w:tcBorders>
            <w:shd w:val="clear" w:color="000000" w:fill="DDEBF7"/>
            <w:noWrap/>
            <w:vAlign w:val="bottom"/>
            <w:hideMark/>
          </w:tcPr>
          <w:p w14:paraId="59253279" w14:textId="77777777" w:rsidR="00D02539" w:rsidRPr="00BB27E9" w:rsidRDefault="00D02539" w:rsidP="00837640">
            <w:pPr>
              <w:spacing w:after="0" w:line="240" w:lineRule="auto"/>
              <w:jc w:val="center"/>
              <w:outlineLvl w:val="0"/>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0,7</w:t>
            </w:r>
          </w:p>
        </w:tc>
        <w:tc>
          <w:tcPr>
            <w:tcW w:w="666" w:type="dxa"/>
            <w:tcBorders>
              <w:top w:val="nil"/>
              <w:left w:val="nil"/>
              <w:bottom w:val="nil"/>
              <w:right w:val="nil"/>
            </w:tcBorders>
            <w:shd w:val="clear" w:color="000000" w:fill="DDEBF7"/>
            <w:noWrap/>
            <w:vAlign w:val="bottom"/>
            <w:hideMark/>
          </w:tcPr>
          <w:p w14:paraId="030E3C94" w14:textId="77777777" w:rsidR="00D02539" w:rsidRPr="00BB27E9" w:rsidRDefault="00D02539" w:rsidP="00837640">
            <w:pPr>
              <w:spacing w:after="0" w:line="240" w:lineRule="auto"/>
              <w:jc w:val="center"/>
              <w:outlineLvl w:val="0"/>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0,7</w:t>
            </w:r>
          </w:p>
        </w:tc>
        <w:tc>
          <w:tcPr>
            <w:tcW w:w="666" w:type="dxa"/>
            <w:tcBorders>
              <w:top w:val="nil"/>
              <w:left w:val="nil"/>
              <w:bottom w:val="nil"/>
              <w:right w:val="nil"/>
            </w:tcBorders>
            <w:shd w:val="clear" w:color="000000" w:fill="DDEBF7"/>
            <w:noWrap/>
            <w:vAlign w:val="bottom"/>
            <w:hideMark/>
          </w:tcPr>
          <w:p w14:paraId="5436AD77" w14:textId="77777777" w:rsidR="00D02539" w:rsidRPr="00BB27E9" w:rsidRDefault="00D02539" w:rsidP="00837640">
            <w:pPr>
              <w:spacing w:after="0" w:line="240" w:lineRule="auto"/>
              <w:jc w:val="center"/>
              <w:outlineLvl w:val="0"/>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0,8</w:t>
            </w:r>
          </w:p>
        </w:tc>
        <w:tc>
          <w:tcPr>
            <w:tcW w:w="716" w:type="dxa"/>
            <w:tcBorders>
              <w:top w:val="nil"/>
              <w:left w:val="nil"/>
              <w:bottom w:val="nil"/>
              <w:right w:val="nil"/>
            </w:tcBorders>
            <w:shd w:val="clear" w:color="000000" w:fill="DDEBF7"/>
            <w:noWrap/>
            <w:vAlign w:val="bottom"/>
            <w:hideMark/>
          </w:tcPr>
          <w:p w14:paraId="50A994CF" w14:textId="77777777" w:rsidR="00D02539" w:rsidRPr="00BB27E9" w:rsidRDefault="00D02539" w:rsidP="00837640">
            <w:pPr>
              <w:spacing w:after="0" w:line="240" w:lineRule="auto"/>
              <w:jc w:val="center"/>
              <w:outlineLvl w:val="0"/>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1,2</w:t>
            </w:r>
          </w:p>
        </w:tc>
      </w:tr>
      <w:tr w:rsidR="00D02539" w:rsidRPr="00BB27E9" w14:paraId="71BA151F" w14:textId="77777777" w:rsidTr="00837640">
        <w:trPr>
          <w:trHeight w:val="300"/>
        </w:trPr>
        <w:tc>
          <w:tcPr>
            <w:tcW w:w="567" w:type="dxa"/>
            <w:tcBorders>
              <w:top w:val="nil"/>
              <w:left w:val="single" w:sz="4" w:space="0" w:color="auto"/>
              <w:bottom w:val="nil"/>
              <w:right w:val="nil"/>
            </w:tcBorders>
            <w:shd w:val="clear" w:color="000000" w:fill="DDEBF7"/>
            <w:noWrap/>
            <w:vAlign w:val="center"/>
            <w:hideMark/>
          </w:tcPr>
          <w:p w14:paraId="720876B7" w14:textId="77777777" w:rsidR="00D02539" w:rsidRPr="00BB27E9" w:rsidRDefault="00D02539" w:rsidP="00837640">
            <w:pPr>
              <w:spacing w:after="0" w:line="240" w:lineRule="auto"/>
              <w:outlineLvl w:val="0"/>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6.</w:t>
            </w:r>
          </w:p>
        </w:tc>
        <w:tc>
          <w:tcPr>
            <w:tcW w:w="4678" w:type="dxa"/>
            <w:gridSpan w:val="4"/>
            <w:tcBorders>
              <w:top w:val="nil"/>
              <w:left w:val="nil"/>
              <w:bottom w:val="nil"/>
              <w:right w:val="nil"/>
            </w:tcBorders>
            <w:shd w:val="clear" w:color="000000" w:fill="DDEBF7"/>
            <w:noWrap/>
            <w:vAlign w:val="center"/>
            <w:hideMark/>
          </w:tcPr>
          <w:p w14:paraId="49BF32DB" w14:textId="77777777" w:rsidR="00D02539" w:rsidRPr="00BB27E9" w:rsidRDefault="00D02539" w:rsidP="00837640">
            <w:pPr>
              <w:spacing w:after="0" w:line="240" w:lineRule="auto"/>
              <w:outlineLvl w:val="0"/>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lang w:val="en-US"/>
              </w:rPr>
              <w:t xml:space="preserve">One-offs expenditure (levels, excl. </w:t>
            </w:r>
            <w:r w:rsidRPr="00BB27E9">
              <w:rPr>
                <w:rFonts w:ascii="Times New Roman" w:eastAsia="Times New Roman" w:hAnsi="Times New Roman" w:cs="Times New Roman"/>
                <w:color w:val="000000"/>
                <w:sz w:val="20"/>
                <w:szCs w:val="20"/>
              </w:rPr>
              <w:t xml:space="preserve">EU </w:t>
            </w:r>
            <w:proofErr w:type="spellStart"/>
            <w:r w:rsidRPr="00BB27E9">
              <w:rPr>
                <w:rFonts w:ascii="Times New Roman" w:eastAsia="Times New Roman" w:hAnsi="Times New Roman" w:cs="Times New Roman"/>
                <w:color w:val="000000"/>
                <w:sz w:val="20"/>
                <w:szCs w:val="20"/>
              </w:rPr>
              <w:t>funded</w:t>
            </w:r>
            <w:proofErr w:type="spellEnd"/>
            <w:r w:rsidRPr="00BB27E9">
              <w:rPr>
                <w:rFonts w:ascii="Times New Roman" w:eastAsia="Times New Roman" w:hAnsi="Times New Roman" w:cs="Times New Roman"/>
                <w:color w:val="000000"/>
                <w:sz w:val="20"/>
                <w:szCs w:val="20"/>
              </w:rPr>
              <w:t>)</w:t>
            </w:r>
          </w:p>
        </w:tc>
        <w:tc>
          <w:tcPr>
            <w:tcW w:w="1109" w:type="dxa"/>
            <w:tcBorders>
              <w:top w:val="nil"/>
              <w:left w:val="nil"/>
              <w:bottom w:val="nil"/>
              <w:right w:val="nil"/>
            </w:tcBorders>
            <w:shd w:val="clear" w:color="000000" w:fill="DDEBF7"/>
            <w:noWrap/>
            <w:vAlign w:val="center"/>
            <w:hideMark/>
          </w:tcPr>
          <w:p w14:paraId="470ED672" w14:textId="77777777" w:rsidR="00D02539" w:rsidRPr="00BB27E9" w:rsidRDefault="00D02539" w:rsidP="00837640">
            <w:pPr>
              <w:spacing w:after="0" w:line="240" w:lineRule="auto"/>
              <w:jc w:val="center"/>
              <w:outlineLvl w:val="0"/>
              <w:rPr>
                <w:rFonts w:ascii="Times New Roman" w:eastAsia="Times New Roman" w:hAnsi="Times New Roman" w:cs="Times New Roman"/>
                <w:color w:val="000000"/>
                <w:sz w:val="20"/>
                <w:szCs w:val="20"/>
              </w:rPr>
            </w:pPr>
            <w:proofErr w:type="spellStart"/>
            <w:r w:rsidRPr="00BB27E9">
              <w:rPr>
                <w:rFonts w:ascii="Times New Roman" w:eastAsia="Times New Roman" w:hAnsi="Times New Roman" w:cs="Times New Roman"/>
                <w:color w:val="000000"/>
                <w:sz w:val="20"/>
                <w:szCs w:val="20"/>
              </w:rPr>
              <w:t>bn</w:t>
            </w:r>
            <w:proofErr w:type="spellEnd"/>
            <w:r w:rsidRPr="00BB27E9">
              <w:rPr>
                <w:rFonts w:ascii="Times New Roman" w:eastAsia="Times New Roman" w:hAnsi="Times New Roman" w:cs="Times New Roman"/>
                <w:color w:val="000000"/>
                <w:sz w:val="20"/>
                <w:szCs w:val="20"/>
              </w:rPr>
              <w:t xml:space="preserve"> NAC</w:t>
            </w:r>
          </w:p>
        </w:tc>
        <w:tc>
          <w:tcPr>
            <w:tcW w:w="666" w:type="dxa"/>
            <w:tcBorders>
              <w:top w:val="nil"/>
              <w:left w:val="nil"/>
              <w:bottom w:val="nil"/>
              <w:right w:val="nil"/>
            </w:tcBorders>
            <w:shd w:val="clear" w:color="000000" w:fill="DDEBF7"/>
            <w:noWrap/>
            <w:vAlign w:val="bottom"/>
            <w:hideMark/>
          </w:tcPr>
          <w:p w14:paraId="1F45B9EB" w14:textId="77777777" w:rsidR="00D02539" w:rsidRPr="00BB27E9" w:rsidRDefault="00D02539" w:rsidP="00837640">
            <w:pPr>
              <w:spacing w:after="0" w:line="240" w:lineRule="auto"/>
              <w:jc w:val="center"/>
              <w:outlineLvl w:val="0"/>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0,3</w:t>
            </w:r>
          </w:p>
        </w:tc>
        <w:tc>
          <w:tcPr>
            <w:tcW w:w="666" w:type="dxa"/>
            <w:tcBorders>
              <w:top w:val="nil"/>
              <w:left w:val="nil"/>
              <w:bottom w:val="nil"/>
              <w:right w:val="nil"/>
            </w:tcBorders>
            <w:shd w:val="clear" w:color="000000" w:fill="DDEBF7"/>
            <w:noWrap/>
            <w:vAlign w:val="bottom"/>
            <w:hideMark/>
          </w:tcPr>
          <w:p w14:paraId="50FA326E" w14:textId="77777777" w:rsidR="00D02539" w:rsidRPr="00BB27E9" w:rsidRDefault="00D02539" w:rsidP="00837640">
            <w:pPr>
              <w:spacing w:after="0" w:line="240" w:lineRule="auto"/>
              <w:jc w:val="center"/>
              <w:outlineLvl w:val="0"/>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0,4</w:t>
            </w:r>
          </w:p>
        </w:tc>
        <w:tc>
          <w:tcPr>
            <w:tcW w:w="666" w:type="dxa"/>
            <w:tcBorders>
              <w:top w:val="nil"/>
              <w:left w:val="nil"/>
              <w:bottom w:val="nil"/>
              <w:right w:val="nil"/>
            </w:tcBorders>
            <w:shd w:val="clear" w:color="000000" w:fill="DDEBF7"/>
            <w:noWrap/>
            <w:vAlign w:val="bottom"/>
            <w:hideMark/>
          </w:tcPr>
          <w:p w14:paraId="296D796F" w14:textId="77777777" w:rsidR="00D02539" w:rsidRPr="00BB27E9" w:rsidRDefault="00D02539" w:rsidP="00837640">
            <w:pPr>
              <w:spacing w:after="0" w:line="240" w:lineRule="auto"/>
              <w:jc w:val="center"/>
              <w:outlineLvl w:val="0"/>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0,4</w:t>
            </w:r>
          </w:p>
        </w:tc>
        <w:tc>
          <w:tcPr>
            <w:tcW w:w="716" w:type="dxa"/>
            <w:tcBorders>
              <w:top w:val="nil"/>
              <w:left w:val="nil"/>
              <w:bottom w:val="nil"/>
              <w:right w:val="nil"/>
            </w:tcBorders>
            <w:shd w:val="clear" w:color="000000" w:fill="DDEBF7"/>
            <w:noWrap/>
            <w:vAlign w:val="bottom"/>
            <w:hideMark/>
          </w:tcPr>
          <w:p w14:paraId="67D85823" w14:textId="77777777" w:rsidR="00D02539" w:rsidRPr="00BB27E9" w:rsidRDefault="00D02539" w:rsidP="00837640">
            <w:pPr>
              <w:spacing w:after="0" w:line="240" w:lineRule="auto"/>
              <w:jc w:val="center"/>
              <w:outlineLvl w:val="0"/>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0,0</w:t>
            </w:r>
          </w:p>
        </w:tc>
      </w:tr>
      <w:tr w:rsidR="00D02539" w:rsidRPr="00BB27E9" w14:paraId="6470BF2D" w14:textId="77777777" w:rsidTr="00837640">
        <w:trPr>
          <w:trHeight w:val="300"/>
        </w:trPr>
        <w:tc>
          <w:tcPr>
            <w:tcW w:w="567" w:type="dxa"/>
            <w:tcBorders>
              <w:top w:val="nil"/>
              <w:left w:val="single" w:sz="4" w:space="0" w:color="auto"/>
              <w:bottom w:val="nil"/>
              <w:right w:val="nil"/>
            </w:tcBorders>
            <w:shd w:val="clear" w:color="000000" w:fill="9BC2E6"/>
            <w:noWrap/>
            <w:vAlign w:val="center"/>
            <w:hideMark/>
          </w:tcPr>
          <w:p w14:paraId="0AC9415F" w14:textId="77777777" w:rsidR="00D02539" w:rsidRPr="00BB27E9" w:rsidRDefault="00D02539" w:rsidP="00837640">
            <w:pPr>
              <w:spacing w:after="0" w:line="240" w:lineRule="auto"/>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7.</w:t>
            </w:r>
          </w:p>
        </w:tc>
        <w:tc>
          <w:tcPr>
            <w:tcW w:w="4678" w:type="dxa"/>
            <w:gridSpan w:val="4"/>
            <w:tcBorders>
              <w:top w:val="nil"/>
              <w:left w:val="nil"/>
              <w:bottom w:val="nil"/>
              <w:right w:val="nil"/>
            </w:tcBorders>
            <w:shd w:val="clear" w:color="000000" w:fill="9BC2E6"/>
            <w:noWrap/>
            <w:vAlign w:val="center"/>
            <w:hideMark/>
          </w:tcPr>
          <w:p w14:paraId="65DD9DC5" w14:textId="77777777" w:rsidR="00D02539" w:rsidRPr="00BB27E9" w:rsidRDefault="00D02539" w:rsidP="00837640">
            <w:pPr>
              <w:spacing w:after="0" w:line="240" w:lineRule="auto"/>
              <w:rPr>
                <w:rFonts w:ascii="Times New Roman" w:eastAsia="Times New Roman" w:hAnsi="Times New Roman" w:cs="Times New Roman"/>
                <w:color w:val="000000"/>
                <w:sz w:val="20"/>
                <w:szCs w:val="20"/>
              </w:rPr>
            </w:pPr>
            <w:proofErr w:type="spellStart"/>
            <w:r w:rsidRPr="00BB27E9">
              <w:rPr>
                <w:rFonts w:ascii="Times New Roman" w:eastAsia="Times New Roman" w:hAnsi="Times New Roman" w:cs="Times New Roman"/>
                <w:color w:val="000000"/>
                <w:sz w:val="20"/>
                <w:szCs w:val="20"/>
              </w:rPr>
              <w:t>Net</w:t>
            </w:r>
            <w:proofErr w:type="spellEnd"/>
            <w:r w:rsidRPr="00BB27E9">
              <w:rPr>
                <w:rFonts w:ascii="Times New Roman" w:eastAsia="Times New Roman" w:hAnsi="Times New Roman" w:cs="Times New Roman"/>
                <w:color w:val="000000"/>
                <w:sz w:val="20"/>
                <w:szCs w:val="20"/>
              </w:rPr>
              <w:t xml:space="preserve"> </w:t>
            </w:r>
            <w:proofErr w:type="spellStart"/>
            <w:r w:rsidRPr="00BB27E9">
              <w:rPr>
                <w:rFonts w:ascii="Times New Roman" w:eastAsia="Times New Roman" w:hAnsi="Times New Roman" w:cs="Times New Roman"/>
                <w:color w:val="000000"/>
                <w:sz w:val="20"/>
                <w:szCs w:val="20"/>
              </w:rPr>
              <w:t>expenditure</w:t>
            </w:r>
            <w:proofErr w:type="spellEnd"/>
            <w:r w:rsidRPr="00BB27E9">
              <w:rPr>
                <w:rFonts w:ascii="Times New Roman" w:eastAsia="Times New Roman" w:hAnsi="Times New Roman" w:cs="Times New Roman"/>
                <w:color w:val="000000"/>
                <w:sz w:val="20"/>
                <w:szCs w:val="20"/>
              </w:rPr>
              <w:t xml:space="preserve"> (</w:t>
            </w:r>
            <w:proofErr w:type="spellStart"/>
            <w:r w:rsidRPr="00BB27E9">
              <w:rPr>
                <w:rFonts w:ascii="Times New Roman" w:eastAsia="Times New Roman" w:hAnsi="Times New Roman" w:cs="Times New Roman"/>
                <w:color w:val="000000"/>
                <w:sz w:val="20"/>
                <w:szCs w:val="20"/>
              </w:rPr>
              <w:t>before</w:t>
            </w:r>
            <w:proofErr w:type="spellEnd"/>
            <w:r w:rsidRPr="00BB27E9">
              <w:rPr>
                <w:rFonts w:ascii="Times New Roman" w:eastAsia="Times New Roman" w:hAnsi="Times New Roman" w:cs="Times New Roman"/>
                <w:color w:val="000000"/>
                <w:sz w:val="20"/>
                <w:szCs w:val="20"/>
              </w:rPr>
              <w:t xml:space="preserve"> </w:t>
            </w:r>
            <w:proofErr w:type="spellStart"/>
            <w:r w:rsidRPr="00BB27E9">
              <w:rPr>
                <w:rFonts w:ascii="Times New Roman" w:eastAsia="Times New Roman" w:hAnsi="Times New Roman" w:cs="Times New Roman"/>
                <w:color w:val="000000"/>
                <w:sz w:val="20"/>
                <w:szCs w:val="20"/>
              </w:rPr>
              <w:t>DRMs</w:t>
            </w:r>
            <w:proofErr w:type="spellEnd"/>
            <w:r w:rsidRPr="00BB27E9">
              <w:rPr>
                <w:rFonts w:ascii="Times New Roman" w:eastAsia="Times New Roman" w:hAnsi="Times New Roman" w:cs="Times New Roman"/>
                <w:color w:val="000000"/>
                <w:sz w:val="20"/>
                <w:szCs w:val="20"/>
              </w:rPr>
              <w:t>) (1-2-3-4-5-6)</w:t>
            </w:r>
          </w:p>
        </w:tc>
        <w:tc>
          <w:tcPr>
            <w:tcW w:w="1109" w:type="dxa"/>
            <w:tcBorders>
              <w:top w:val="nil"/>
              <w:left w:val="nil"/>
              <w:bottom w:val="nil"/>
              <w:right w:val="nil"/>
            </w:tcBorders>
            <w:shd w:val="clear" w:color="000000" w:fill="9BC2E6"/>
            <w:noWrap/>
            <w:vAlign w:val="center"/>
            <w:hideMark/>
          </w:tcPr>
          <w:p w14:paraId="01FA7A9E"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proofErr w:type="spellStart"/>
            <w:r w:rsidRPr="00BB27E9">
              <w:rPr>
                <w:rFonts w:ascii="Times New Roman" w:eastAsia="Times New Roman" w:hAnsi="Times New Roman" w:cs="Times New Roman"/>
                <w:color w:val="000000"/>
                <w:sz w:val="20"/>
                <w:szCs w:val="20"/>
              </w:rPr>
              <w:t>bn</w:t>
            </w:r>
            <w:proofErr w:type="spellEnd"/>
            <w:r w:rsidRPr="00BB27E9">
              <w:rPr>
                <w:rFonts w:ascii="Times New Roman" w:eastAsia="Times New Roman" w:hAnsi="Times New Roman" w:cs="Times New Roman"/>
                <w:color w:val="000000"/>
                <w:sz w:val="20"/>
                <w:szCs w:val="20"/>
              </w:rPr>
              <w:t xml:space="preserve"> NAC</w:t>
            </w:r>
          </w:p>
        </w:tc>
        <w:tc>
          <w:tcPr>
            <w:tcW w:w="666" w:type="dxa"/>
            <w:tcBorders>
              <w:top w:val="nil"/>
              <w:left w:val="nil"/>
              <w:bottom w:val="nil"/>
              <w:right w:val="nil"/>
            </w:tcBorders>
            <w:shd w:val="clear" w:color="000000" w:fill="9BC2E6"/>
            <w:noWrap/>
            <w:vAlign w:val="bottom"/>
            <w:hideMark/>
          </w:tcPr>
          <w:p w14:paraId="013EB008"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96,7</w:t>
            </w:r>
          </w:p>
        </w:tc>
        <w:tc>
          <w:tcPr>
            <w:tcW w:w="666" w:type="dxa"/>
            <w:tcBorders>
              <w:top w:val="nil"/>
              <w:left w:val="nil"/>
              <w:bottom w:val="nil"/>
              <w:right w:val="nil"/>
            </w:tcBorders>
            <w:shd w:val="clear" w:color="000000" w:fill="9BC2E6"/>
            <w:noWrap/>
            <w:vAlign w:val="bottom"/>
            <w:hideMark/>
          </w:tcPr>
          <w:p w14:paraId="5CF3D1F6"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98,5</w:t>
            </w:r>
          </w:p>
        </w:tc>
        <w:tc>
          <w:tcPr>
            <w:tcW w:w="666" w:type="dxa"/>
            <w:tcBorders>
              <w:top w:val="nil"/>
              <w:left w:val="nil"/>
              <w:bottom w:val="nil"/>
              <w:right w:val="nil"/>
            </w:tcBorders>
            <w:shd w:val="clear" w:color="000000" w:fill="9BC2E6"/>
            <w:noWrap/>
            <w:vAlign w:val="bottom"/>
            <w:hideMark/>
          </w:tcPr>
          <w:p w14:paraId="10CABDE7"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102,5</w:t>
            </w:r>
          </w:p>
        </w:tc>
        <w:tc>
          <w:tcPr>
            <w:tcW w:w="716" w:type="dxa"/>
            <w:tcBorders>
              <w:top w:val="nil"/>
              <w:left w:val="nil"/>
              <w:bottom w:val="nil"/>
              <w:right w:val="nil"/>
            </w:tcBorders>
            <w:shd w:val="clear" w:color="000000" w:fill="9BC2E6"/>
            <w:noWrap/>
            <w:vAlign w:val="bottom"/>
            <w:hideMark/>
          </w:tcPr>
          <w:p w14:paraId="4CE41119"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109,7</w:t>
            </w:r>
          </w:p>
        </w:tc>
      </w:tr>
      <w:tr w:rsidR="00D02539" w:rsidRPr="00BB27E9" w14:paraId="112DFCE0" w14:textId="77777777" w:rsidTr="00837640">
        <w:trPr>
          <w:trHeight w:val="300"/>
        </w:trPr>
        <w:tc>
          <w:tcPr>
            <w:tcW w:w="567" w:type="dxa"/>
            <w:tcBorders>
              <w:top w:val="nil"/>
              <w:left w:val="single" w:sz="4" w:space="0" w:color="auto"/>
              <w:bottom w:val="nil"/>
              <w:right w:val="nil"/>
            </w:tcBorders>
            <w:shd w:val="clear" w:color="000000" w:fill="DDEBF7"/>
            <w:noWrap/>
            <w:vAlign w:val="center"/>
            <w:hideMark/>
          </w:tcPr>
          <w:p w14:paraId="54630C0B" w14:textId="77777777" w:rsidR="00D02539" w:rsidRPr="00BB27E9" w:rsidRDefault="00D02539" w:rsidP="00837640">
            <w:pPr>
              <w:spacing w:after="0" w:line="240" w:lineRule="auto"/>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8.</w:t>
            </w:r>
          </w:p>
        </w:tc>
        <w:tc>
          <w:tcPr>
            <w:tcW w:w="4678" w:type="dxa"/>
            <w:gridSpan w:val="4"/>
            <w:tcBorders>
              <w:top w:val="nil"/>
              <w:left w:val="nil"/>
              <w:bottom w:val="nil"/>
              <w:right w:val="nil"/>
            </w:tcBorders>
            <w:shd w:val="clear" w:color="000000" w:fill="DDEBF7"/>
            <w:noWrap/>
            <w:vAlign w:val="center"/>
            <w:hideMark/>
          </w:tcPr>
          <w:p w14:paraId="76D1F502" w14:textId="77777777" w:rsidR="00D02539" w:rsidRPr="00BB27E9" w:rsidRDefault="00D02539" w:rsidP="00837640">
            <w:pPr>
              <w:spacing w:after="0" w:line="240" w:lineRule="auto"/>
              <w:rPr>
                <w:rFonts w:ascii="Times New Roman" w:eastAsia="Times New Roman" w:hAnsi="Times New Roman" w:cs="Times New Roman"/>
                <w:color w:val="000000"/>
                <w:sz w:val="20"/>
                <w:szCs w:val="20"/>
                <w:lang w:val="en-US"/>
              </w:rPr>
            </w:pPr>
            <w:r w:rsidRPr="00BB27E9">
              <w:rPr>
                <w:rFonts w:ascii="Times New Roman" w:eastAsia="Times New Roman" w:hAnsi="Times New Roman" w:cs="Times New Roman"/>
                <w:color w:val="000000"/>
                <w:sz w:val="20"/>
                <w:szCs w:val="20"/>
                <w:u w:val="single"/>
                <w:lang w:val="en-US"/>
              </w:rPr>
              <w:t>Change</w:t>
            </w:r>
            <w:r w:rsidRPr="00BB27E9">
              <w:rPr>
                <w:rFonts w:ascii="Times New Roman" w:eastAsia="Times New Roman" w:hAnsi="Times New Roman" w:cs="Times New Roman"/>
                <w:color w:val="000000"/>
                <w:sz w:val="20"/>
                <w:szCs w:val="20"/>
                <w:lang w:val="en-US"/>
              </w:rPr>
              <w:t xml:space="preserve"> in net expenditure before DRMs (D7)</w:t>
            </w:r>
          </w:p>
        </w:tc>
        <w:tc>
          <w:tcPr>
            <w:tcW w:w="1109" w:type="dxa"/>
            <w:tcBorders>
              <w:top w:val="nil"/>
              <w:left w:val="nil"/>
              <w:bottom w:val="nil"/>
              <w:right w:val="nil"/>
            </w:tcBorders>
            <w:shd w:val="clear" w:color="000000" w:fill="DDEBF7"/>
            <w:noWrap/>
            <w:vAlign w:val="center"/>
            <w:hideMark/>
          </w:tcPr>
          <w:p w14:paraId="6FB146F5"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proofErr w:type="spellStart"/>
            <w:r w:rsidRPr="00BB27E9">
              <w:rPr>
                <w:rFonts w:ascii="Times New Roman" w:eastAsia="Times New Roman" w:hAnsi="Times New Roman" w:cs="Times New Roman"/>
                <w:color w:val="000000"/>
                <w:sz w:val="20"/>
                <w:szCs w:val="20"/>
              </w:rPr>
              <w:t>bn</w:t>
            </w:r>
            <w:proofErr w:type="spellEnd"/>
            <w:r w:rsidRPr="00BB27E9">
              <w:rPr>
                <w:rFonts w:ascii="Times New Roman" w:eastAsia="Times New Roman" w:hAnsi="Times New Roman" w:cs="Times New Roman"/>
                <w:color w:val="000000"/>
                <w:sz w:val="20"/>
                <w:szCs w:val="20"/>
              </w:rPr>
              <w:t xml:space="preserve"> NAC</w:t>
            </w:r>
          </w:p>
        </w:tc>
        <w:tc>
          <w:tcPr>
            <w:tcW w:w="666" w:type="dxa"/>
            <w:tcBorders>
              <w:top w:val="nil"/>
              <w:left w:val="nil"/>
              <w:bottom w:val="nil"/>
              <w:right w:val="nil"/>
            </w:tcBorders>
            <w:shd w:val="clear" w:color="000000" w:fill="DDEBF7"/>
            <w:noWrap/>
            <w:vAlign w:val="bottom"/>
            <w:hideMark/>
          </w:tcPr>
          <w:p w14:paraId="7EFC214E"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 </w:t>
            </w:r>
          </w:p>
        </w:tc>
        <w:tc>
          <w:tcPr>
            <w:tcW w:w="666" w:type="dxa"/>
            <w:tcBorders>
              <w:top w:val="nil"/>
              <w:left w:val="nil"/>
              <w:bottom w:val="nil"/>
              <w:right w:val="nil"/>
            </w:tcBorders>
            <w:shd w:val="clear" w:color="000000" w:fill="DDEBF7"/>
            <w:noWrap/>
            <w:vAlign w:val="bottom"/>
            <w:hideMark/>
          </w:tcPr>
          <w:p w14:paraId="2996BABA"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1,9</w:t>
            </w:r>
          </w:p>
        </w:tc>
        <w:tc>
          <w:tcPr>
            <w:tcW w:w="666" w:type="dxa"/>
            <w:tcBorders>
              <w:top w:val="nil"/>
              <w:left w:val="nil"/>
              <w:bottom w:val="nil"/>
              <w:right w:val="nil"/>
            </w:tcBorders>
            <w:shd w:val="clear" w:color="000000" w:fill="DDEBF7"/>
            <w:noWrap/>
            <w:vAlign w:val="bottom"/>
            <w:hideMark/>
          </w:tcPr>
          <w:p w14:paraId="1686421F"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4,0</w:t>
            </w:r>
          </w:p>
        </w:tc>
        <w:tc>
          <w:tcPr>
            <w:tcW w:w="716" w:type="dxa"/>
            <w:tcBorders>
              <w:top w:val="nil"/>
              <w:left w:val="nil"/>
              <w:bottom w:val="nil"/>
              <w:right w:val="nil"/>
            </w:tcBorders>
            <w:shd w:val="clear" w:color="auto" w:fill="DBE5F1" w:themeFill="accent1" w:themeFillTint="33"/>
            <w:noWrap/>
            <w:vAlign w:val="bottom"/>
            <w:hideMark/>
          </w:tcPr>
          <w:p w14:paraId="37A35CDB"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7,2</w:t>
            </w:r>
          </w:p>
        </w:tc>
      </w:tr>
      <w:tr w:rsidR="00D02539" w:rsidRPr="00BB27E9" w14:paraId="6BC5C724" w14:textId="77777777" w:rsidTr="00837640">
        <w:trPr>
          <w:trHeight w:val="300"/>
        </w:trPr>
        <w:tc>
          <w:tcPr>
            <w:tcW w:w="567" w:type="dxa"/>
            <w:tcBorders>
              <w:top w:val="nil"/>
              <w:left w:val="single" w:sz="4" w:space="0" w:color="auto"/>
              <w:bottom w:val="nil"/>
              <w:right w:val="nil"/>
            </w:tcBorders>
            <w:shd w:val="clear" w:color="000000" w:fill="DDEBF7"/>
            <w:noWrap/>
            <w:vAlign w:val="center"/>
            <w:hideMark/>
          </w:tcPr>
          <w:p w14:paraId="2C4AE382" w14:textId="77777777" w:rsidR="00D02539" w:rsidRPr="00BB27E9" w:rsidRDefault="00D02539" w:rsidP="00837640">
            <w:pPr>
              <w:spacing w:after="0" w:line="240" w:lineRule="auto"/>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9.</w:t>
            </w:r>
          </w:p>
        </w:tc>
        <w:tc>
          <w:tcPr>
            <w:tcW w:w="4678" w:type="dxa"/>
            <w:gridSpan w:val="4"/>
            <w:tcBorders>
              <w:top w:val="nil"/>
              <w:left w:val="nil"/>
              <w:bottom w:val="nil"/>
              <w:right w:val="nil"/>
            </w:tcBorders>
            <w:shd w:val="clear" w:color="000000" w:fill="DDEBF7"/>
            <w:noWrap/>
            <w:vAlign w:val="center"/>
            <w:hideMark/>
          </w:tcPr>
          <w:p w14:paraId="5006CCAA" w14:textId="77777777" w:rsidR="00D02539" w:rsidRPr="00BB27E9" w:rsidRDefault="00D02539" w:rsidP="00837640">
            <w:pPr>
              <w:spacing w:after="0" w:line="240" w:lineRule="auto"/>
              <w:rPr>
                <w:rFonts w:ascii="Times New Roman" w:eastAsia="Times New Roman" w:hAnsi="Times New Roman" w:cs="Times New Roman"/>
                <w:color w:val="000000"/>
                <w:sz w:val="20"/>
                <w:szCs w:val="20"/>
                <w:lang w:val="en-US"/>
              </w:rPr>
            </w:pPr>
            <w:r w:rsidRPr="00BB27E9">
              <w:rPr>
                <w:rFonts w:ascii="Times New Roman" w:eastAsia="Times New Roman" w:hAnsi="Times New Roman" w:cs="Times New Roman"/>
                <w:color w:val="000000"/>
                <w:sz w:val="20"/>
                <w:szCs w:val="20"/>
                <w:lang w:val="en-US"/>
              </w:rPr>
              <w:t>DRM (annual incremental impact, excl. one-offs)</w:t>
            </w:r>
          </w:p>
        </w:tc>
        <w:tc>
          <w:tcPr>
            <w:tcW w:w="1109" w:type="dxa"/>
            <w:tcBorders>
              <w:top w:val="nil"/>
              <w:left w:val="nil"/>
              <w:bottom w:val="nil"/>
              <w:right w:val="nil"/>
            </w:tcBorders>
            <w:shd w:val="clear" w:color="000000" w:fill="DDEBF7"/>
            <w:noWrap/>
            <w:vAlign w:val="center"/>
            <w:hideMark/>
          </w:tcPr>
          <w:p w14:paraId="2FE678D0"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proofErr w:type="spellStart"/>
            <w:r w:rsidRPr="00BB27E9">
              <w:rPr>
                <w:rFonts w:ascii="Times New Roman" w:eastAsia="Times New Roman" w:hAnsi="Times New Roman" w:cs="Times New Roman"/>
                <w:color w:val="000000"/>
                <w:sz w:val="20"/>
                <w:szCs w:val="20"/>
              </w:rPr>
              <w:t>bn</w:t>
            </w:r>
            <w:proofErr w:type="spellEnd"/>
            <w:r w:rsidRPr="00BB27E9">
              <w:rPr>
                <w:rFonts w:ascii="Times New Roman" w:eastAsia="Times New Roman" w:hAnsi="Times New Roman" w:cs="Times New Roman"/>
                <w:color w:val="000000"/>
                <w:sz w:val="20"/>
                <w:szCs w:val="20"/>
              </w:rPr>
              <w:t xml:space="preserve"> NAC</w:t>
            </w:r>
          </w:p>
        </w:tc>
        <w:tc>
          <w:tcPr>
            <w:tcW w:w="666" w:type="dxa"/>
            <w:tcBorders>
              <w:top w:val="nil"/>
              <w:left w:val="nil"/>
              <w:bottom w:val="nil"/>
              <w:right w:val="nil"/>
            </w:tcBorders>
            <w:shd w:val="clear" w:color="000000" w:fill="DDEBF7"/>
            <w:noWrap/>
            <w:vAlign w:val="bottom"/>
            <w:hideMark/>
          </w:tcPr>
          <w:p w14:paraId="37B5A259"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 </w:t>
            </w:r>
          </w:p>
        </w:tc>
        <w:tc>
          <w:tcPr>
            <w:tcW w:w="666" w:type="dxa"/>
            <w:tcBorders>
              <w:top w:val="nil"/>
              <w:left w:val="nil"/>
              <w:bottom w:val="nil"/>
              <w:right w:val="nil"/>
            </w:tcBorders>
            <w:shd w:val="clear" w:color="000000" w:fill="DDEBF7"/>
            <w:noWrap/>
            <w:vAlign w:val="bottom"/>
            <w:hideMark/>
          </w:tcPr>
          <w:p w14:paraId="4E22018E"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2,0</w:t>
            </w:r>
          </w:p>
        </w:tc>
        <w:tc>
          <w:tcPr>
            <w:tcW w:w="666" w:type="dxa"/>
            <w:tcBorders>
              <w:top w:val="nil"/>
              <w:left w:val="nil"/>
              <w:bottom w:val="nil"/>
              <w:right w:val="nil"/>
            </w:tcBorders>
            <w:shd w:val="clear" w:color="000000" w:fill="DDEBF7"/>
            <w:noWrap/>
            <w:vAlign w:val="bottom"/>
            <w:hideMark/>
          </w:tcPr>
          <w:p w14:paraId="09A27A88"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1,1</w:t>
            </w:r>
          </w:p>
        </w:tc>
        <w:tc>
          <w:tcPr>
            <w:tcW w:w="716" w:type="dxa"/>
            <w:tcBorders>
              <w:top w:val="nil"/>
              <w:left w:val="nil"/>
              <w:bottom w:val="nil"/>
              <w:right w:val="nil"/>
            </w:tcBorders>
            <w:shd w:val="clear" w:color="auto" w:fill="DBE5F1" w:themeFill="accent1" w:themeFillTint="33"/>
            <w:noWrap/>
            <w:vAlign w:val="bottom"/>
            <w:hideMark/>
          </w:tcPr>
          <w:p w14:paraId="394373FF"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w:t>
            </w:r>
          </w:p>
        </w:tc>
      </w:tr>
      <w:tr w:rsidR="00D02539" w:rsidRPr="00BB27E9" w14:paraId="1394883A" w14:textId="77777777" w:rsidTr="00837640">
        <w:trPr>
          <w:trHeight w:val="300"/>
        </w:trPr>
        <w:tc>
          <w:tcPr>
            <w:tcW w:w="567" w:type="dxa"/>
            <w:tcBorders>
              <w:top w:val="nil"/>
              <w:left w:val="single" w:sz="4" w:space="0" w:color="auto"/>
              <w:bottom w:val="single" w:sz="4" w:space="0" w:color="auto"/>
              <w:right w:val="nil"/>
            </w:tcBorders>
            <w:shd w:val="clear" w:color="000000" w:fill="9BC2E6"/>
            <w:noWrap/>
            <w:vAlign w:val="center"/>
            <w:hideMark/>
          </w:tcPr>
          <w:p w14:paraId="1D759130" w14:textId="77777777" w:rsidR="00D02539" w:rsidRPr="00BB27E9" w:rsidRDefault="00D02539" w:rsidP="00837640">
            <w:pPr>
              <w:spacing w:after="0" w:line="240" w:lineRule="auto"/>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10.</w:t>
            </w:r>
          </w:p>
        </w:tc>
        <w:tc>
          <w:tcPr>
            <w:tcW w:w="4678" w:type="dxa"/>
            <w:gridSpan w:val="4"/>
            <w:tcBorders>
              <w:top w:val="nil"/>
              <w:left w:val="nil"/>
              <w:bottom w:val="single" w:sz="4" w:space="0" w:color="auto"/>
              <w:right w:val="nil"/>
            </w:tcBorders>
            <w:shd w:val="clear" w:color="000000" w:fill="9BC2E6"/>
            <w:noWrap/>
            <w:vAlign w:val="center"/>
            <w:hideMark/>
          </w:tcPr>
          <w:p w14:paraId="424FA180" w14:textId="77777777" w:rsidR="00D02539" w:rsidRPr="00BB27E9" w:rsidRDefault="00D02539" w:rsidP="00837640">
            <w:pPr>
              <w:spacing w:after="0" w:line="240" w:lineRule="auto"/>
              <w:rPr>
                <w:rFonts w:ascii="Times New Roman" w:eastAsia="Times New Roman" w:hAnsi="Times New Roman" w:cs="Times New Roman"/>
                <w:color w:val="000000"/>
                <w:sz w:val="20"/>
                <w:szCs w:val="20"/>
                <w:lang w:val="en-US"/>
              </w:rPr>
            </w:pPr>
            <w:r w:rsidRPr="00BB27E9">
              <w:rPr>
                <w:rFonts w:ascii="Times New Roman" w:eastAsia="Times New Roman" w:hAnsi="Times New Roman" w:cs="Times New Roman"/>
                <w:color w:val="000000"/>
                <w:sz w:val="20"/>
                <w:szCs w:val="20"/>
                <w:lang w:val="en-US"/>
              </w:rPr>
              <w:t xml:space="preserve">Annual </w:t>
            </w:r>
            <w:r w:rsidRPr="00BB27E9">
              <w:rPr>
                <w:rFonts w:ascii="Times New Roman" w:eastAsia="Times New Roman" w:hAnsi="Times New Roman" w:cs="Times New Roman"/>
                <w:color w:val="000000"/>
                <w:sz w:val="20"/>
                <w:szCs w:val="20"/>
                <w:u w:val="single"/>
                <w:lang w:val="en-US"/>
              </w:rPr>
              <w:t>change</w:t>
            </w:r>
            <w:r w:rsidRPr="00BB27E9">
              <w:rPr>
                <w:rFonts w:ascii="Times New Roman" w:eastAsia="Times New Roman" w:hAnsi="Times New Roman" w:cs="Times New Roman"/>
                <w:color w:val="000000"/>
                <w:sz w:val="20"/>
                <w:szCs w:val="20"/>
                <w:lang w:val="en-US"/>
              </w:rPr>
              <w:t xml:space="preserve"> in net expenditure (after DRMs) (8-9)</w:t>
            </w:r>
          </w:p>
        </w:tc>
        <w:tc>
          <w:tcPr>
            <w:tcW w:w="1109" w:type="dxa"/>
            <w:tcBorders>
              <w:top w:val="nil"/>
              <w:left w:val="nil"/>
              <w:bottom w:val="single" w:sz="4" w:space="0" w:color="auto"/>
              <w:right w:val="nil"/>
            </w:tcBorders>
            <w:shd w:val="clear" w:color="000000" w:fill="9BC2E6"/>
            <w:noWrap/>
            <w:vAlign w:val="center"/>
            <w:hideMark/>
          </w:tcPr>
          <w:p w14:paraId="03F374C9"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proofErr w:type="spellStart"/>
            <w:r w:rsidRPr="00BB27E9">
              <w:rPr>
                <w:rFonts w:ascii="Times New Roman" w:eastAsia="Times New Roman" w:hAnsi="Times New Roman" w:cs="Times New Roman"/>
                <w:color w:val="000000"/>
                <w:sz w:val="20"/>
                <w:szCs w:val="20"/>
              </w:rPr>
              <w:t>bn</w:t>
            </w:r>
            <w:proofErr w:type="spellEnd"/>
            <w:r w:rsidRPr="00BB27E9">
              <w:rPr>
                <w:rFonts w:ascii="Times New Roman" w:eastAsia="Times New Roman" w:hAnsi="Times New Roman" w:cs="Times New Roman"/>
                <w:color w:val="000000"/>
                <w:sz w:val="20"/>
                <w:szCs w:val="20"/>
              </w:rPr>
              <w:t xml:space="preserve"> NAC</w:t>
            </w:r>
          </w:p>
        </w:tc>
        <w:tc>
          <w:tcPr>
            <w:tcW w:w="666" w:type="dxa"/>
            <w:tcBorders>
              <w:top w:val="nil"/>
              <w:left w:val="nil"/>
              <w:bottom w:val="single" w:sz="4" w:space="0" w:color="auto"/>
              <w:right w:val="nil"/>
            </w:tcBorders>
            <w:shd w:val="clear" w:color="000000" w:fill="9BC2E6"/>
            <w:noWrap/>
            <w:vAlign w:val="bottom"/>
            <w:hideMark/>
          </w:tcPr>
          <w:p w14:paraId="2DD3E8DC"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 </w:t>
            </w:r>
          </w:p>
        </w:tc>
        <w:tc>
          <w:tcPr>
            <w:tcW w:w="666" w:type="dxa"/>
            <w:tcBorders>
              <w:top w:val="nil"/>
              <w:left w:val="nil"/>
              <w:bottom w:val="single" w:sz="4" w:space="0" w:color="auto"/>
              <w:right w:val="nil"/>
            </w:tcBorders>
            <w:shd w:val="clear" w:color="000000" w:fill="9BC2E6"/>
            <w:noWrap/>
            <w:vAlign w:val="bottom"/>
            <w:hideMark/>
          </w:tcPr>
          <w:p w14:paraId="35990F59"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-0,1</w:t>
            </w:r>
          </w:p>
        </w:tc>
        <w:tc>
          <w:tcPr>
            <w:tcW w:w="666" w:type="dxa"/>
            <w:tcBorders>
              <w:top w:val="nil"/>
              <w:left w:val="nil"/>
              <w:bottom w:val="single" w:sz="4" w:space="0" w:color="auto"/>
              <w:right w:val="nil"/>
            </w:tcBorders>
            <w:shd w:val="clear" w:color="000000" w:fill="9BC2E6"/>
            <w:noWrap/>
            <w:vAlign w:val="bottom"/>
            <w:hideMark/>
          </w:tcPr>
          <w:p w14:paraId="4BEE917D"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2,9</w:t>
            </w:r>
          </w:p>
        </w:tc>
        <w:tc>
          <w:tcPr>
            <w:tcW w:w="716" w:type="dxa"/>
            <w:tcBorders>
              <w:top w:val="nil"/>
              <w:left w:val="nil"/>
              <w:bottom w:val="single" w:sz="4" w:space="0" w:color="auto"/>
              <w:right w:val="nil"/>
            </w:tcBorders>
            <w:shd w:val="clear" w:color="000000" w:fill="9BC2E6"/>
            <w:noWrap/>
            <w:vAlign w:val="bottom"/>
            <w:hideMark/>
          </w:tcPr>
          <w:p w14:paraId="1A503F2E"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7,7</w:t>
            </w:r>
          </w:p>
        </w:tc>
      </w:tr>
      <w:tr w:rsidR="00D02539" w:rsidRPr="00BB27E9" w14:paraId="13C9A0F7" w14:textId="77777777" w:rsidTr="00837640">
        <w:trPr>
          <w:trHeight w:val="300"/>
        </w:trPr>
        <w:tc>
          <w:tcPr>
            <w:tcW w:w="5245" w:type="dxa"/>
            <w:gridSpan w:val="5"/>
            <w:tcBorders>
              <w:top w:val="single" w:sz="4" w:space="0" w:color="auto"/>
              <w:left w:val="single" w:sz="4" w:space="0" w:color="auto"/>
              <w:bottom w:val="nil"/>
              <w:right w:val="nil"/>
            </w:tcBorders>
            <w:shd w:val="clear" w:color="000000" w:fill="DDEBF7"/>
            <w:noWrap/>
            <w:vAlign w:val="center"/>
            <w:hideMark/>
          </w:tcPr>
          <w:p w14:paraId="443ADB9B" w14:textId="77777777" w:rsidR="00D02539" w:rsidRPr="00BB27E9" w:rsidRDefault="00D02539" w:rsidP="00837640">
            <w:pPr>
              <w:spacing w:after="0" w:line="240" w:lineRule="auto"/>
              <w:rPr>
                <w:rFonts w:ascii="Times New Roman" w:eastAsia="Times New Roman" w:hAnsi="Times New Roman" w:cs="Times New Roman"/>
                <w:b/>
                <w:bCs/>
                <w:color w:val="000000"/>
                <w:sz w:val="20"/>
                <w:szCs w:val="20"/>
                <w:u w:val="single"/>
              </w:rPr>
            </w:pPr>
            <w:r w:rsidRPr="00BB27E9">
              <w:rPr>
                <w:rFonts w:ascii="Times New Roman" w:eastAsia="Times New Roman" w:hAnsi="Times New Roman" w:cs="Times New Roman"/>
                <w:b/>
                <w:bCs/>
                <w:color w:val="000000"/>
                <w:sz w:val="20"/>
                <w:szCs w:val="20"/>
                <w:u w:val="single"/>
              </w:rPr>
              <w:t>Annual and cumulated deviations</w:t>
            </w:r>
          </w:p>
        </w:tc>
        <w:tc>
          <w:tcPr>
            <w:tcW w:w="1109" w:type="dxa"/>
            <w:tcBorders>
              <w:top w:val="nil"/>
              <w:left w:val="nil"/>
              <w:bottom w:val="nil"/>
              <w:right w:val="nil"/>
            </w:tcBorders>
            <w:shd w:val="clear" w:color="000000" w:fill="DDEBF7"/>
            <w:noWrap/>
            <w:vAlign w:val="center"/>
            <w:hideMark/>
          </w:tcPr>
          <w:p w14:paraId="2107AE8A" w14:textId="77777777" w:rsidR="00D02539" w:rsidRPr="00BB27E9" w:rsidRDefault="00D02539" w:rsidP="00837640">
            <w:pPr>
              <w:spacing w:after="0" w:line="240" w:lineRule="auto"/>
              <w:jc w:val="center"/>
              <w:rPr>
                <w:rFonts w:ascii="Times New Roman" w:eastAsia="Times New Roman" w:hAnsi="Times New Roman" w:cs="Times New Roman"/>
                <w:b/>
                <w:bCs/>
                <w:color w:val="000000"/>
                <w:sz w:val="20"/>
                <w:szCs w:val="20"/>
              </w:rPr>
            </w:pPr>
            <w:r w:rsidRPr="00BB27E9">
              <w:rPr>
                <w:rFonts w:ascii="Times New Roman" w:eastAsia="Times New Roman" w:hAnsi="Times New Roman" w:cs="Times New Roman"/>
                <w:b/>
                <w:bCs/>
                <w:color w:val="000000"/>
                <w:sz w:val="20"/>
                <w:szCs w:val="20"/>
              </w:rPr>
              <w:t> </w:t>
            </w:r>
          </w:p>
        </w:tc>
        <w:tc>
          <w:tcPr>
            <w:tcW w:w="666" w:type="dxa"/>
            <w:tcBorders>
              <w:top w:val="nil"/>
              <w:left w:val="nil"/>
              <w:bottom w:val="nil"/>
              <w:right w:val="nil"/>
            </w:tcBorders>
            <w:shd w:val="clear" w:color="000000" w:fill="DDEBF7"/>
            <w:noWrap/>
            <w:vAlign w:val="center"/>
            <w:hideMark/>
          </w:tcPr>
          <w:p w14:paraId="3EBFA6D2"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 </w:t>
            </w:r>
          </w:p>
        </w:tc>
        <w:tc>
          <w:tcPr>
            <w:tcW w:w="666" w:type="dxa"/>
            <w:tcBorders>
              <w:top w:val="nil"/>
              <w:left w:val="nil"/>
              <w:bottom w:val="nil"/>
              <w:right w:val="nil"/>
            </w:tcBorders>
            <w:shd w:val="clear" w:color="000000" w:fill="DDEBF7"/>
            <w:noWrap/>
            <w:vAlign w:val="center"/>
            <w:hideMark/>
          </w:tcPr>
          <w:p w14:paraId="596F9317"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 </w:t>
            </w:r>
          </w:p>
        </w:tc>
        <w:tc>
          <w:tcPr>
            <w:tcW w:w="666" w:type="dxa"/>
            <w:tcBorders>
              <w:top w:val="nil"/>
              <w:left w:val="nil"/>
              <w:bottom w:val="nil"/>
              <w:right w:val="nil"/>
            </w:tcBorders>
            <w:shd w:val="clear" w:color="000000" w:fill="DDEBF7"/>
            <w:noWrap/>
            <w:vAlign w:val="center"/>
            <w:hideMark/>
          </w:tcPr>
          <w:p w14:paraId="286ABA2A"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 </w:t>
            </w:r>
          </w:p>
        </w:tc>
        <w:tc>
          <w:tcPr>
            <w:tcW w:w="716" w:type="dxa"/>
            <w:tcBorders>
              <w:top w:val="nil"/>
              <w:left w:val="nil"/>
              <w:bottom w:val="nil"/>
              <w:right w:val="nil"/>
            </w:tcBorders>
            <w:shd w:val="clear" w:color="000000" w:fill="DDEBF7"/>
            <w:noWrap/>
            <w:vAlign w:val="center"/>
            <w:hideMark/>
          </w:tcPr>
          <w:p w14:paraId="2174AAD0"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 </w:t>
            </w:r>
          </w:p>
        </w:tc>
      </w:tr>
      <w:tr w:rsidR="00D02539" w:rsidRPr="00BB27E9" w14:paraId="0EB88016" w14:textId="77777777" w:rsidTr="00837640">
        <w:trPr>
          <w:trHeight w:val="300"/>
        </w:trPr>
        <w:tc>
          <w:tcPr>
            <w:tcW w:w="567" w:type="dxa"/>
            <w:tcBorders>
              <w:top w:val="nil"/>
              <w:left w:val="single" w:sz="4" w:space="0" w:color="auto"/>
              <w:bottom w:val="nil"/>
              <w:right w:val="nil"/>
            </w:tcBorders>
            <w:shd w:val="clear" w:color="000000" w:fill="DDEBF7"/>
            <w:noWrap/>
            <w:vAlign w:val="center"/>
            <w:hideMark/>
          </w:tcPr>
          <w:p w14:paraId="3930EE6F" w14:textId="77777777" w:rsidR="00D02539" w:rsidRPr="00BB27E9" w:rsidRDefault="00D02539" w:rsidP="00837640">
            <w:pPr>
              <w:spacing w:after="0" w:line="240" w:lineRule="auto"/>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11.</w:t>
            </w:r>
          </w:p>
        </w:tc>
        <w:tc>
          <w:tcPr>
            <w:tcW w:w="4678" w:type="dxa"/>
            <w:gridSpan w:val="4"/>
            <w:tcBorders>
              <w:top w:val="nil"/>
              <w:left w:val="nil"/>
              <w:bottom w:val="nil"/>
              <w:right w:val="nil"/>
            </w:tcBorders>
            <w:shd w:val="clear" w:color="000000" w:fill="DDEBF7"/>
            <w:noWrap/>
            <w:vAlign w:val="center"/>
            <w:hideMark/>
          </w:tcPr>
          <w:p w14:paraId="2537F5D6" w14:textId="77777777" w:rsidR="00D02539" w:rsidRPr="00DA0CF2" w:rsidRDefault="00D02539" w:rsidP="00837640">
            <w:pPr>
              <w:spacing w:after="0" w:line="240" w:lineRule="auto"/>
              <w:rPr>
                <w:rFonts w:ascii="Times New Roman" w:eastAsia="Times New Roman" w:hAnsi="Times New Roman" w:cs="Times New Roman"/>
                <w:color w:val="000000" w:themeColor="text1"/>
                <w:sz w:val="20"/>
                <w:szCs w:val="20"/>
                <w:lang w:val="en-US"/>
              </w:rPr>
            </w:pPr>
            <w:r w:rsidRPr="00DA0CF2">
              <w:rPr>
                <w:rFonts w:ascii="Times New Roman" w:eastAsia="Times New Roman" w:hAnsi="Times New Roman" w:cs="Times New Roman"/>
                <w:color w:val="000000" w:themeColor="text1"/>
                <w:sz w:val="20"/>
                <w:szCs w:val="20"/>
                <w:lang w:val="en-US"/>
              </w:rPr>
              <w:t>Observed net expenditure growth (10(t) / 7(t-1))</w:t>
            </w:r>
          </w:p>
        </w:tc>
        <w:tc>
          <w:tcPr>
            <w:tcW w:w="1109" w:type="dxa"/>
            <w:tcBorders>
              <w:top w:val="nil"/>
              <w:left w:val="nil"/>
              <w:bottom w:val="nil"/>
              <w:right w:val="nil"/>
            </w:tcBorders>
            <w:shd w:val="clear" w:color="000000" w:fill="DDEBF7"/>
            <w:noWrap/>
            <w:vAlign w:val="center"/>
            <w:hideMark/>
          </w:tcPr>
          <w:p w14:paraId="6EDEE097" w14:textId="77777777" w:rsidR="00D02539" w:rsidRPr="00DA0CF2" w:rsidRDefault="00D02539" w:rsidP="00837640">
            <w:pPr>
              <w:spacing w:after="0" w:line="240" w:lineRule="auto"/>
              <w:jc w:val="center"/>
              <w:rPr>
                <w:rFonts w:ascii="Times New Roman" w:eastAsia="Times New Roman" w:hAnsi="Times New Roman" w:cs="Times New Roman"/>
                <w:color w:val="000000" w:themeColor="text1"/>
                <w:sz w:val="20"/>
                <w:szCs w:val="20"/>
              </w:rPr>
            </w:pPr>
            <w:r w:rsidRPr="00DA0CF2">
              <w:rPr>
                <w:rFonts w:ascii="Times New Roman" w:eastAsia="Times New Roman" w:hAnsi="Times New Roman" w:cs="Times New Roman"/>
                <w:color w:val="000000" w:themeColor="text1"/>
                <w:sz w:val="20"/>
                <w:szCs w:val="20"/>
              </w:rPr>
              <w:t>% change</w:t>
            </w:r>
          </w:p>
        </w:tc>
        <w:tc>
          <w:tcPr>
            <w:tcW w:w="666" w:type="dxa"/>
            <w:tcBorders>
              <w:top w:val="nil"/>
              <w:left w:val="nil"/>
              <w:bottom w:val="nil"/>
              <w:right w:val="nil"/>
            </w:tcBorders>
            <w:shd w:val="clear" w:color="000000" w:fill="DDEBF7"/>
            <w:noWrap/>
            <w:vAlign w:val="bottom"/>
            <w:hideMark/>
          </w:tcPr>
          <w:p w14:paraId="775AF67D" w14:textId="77777777" w:rsidR="00D02539" w:rsidRPr="00DA0CF2" w:rsidRDefault="00D02539" w:rsidP="00837640">
            <w:pPr>
              <w:spacing w:after="0" w:line="240" w:lineRule="auto"/>
              <w:jc w:val="center"/>
              <w:rPr>
                <w:rFonts w:ascii="Times New Roman" w:eastAsia="Times New Roman" w:hAnsi="Times New Roman" w:cs="Times New Roman"/>
                <w:color w:val="000000" w:themeColor="text1"/>
                <w:sz w:val="20"/>
                <w:szCs w:val="20"/>
              </w:rPr>
            </w:pPr>
            <w:r w:rsidRPr="00DA0CF2">
              <w:rPr>
                <w:rFonts w:ascii="Times New Roman" w:eastAsia="Times New Roman" w:hAnsi="Times New Roman" w:cs="Times New Roman"/>
                <w:color w:val="000000" w:themeColor="text1"/>
                <w:sz w:val="20"/>
                <w:szCs w:val="20"/>
              </w:rPr>
              <w:t> </w:t>
            </w:r>
          </w:p>
        </w:tc>
        <w:tc>
          <w:tcPr>
            <w:tcW w:w="666" w:type="dxa"/>
            <w:tcBorders>
              <w:top w:val="nil"/>
              <w:left w:val="nil"/>
              <w:bottom w:val="nil"/>
              <w:right w:val="nil"/>
            </w:tcBorders>
            <w:shd w:val="clear" w:color="000000" w:fill="DDEBF7"/>
            <w:noWrap/>
            <w:vAlign w:val="center"/>
            <w:hideMark/>
          </w:tcPr>
          <w:p w14:paraId="77AF2081" w14:textId="77777777" w:rsidR="00D02539" w:rsidRPr="00DA0CF2" w:rsidRDefault="00D02539" w:rsidP="00837640">
            <w:pPr>
              <w:spacing w:after="0" w:line="240" w:lineRule="auto"/>
              <w:jc w:val="center"/>
              <w:rPr>
                <w:rFonts w:ascii="Times New Roman" w:eastAsia="Times New Roman" w:hAnsi="Times New Roman" w:cs="Times New Roman"/>
                <w:color w:val="000000" w:themeColor="text1"/>
                <w:sz w:val="20"/>
                <w:szCs w:val="20"/>
              </w:rPr>
            </w:pPr>
            <w:r w:rsidRPr="00DA0CF2">
              <w:rPr>
                <w:rFonts w:ascii="Times New Roman" w:eastAsia="Times New Roman" w:hAnsi="Times New Roman" w:cs="Times New Roman"/>
                <w:color w:val="000000" w:themeColor="text1"/>
                <w:sz w:val="20"/>
                <w:szCs w:val="20"/>
              </w:rPr>
              <w:t>-0,1</w:t>
            </w:r>
          </w:p>
        </w:tc>
        <w:tc>
          <w:tcPr>
            <w:tcW w:w="666" w:type="dxa"/>
            <w:tcBorders>
              <w:top w:val="nil"/>
              <w:left w:val="nil"/>
              <w:bottom w:val="nil"/>
              <w:right w:val="nil"/>
            </w:tcBorders>
            <w:shd w:val="clear" w:color="000000" w:fill="DDEBF7"/>
            <w:noWrap/>
            <w:vAlign w:val="center"/>
            <w:hideMark/>
          </w:tcPr>
          <w:p w14:paraId="147EE1E3" w14:textId="77777777" w:rsidR="00D02539" w:rsidRPr="00DA0CF2" w:rsidRDefault="00D02539" w:rsidP="00837640">
            <w:pPr>
              <w:spacing w:after="0" w:line="240" w:lineRule="auto"/>
              <w:jc w:val="center"/>
              <w:rPr>
                <w:rFonts w:ascii="Times New Roman" w:eastAsia="Times New Roman" w:hAnsi="Times New Roman" w:cs="Times New Roman"/>
                <w:color w:val="000000" w:themeColor="text1"/>
                <w:sz w:val="20"/>
                <w:szCs w:val="20"/>
              </w:rPr>
            </w:pPr>
            <w:r w:rsidRPr="00DA0CF2">
              <w:rPr>
                <w:rFonts w:ascii="Times New Roman" w:eastAsia="Times New Roman" w:hAnsi="Times New Roman" w:cs="Times New Roman"/>
                <w:color w:val="000000" w:themeColor="text1"/>
                <w:sz w:val="20"/>
                <w:szCs w:val="20"/>
              </w:rPr>
              <w:t>2,9</w:t>
            </w:r>
          </w:p>
        </w:tc>
        <w:tc>
          <w:tcPr>
            <w:tcW w:w="716" w:type="dxa"/>
            <w:tcBorders>
              <w:top w:val="nil"/>
              <w:left w:val="nil"/>
              <w:bottom w:val="nil"/>
              <w:right w:val="nil"/>
            </w:tcBorders>
            <w:shd w:val="clear" w:color="auto" w:fill="DBE5F1" w:themeFill="accent1" w:themeFillTint="33"/>
            <w:noWrap/>
            <w:vAlign w:val="center"/>
            <w:hideMark/>
          </w:tcPr>
          <w:p w14:paraId="62AC8007" w14:textId="77777777" w:rsidR="00D02539" w:rsidRPr="00DA0CF2" w:rsidRDefault="00D02539" w:rsidP="00837640">
            <w:pPr>
              <w:spacing w:after="0" w:line="240" w:lineRule="auto"/>
              <w:jc w:val="center"/>
              <w:rPr>
                <w:rFonts w:ascii="Times New Roman" w:eastAsia="Times New Roman" w:hAnsi="Times New Roman" w:cs="Times New Roman"/>
                <w:color w:val="000000" w:themeColor="text1"/>
                <w:sz w:val="20"/>
                <w:szCs w:val="20"/>
              </w:rPr>
            </w:pPr>
            <w:r w:rsidRPr="00DA0CF2">
              <w:rPr>
                <w:rFonts w:ascii="Times New Roman" w:eastAsia="Times New Roman" w:hAnsi="Times New Roman" w:cs="Times New Roman"/>
                <w:color w:val="000000" w:themeColor="text1"/>
                <w:sz w:val="20"/>
                <w:szCs w:val="20"/>
              </w:rPr>
              <w:t>7,5</w:t>
            </w:r>
          </w:p>
        </w:tc>
      </w:tr>
      <w:tr w:rsidR="00D02539" w:rsidRPr="00BB27E9" w14:paraId="60EFBCB6" w14:textId="77777777" w:rsidTr="00837640">
        <w:trPr>
          <w:trHeight w:val="300"/>
        </w:trPr>
        <w:tc>
          <w:tcPr>
            <w:tcW w:w="567" w:type="dxa"/>
            <w:tcBorders>
              <w:top w:val="nil"/>
              <w:left w:val="single" w:sz="4" w:space="0" w:color="auto"/>
              <w:bottom w:val="single" w:sz="4" w:space="0" w:color="auto"/>
              <w:right w:val="nil"/>
            </w:tcBorders>
            <w:shd w:val="clear" w:color="000000" w:fill="DDEBF7"/>
            <w:noWrap/>
            <w:vAlign w:val="center"/>
            <w:hideMark/>
          </w:tcPr>
          <w:p w14:paraId="571682EA" w14:textId="77777777" w:rsidR="00D02539" w:rsidRPr="00BB27E9" w:rsidRDefault="00D02539" w:rsidP="00837640">
            <w:pPr>
              <w:spacing w:after="0" w:line="240" w:lineRule="auto"/>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12.</w:t>
            </w:r>
          </w:p>
        </w:tc>
        <w:tc>
          <w:tcPr>
            <w:tcW w:w="4678" w:type="dxa"/>
            <w:gridSpan w:val="4"/>
            <w:tcBorders>
              <w:top w:val="nil"/>
              <w:left w:val="nil"/>
              <w:bottom w:val="single" w:sz="4" w:space="0" w:color="auto"/>
              <w:right w:val="nil"/>
            </w:tcBorders>
            <w:shd w:val="clear" w:color="000000" w:fill="DDEBF7"/>
            <w:noWrap/>
            <w:vAlign w:val="center"/>
            <w:hideMark/>
          </w:tcPr>
          <w:p w14:paraId="15A92A52" w14:textId="77777777" w:rsidR="00D02539" w:rsidRPr="00BB27E9" w:rsidRDefault="00D02539" w:rsidP="00837640">
            <w:pPr>
              <w:spacing w:after="0" w:line="240" w:lineRule="auto"/>
              <w:rPr>
                <w:rFonts w:ascii="Times New Roman" w:eastAsia="Times New Roman" w:hAnsi="Times New Roman" w:cs="Times New Roman"/>
                <w:color w:val="000000"/>
                <w:sz w:val="20"/>
                <w:szCs w:val="20"/>
              </w:rPr>
            </w:pPr>
            <w:proofErr w:type="spellStart"/>
            <w:r w:rsidRPr="00BB27E9">
              <w:rPr>
                <w:rFonts w:ascii="Times New Roman" w:eastAsia="Times New Roman" w:hAnsi="Times New Roman" w:cs="Times New Roman"/>
                <w:color w:val="000000"/>
                <w:sz w:val="20"/>
                <w:szCs w:val="20"/>
              </w:rPr>
              <w:t>Recommended</w:t>
            </w:r>
            <w:proofErr w:type="spellEnd"/>
            <w:r w:rsidRPr="00BB27E9">
              <w:rPr>
                <w:rFonts w:ascii="Times New Roman" w:eastAsia="Times New Roman" w:hAnsi="Times New Roman" w:cs="Times New Roman"/>
                <w:color w:val="000000"/>
                <w:sz w:val="20"/>
                <w:szCs w:val="20"/>
              </w:rPr>
              <w:t xml:space="preserve"> </w:t>
            </w:r>
            <w:proofErr w:type="spellStart"/>
            <w:r w:rsidRPr="00BB27E9">
              <w:rPr>
                <w:rFonts w:ascii="Times New Roman" w:eastAsia="Times New Roman" w:hAnsi="Times New Roman" w:cs="Times New Roman"/>
                <w:color w:val="000000"/>
                <w:sz w:val="20"/>
                <w:szCs w:val="20"/>
              </w:rPr>
              <w:t>net</w:t>
            </w:r>
            <w:proofErr w:type="spellEnd"/>
            <w:r w:rsidRPr="00BB27E9">
              <w:rPr>
                <w:rFonts w:ascii="Times New Roman" w:eastAsia="Times New Roman" w:hAnsi="Times New Roman" w:cs="Times New Roman"/>
                <w:color w:val="000000"/>
                <w:sz w:val="20"/>
                <w:szCs w:val="20"/>
              </w:rPr>
              <w:t xml:space="preserve"> </w:t>
            </w:r>
            <w:proofErr w:type="spellStart"/>
            <w:r w:rsidRPr="00BB27E9">
              <w:rPr>
                <w:rFonts w:ascii="Times New Roman" w:eastAsia="Times New Roman" w:hAnsi="Times New Roman" w:cs="Times New Roman"/>
                <w:color w:val="000000"/>
                <w:sz w:val="20"/>
                <w:szCs w:val="20"/>
              </w:rPr>
              <w:t>expenditure</w:t>
            </w:r>
            <w:proofErr w:type="spellEnd"/>
            <w:r w:rsidRPr="00BB27E9">
              <w:rPr>
                <w:rFonts w:ascii="Times New Roman" w:eastAsia="Times New Roman" w:hAnsi="Times New Roman" w:cs="Times New Roman"/>
                <w:color w:val="000000"/>
                <w:sz w:val="20"/>
                <w:szCs w:val="20"/>
              </w:rPr>
              <w:t xml:space="preserve"> growth</w:t>
            </w:r>
          </w:p>
        </w:tc>
        <w:tc>
          <w:tcPr>
            <w:tcW w:w="1109" w:type="dxa"/>
            <w:tcBorders>
              <w:top w:val="nil"/>
              <w:left w:val="nil"/>
              <w:bottom w:val="single" w:sz="4" w:space="0" w:color="auto"/>
              <w:right w:val="nil"/>
            </w:tcBorders>
            <w:shd w:val="clear" w:color="000000" w:fill="DDEBF7"/>
            <w:noWrap/>
            <w:vAlign w:val="center"/>
            <w:hideMark/>
          </w:tcPr>
          <w:p w14:paraId="15C94111" w14:textId="77777777" w:rsidR="00D02539" w:rsidRPr="00BB27E9" w:rsidRDefault="00D02539" w:rsidP="00837640">
            <w:pPr>
              <w:spacing w:after="0" w:line="240" w:lineRule="auto"/>
              <w:jc w:val="center"/>
              <w:rPr>
                <w:rFonts w:ascii="Times New Roman" w:eastAsia="Times New Roman" w:hAnsi="Times New Roman" w:cs="Times New Roman"/>
                <w:sz w:val="20"/>
                <w:szCs w:val="20"/>
              </w:rPr>
            </w:pPr>
            <w:r w:rsidRPr="00BB27E9">
              <w:rPr>
                <w:rFonts w:ascii="Times New Roman" w:eastAsia="Times New Roman" w:hAnsi="Times New Roman" w:cs="Times New Roman"/>
                <w:sz w:val="20"/>
                <w:szCs w:val="20"/>
              </w:rPr>
              <w:t>% change</w:t>
            </w:r>
          </w:p>
        </w:tc>
        <w:tc>
          <w:tcPr>
            <w:tcW w:w="666" w:type="dxa"/>
            <w:tcBorders>
              <w:top w:val="nil"/>
              <w:left w:val="nil"/>
              <w:bottom w:val="single" w:sz="4" w:space="0" w:color="auto"/>
              <w:right w:val="nil"/>
            </w:tcBorders>
            <w:shd w:val="clear" w:color="000000" w:fill="DDEBF7"/>
            <w:noWrap/>
            <w:vAlign w:val="bottom"/>
            <w:hideMark/>
          </w:tcPr>
          <w:p w14:paraId="64D1E245"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 </w:t>
            </w:r>
          </w:p>
        </w:tc>
        <w:tc>
          <w:tcPr>
            <w:tcW w:w="666" w:type="dxa"/>
            <w:tcBorders>
              <w:top w:val="nil"/>
              <w:left w:val="nil"/>
              <w:bottom w:val="single" w:sz="4" w:space="0" w:color="auto"/>
              <w:right w:val="nil"/>
            </w:tcBorders>
            <w:shd w:val="clear" w:color="000000" w:fill="DDEBF7"/>
            <w:noWrap/>
            <w:vAlign w:val="center"/>
            <w:hideMark/>
          </w:tcPr>
          <w:p w14:paraId="62E25AA3" w14:textId="77777777" w:rsidR="00D02539" w:rsidRPr="00BB27E9" w:rsidRDefault="00D02539" w:rsidP="00837640">
            <w:pPr>
              <w:spacing w:after="0" w:line="240" w:lineRule="auto"/>
              <w:jc w:val="center"/>
              <w:rPr>
                <w:rFonts w:ascii="Times New Roman" w:eastAsia="Times New Roman" w:hAnsi="Times New Roman" w:cs="Times New Roman"/>
                <w:color w:val="A6A6A6"/>
                <w:sz w:val="20"/>
                <w:szCs w:val="20"/>
              </w:rPr>
            </w:pPr>
            <w:r w:rsidRPr="00BB27E9">
              <w:rPr>
                <w:rFonts w:ascii="Times New Roman" w:eastAsia="Times New Roman" w:hAnsi="Times New Roman" w:cs="Times New Roman"/>
                <w:color w:val="A6A6A6"/>
                <w:sz w:val="20"/>
                <w:szCs w:val="20"/>
              </w:rPr>
              <w:t>2,6</w:t>
            </w:r>
          </w:p>
        </w:tc>
        <w:tc>
          <w:tcPr>
            <w:tcW w:w="666" w:type="dxa"/>
            <w:tcBorders>
              <w:top w:val="nil"/>
              <w:left w:val="nil"/>
              <w:bottom w:val="single" w:sz="4" w:space="0" w:color="auto"/>
              <w:right w:val="nil"/>
            </w:tcBorders>
            <w:shd w:val="clear" w:color="000000" w:fill="DDEBF7"/>
            <w:noWrap/>
            <w:vAlign w:val="center"/>
            <w:hideMark/>
          </w:tcPr>
          <w:p w14:paraId="20BC1CCC" w14:textId="77777777" w:rsidR="00D02539" w:rsidRPr="00BB27E9" w:rsidRDefault="00D02539" w:rsidP="00837640">
            <w:pPr>
              <w:spacing w:after="0" w:line="240" w:lineRule="auto"/>
              <w:jc w:val="center"/>
              <w:rPr>
                <w:rFonts w:ascii="Times New Roman" w:eastAsia="Times New Roman" w:hAnsi="Times New Roman" w:cs="Times New Roman"/>
                <w:sz w:val="20"/>
                <w:szCs w:val="20"/>
              </w:rPr>
            </w:pPr>
            <w:r w:rsidRPr="00BB27E9">
              <w:rPr>
                <w:rFonts w:ascii="Times New Roman" w:eastAsia="Times New Roman" w:hAnsi="Times New Roman" w:cs="Times New Roman"/>
                <w:sz w:val="20"/>
                <w:szCs w:val="20"/>
              </w:rPr>
              <w:t>3,7</w:t>
            </w:r>
          </w:p>
        </w:tc>
        <w:tc>
          <w:tcPr>
            <w:tcW w:w="716" w:type="dxa"/>
            <w:tcBorders>
              <w:top w:val="nil"/>
              <w:left w:val="nil"/>
              <w:bottom w:val="single" w:sz="4" w:space="0" w:color="auto"/>
              <w:right w:val="nil"/>
            </w:tcBorders>
            <w:shd w:val="clear" w:color="auto" w:fill="DBE5F1" w:themeFill="accent1" w:themeFillTint="33"/>
            <w:noWrap/>
            <w:vAlign w:val="center"/>
            <w:hideMark/>
          </w:tcPr>
          <w:p w14:paraId="6BA98211" w14:textId="77777777" w:rsidR="00D02539" w:rsidRPr="00BB27E9" w:rsidRDefault="00D02539" w:rsidP="00837640">
            <w:pPr>
              <w:spacing w:after="0" w:line="240" w:lineRule="auto"/>
              <w:jc w:val="center"/>
              <w:rPr>
                <w:rFonts w:ascii="Times New Roman" w:eastAsia="Times New Roman" w:hAnsi="Times New Roman" w:cs="Times New Roman"/>
                <w:sz w:val="20"/>
                <w:szCs w:val="20"/>
              </w:rPr>
            </w:pPr>
            <w:r w:rsidRPr="00BB27E9">
              <w:rPr>
                <w:rFonts w:ascii="Times New Roman" w:eastAsia="Times New Roman" w:hAnsi="Times New Roman" w:cs="Times New Roman"/>
                <w:sz w:val="20"/>
                <w:szCs w:val="20"/>
              </w:rPr>
              <w:t>3,6</w:t>
            </w:r>
          </w:p>
        </w:tc>
      </w:tr>
      <w:tr w:rsidR="00D02539" w:rsidRPr="00BB27E9" w14:paraId="3BF8B991" w14:textId="77777777" w:rsidTr="00837640">
        <w:trPr>
          <w:trHeight w:val="300"/>
        </w:trPr>
        <w:tc>
          <w:tcPr>
            <w:tcW w:w="567" w:type="dxa"/>
            <w:tcBorders>
              <w:top w:val="nil"/>
              <w:left w:val="single" w:sz="4" w:space="0" w:color="auto"/>
              <w:bottom w:val="nil"/>
              <w:right w:val="nil"/>
            </w:tcBorders>
            <w:shd w:val="clear" w:color="000000" w:fill="9BC2E6"/>
            <w:noWrap/>
            <w:vAlign w:val="center"/>
            <w:hideMark/>
          </w:tcPr>
          <w:p w14:paraId="682779BE" w14:textId="77777777" w:rsidR="00D02539" w:rsidRPr="00BB27E9" w:rsidRDefault="00D02539" w:rsidP="00837640">
            <w:pPr>
              <w:spacing w:after="0" w:line="240" w:lineRule="auto"/>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13.</w:t>
            </w:r>
          </w:p>
        </w:tc>
        <w:tc>
          <w:tcPr>
            <w:tcW w:w="4678" w:type="dxa"/>
            <w:gridSpan w:val="4"/>
            <w:tcBorders>
              <w:top w:val="nil"/>
              <w:left w:val="nil"/>
              <w:bottom w:val="nil"/>
              <w:right w:val="nil"/>
            </w:tcBorders>
            <w:shd w:val="clear" w:color="000000" w:fill="9BC2E6"/>
            <w:noWrap/>
            <w:vAlign w:val="center"/>
            <w:hideMark/>
          </w:tcPr>
          <w:p w14:paraId="4D764FE1" w14:textId="77777777" w:rsidR="00D02539" w:rsidRPr="00BB27E9" w:rsidRDefault="00D02539" w:rsidP="00837640">
            <w:pPr>
              <w:spacing w:after="0" w:line="240" w:lineRule="auto"/>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Annual deviation ((11-12) x 7)</w:t>
            </w:r>
          </w:p>
        </w:tc>
        <w:tc>
          <w:tcPr>
            <w:tcW w:w="1109" w:type="dxa"/>
            <w:tcBorders>
              <w:top w:val="nil"/>
              <w:left w:val="nil"/>
              <w:bottom w:val="nil"/>
              <w:right w:val="nil"/>
            </w:tcBorders>
            <w:shd w:val="clear" w:color="000000" w:fill="9BC2E6"/>
            <w:noWrap/>
            <w:vAlign w:val="center"/>
            <w:hideMark/>
          </w:tcPr>
          <w:p w14:paraId="4EE34D1E"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proofErr w:type="spellStart"/>
            <w:r w:rsidRPr="00BB27E9">
              <w:rPr>
                <w:rFonts w:ascii="Times New Roman" w:eastAsia="Times New Roman" w:hAnsi="Times New Roman" w:cs="Times New Roman"/>
                <w:color w:val="000000"/>
                <w:sz w:val="20"/>
                <w:szCs w:val="20"/>
              </w:rPr>
              <w:t>bn</w:t>
            </w:r>
            <w:proofErr w:type="spellEnd"/>
            <w:r w:rsidRPr="00BB27E9">
              <w:rPr>
                <w:rFonts w:ascii="Times New Roman" w:eastAsia="Times New Roman" w:hAnsi="Times New Roman" w:cs="Times New Roman"/>
                <w:color w:val="000000"/>
                <w:sz w:val="20"/>
                <w:szCs w:val="20"/>
              </w:rPr>
              <w:t xml:space="preserve"> NAC</w:t>
            </w:r>
          </w:p>
        </w:tc>
        <w:tc>
          <w:tcPr>
            <w:tcW w:w="666" w:type="dxa"/>
            <w:tcBorders>
              <w:top w:val="nil"/>
              <w:left w:val="nil"/>
              <w:bottom w:val="nil"/>
              <w:right w:val="nil"/>
            </w:tcBorders>
            <w:shd w:val="clear" w:color="000000" w:fill="9BC2E6"/>
            <w:noWrap/>
            <w:vAlign w:val="bottom"/>
            <w:hideMark/>
          </w:tcPr>
          <w:p w14:paraId="011264B3"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 </w:t>
            </w:r>
          </w:p>
        </w:tc>
        <w:tc>
          <w:tcPr>
            <w:tcW w:w="666" w:type="dxa"/>
            <w:tcBorders>
              <w:top w:val="nil"/>
              <w:left w:val="nil"/>
              <w:bottom w:val="nil"/>
              <w:right w:val="nil"/>
            </w:tcBorders>
            <w:shd w:val="clear" w:color="000000" w:fill="9BC2E6"/>
            <w:noWrap/>
            <w:vAlign w:val="bottom"/>
            <w:hideMark/>
          </w:tcPr>
          <w:p w14:paraId="39ADD09D" w14:textId="77777777" w:rsidR="00D02539" w:rsidRPr="00BB27E9" w:rsidRDefault="00D02539" w:rsidP="00837640">
            <w:pPr>
              <w:spacing w:after="0" w:line="240" w:lineRule="auto"/>
              <w:jc w:val="center"/>
              <w:rPr>
                <w:rFonts w:ascii="Times New Roman" w:eastAsia="Times New Roman" w:hAnsi="Times New Roman" w:cs="Times New Roman"/>
                <w:color w:val="A6A6A6"/>
                <w:sz w:val="20"/>
                <w:szCs w:val="20"/>
              </w:rPr>
            </w:pPr>
            <w:r w:rsidRPr="00BB27E9">
              <w:rPr>
                <w:rFonts w:ascii="Times New Roman" w:eastAsia="Times New Roman" w:hAnsi="Times New Roman" w:cs="Times New Roman"/>
                <w:color w:val="A6A6A6"/>
                <w:sz w:val="20"/>
                <w:szCs w:val="20"/>
              </w:rPr>
              <w:t>-2,7</w:t>
            </w:r>
          </w:p>
        </w:tc>
        <w:tc>
          <w:tcPr>
            <w:tcW w:w="666" w:type="dxa"/>
            <w:tcBorders>
              <w:top w:val="nil"/>
              <w:left w:val="nil"/>
              <w:bottom w:val="nil"/>
              <w:right w:val="nil"/>
            </w:tcBorders>
            <w:shd w:val="clear" w:color="000000" w:fill="9BC2E6"/>
            <w:noWrap/>
            <w:vAlign w:val="bottom"/>
            <w:hideMark/>
          </w:tcPr>
          <w:p w14:paraId="5C28E99B"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-0,8</w:t>
            </w:r>
          </w:p>
        </w:tc>
        <w:tc>
          <w:tcPr>
            <w:tcW w:w="716" w:type="dxa"/>
            <w:tcBorders>
              <w:top w:val="nil"/>
              <w:left w:val="nil"/>
              <w:bottom w:val="nil"/>
              <w:right w:val="nil"/>
            </w:tcBorders>
            <w:shd w:val="clear" w:color="auto" w:fill="95B3D7" w:themeFill="accent1" w:themeFillTint="99"/>
            <w:noWrap/>
            <w:vAlign w:val="bottom"/>
            <w:hideMark/>
          </w:tcPr>
          <w:p w14:paraId="2896CB0F"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4,0</w:t>
            </w:r>
          </w:p>
        </w:tc>
      </w:tr>
      <w:tr w:rsidR="00D02539" w:rsidRPr="00874F21" w14:paraId="3EFE11CD" w14:textId="77777777" w:rsidTr="00837640">
        <w:trPr>
          <w:trHeight w:val="300"/>
        </w:trPr>
        <w:tc>
          <w:tcPr>
            <w:tcW w:w="567" w:type="dxa"/>
            <w:tcBorders>
              <w:top w:val="nil"/>
              <w:left w:val="single" w:sz="4" w:space="0" w:color="auto"/>
              <w:bottom w:val="nil"/>
              <w:right w:val="nil"/>
            </w:tcBorders>
            <w:shd w:val="clear" w:color="000000" w:fill="9BC2E6"/>
            <w:noWrap/>
            <w:vAlign w:val="center"/>
            <w:hideMark/>
          </w:tcPr>
          <w:p w14:paraId="4FF3D594" w14:textId="77777777" w:rsidR="00D02539" w:rsidRPr="00BB27E9" w:rsidRDefault="00D02539" w:rsidP="00837640">
            <w:pPr>
              <w:spacing w:after="0" w:line="240" w:lineRule="auto"/>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14.</w:t>
            </w:r>
          </w:p>
        </w:tc>
        <w:tc>
          <w:tcPr>
            <w:tcW w:w="4678" w:type="dxa"/>
            <w:gridSpan w:val="4"/>
            <w:tcBorders>
              <w:top w:val="nil"/>
              <w:left w:val="nil"/>
              <w:bottom w:val="nil"/>
              <w:right w:val="nil"/>
            </w:tcBorders>
            <w:shd w:val="clear" w:color="000000" w:fill="9BC2E6"/>
            <w:noWrap/>
            <w:vAlign w:val="center"/>
            <w:hideMark/>
          </w:tcPr>
          <w:p w14:paraId="585569CD" w14:textId="77777777" w:rsidR="00D02539" w:rsidRPr="00BB27E9" w:rsidRDefault="00D02539" w:rsidP="00837640">
            <w:pPr>
              <w:spacing w:after="0" w:line="240" w:lineRule="auto"/>
              <w:rPr>
                <w:rFonts w:ascii="Times New Roman" w:eastAsia="Times New Roman" w:hAnsi="Times New Roman" w:cs="Times New Roman"/>
                <w:color w:val="000000"/>
                <w:sz w:val="20"/>
                <w:szCs w:val="20"/>
              </w:rPr>
            </w:pPr>
            <w:proofErr w:type="spellStart"/>
            <w:r w:rsidRPr="00BB27E9">
              <w:rPr>
                <w:rFonts w:ascii="Times New Roman" w:eastAsia="Times New Roman" w:hAnsi="Times New Roman" w:cs="Times New Roman"/>
                <w:color w:val="000000"/>
                <w:sz w:val="20"/>
                <w:szCs w:val="20"/>
              </w:rPr>
              <w:t>Cumulated</w:t>
            </w:r>
            <w:proofErr w:type="spellEnd"/>
            <w:r w:rsidRPr="00BB27E9">
              <w:rPr>
                <w:rFonts w:ascii="Times New Roman" w:eastAsia="Times New Roman" w:hAnsi="Times New Roman" w:cs="Times New Roman"/>
                <w:color w:val="000000"/>
                <w:sz w:val="20"/>
                <w:szCs w:val="20"/>
              </w:rPr>
              <w:t xml:space="preserve"> </w:t>
            </w:r>
            <w:proofErr w:type="spellStart"/>
            <w:r w:rsidRPr="00BB27E9">
              <w:rPr>
                <w:rFonts w:ascii="Times New Roman" w:eastAsia="Times New Roman" w:hAnsi="Times New Roman" w:cs="Times New Roman"/>
                <w:color w:val="000000"/>
                <w:sz w:val="20"/>
                <w:szCs w:val="20"/>
              </w:rPr>
              <w:t>deviation</w:t>
            </w:r>
            <w:proofErr w:type="spellEnd"/>
            <w:r w:rsidRPr="00BB27E9">
              <w:rPr>
                <w:rFonts w:ascii="Times New Roman" w:eastAsia="Times New Roman" w:hAnsi="Times New Roman" w:cs="Times New Roman"/>
                <w:color w:val="000000"/>
                <w:sz w:val="20"/>
                <w:szCs w:val="20"/>
              </w:rPr>
              <w:t xml:space="preserve"> (</w:t>
            </w:r>
            <w:proofErr w:type="spellStart"/>
            <w:r w:rsidRPr="00BB27E9">
              <w:rPr>
                <w:rFonts w:ascii="Times New Roman" w:eastAsia="Times New Roman" w:hAnsi="Times New Roman" w:cs="Times New Roman"/>
                <w:color w:val="000000"/>
                <w:sz w:val="20"/>
                <w:szCs w:val="20"/>
              </w:rPr>
              <w:t>cumulated</w:t>
            </w:r>
            <w:proofErr w:type="spellEnd"/>
            <w:r w:rsidRPr="00BB27E9">
              <w:rPr>
                <w:rFonts w:ascii="Times New Roman" w:eastAsia="Times New Roman" w:hAnsi="Times New Roman" w:cs="Times New Roman"/>
                <w:color w:val="000000"/>
                <w:sz w:val="20"/>
                <w:szCs w:val="20"/>
              </w:rPr>
              <w:t xml:space="preserve"> </w:t>
            </w:r>
            <w:proofErr w:type="spellStart"/>
            <w:r w:rsidRPr="00BB27E9">
              <w:rPr>
                <w:rFonts w:ascii="Times New Roman" w:eastAsia="Times New Roman" w:hAnsi="Times New Roman" w:cs="Times New Roman"/>
                <w:color w:val="000000"/>
                <w:sz w:val="20"/>
                <w:szCs w:val="20"/>
              </w:rPr>
              <w:t>from</w:t>
            </w:r>
            <w:proofErr w:type="spellEnd"/>
            <w:r w:rsidRPr="00BB27E9">
              <w:rPr>
                <w:rFonts w:ascii="Times New Roman" w:eastAsia="Times New Roman" w:hAnsi="Times New Roman" w:cs="Times New Roman"/>
                <w:color w:val="000000"/>
                <w:sz w:val="20"/>
                <w:szCs w:val="20"/>
              </w:rPr>
              <w:t xml:space="preserve"> 13)</w:t>
            </w:r>
          </w:p>
        </w:tc>
        <w:tc>
          <w:tcPr>
            <w:tcW w:w="1109" w:type="dxa"/>
            <w:tcBorders>
              <w:top w:val="nil"/>
              <w:left w:val="nil"/>
              <w:bottom w:val="nil"/>
              <w:right w:val="nil"/>
            </w:tcBorders>
            <w:shd w:val="clear" w:color="000000" w:fill="9BC2E6"/>
            <w:noWrap/>
            <w:vAlign w:val="center"/>
            <w:hideMark/>
          </w:tcPr>
          <w:p w14:paraId="5FC8D1E9"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proofErr w:type="spellStart"/>
            <w:r w:rsidRPr="00BB27E9">
              <w:rPr>
                <w:rFonts w:ascii="Times New Roman" w:eastAsia="Times New Roman" w:hAnsi="Times New Roman" w:cs="Times New Roman"/>
                <w:color w:val="000000"/>
                <w:sz w:val="20"/>
                <w:szCs w:val="20"/>
              </w:rPr>
              <w:t>bn</w:t>
            </w:r>
            <w:proofErr w:type="spellEnd"/>
            <w:r w:rsidRPr="00BB27E9">
              <w:rPr>
                <w:rFonts w:ascii="Times New Roman" w:eastAsia="Times New Roman" w:hAnsi="Times New Roman" w:cs="Times New Roman"/>
                <w:color w:val="000000"/>
                <w:sz w:val="20"/>
                <w:szCs w:val="20"/>
              </w:rPr>
              <w:t xml:space="preserve"> NAC</w:t>
            </w:r>
          </w:p>
        </w:tc>
        <w:tc>
          <w:tcPr>
            <w:tcW w:w="666" w:type="dxa"/>
            <w:tcBorders>
              <w:top w:val="nil"/>
              <w:left w:val="nil"/>
              <w:bottom w:val="nil"/>
              <w:right w:val="nil"/>
            </w:tcBorders>
            <w:shd w:val="clear" w:color="000000" w:fill="9BC2E6"/>
            <w:noWrap/>
            <w:vAlign w:val="bottom"/>
            <w:hideMark/>
          </w:tcPr>
          <w:p w14:paraId="3629BBD3"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 </w:t>
            </w:r>
          </w:p>
        </w:tc>
        <w:tc>
          <w:tcPr>
            <w:tcW w:w="666" w:type="dxa"/>
            <w:tcBorders>
              <w:top w:val="nil"/>
              <w:left w:val="nil"/>
              <w:bottom w:val="nil"/>
              <w:right w:val="nil"/>
            </w:tcBorders>
            <w:shd w:val="clear" w:color="000000" w:fill="9BC2E6"/>
            <w:noWrap/>
            <w:vAlign w:val="bottom"/>
            <w:hideMark/>
          </w:tcPr>
          <w:p w14:paraId="7A1761DE" w14:textId="77777777" w:rsidR="00D02539" w:rsidRPr="00BB27E9" w:rsidRDefault="00D02539" w:rsidP="00837640">
            <w:pPr>
              <w:spacing w:after="0" w:line="240" w:lineRule="auto"/>
              <w:jc w:val="center"/>
              <w:rPr>
                <w:rFonts w:ascii="Times New Roman" w:eastAsia="Times New Roman" w:hAnsi="Times New Roman" w:cs="Times New Roman"/>
                <w:color w:val="A6A6A6"/>
                <w:sz w:val="20"/>
                <w:szCs w:val="20"/>
              </w:rPr>
            </w:pPr>
            <w:r w:rsidRPr="00BB27E9">
              <w:rPr>
                <w:rFonts w:ascii="Times New Roman" w:eastAsia="Times New Roman" w:hAnsi="Times New Roman" w:cs="Times New Roman"/>
                <w:color w:val="A6A6A6"/>
                <w:sz w:val="20"/>
                <w:szCs w:val="20"/>
              </w:rPr>
              <w:t>-2,7</w:t>
            </w:r>
          </w:p>
        </w:tc>
        <w:tc>
          <w:tcPr>
            <w:tcW w:w="666" w:type="dxa"/>
            <w:tcBorders>
              <w:top w:val="nil"/>
              <w:left w:val="nil"/>
              <w:bottom w:val="nil"/>
              <w:right w:val="nil"/>
            </w:tcBorders>
            <w:shd w:val="clear" w:color="000000" w:fill="9BC2E6"/>
            <w:noWrap/>
            <w:vAlign w:val="bottom"/>
            <w:hideMark/>
          </w:tcPr>
          <w:p w14:paraId="6E128824"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-3,4</w:t>
            </w:r>
          </w:p>
        </w:tc>
        <w:tc>
          <w:tcPr>
            <w:tcW w:w="716" w:type="dxa"/>
            <w:tcBorders>
              <w:top w:val="nil"/>
              <w:left w:val="nil"/>
              <w:bottom w:val="nil"/>
              <w:right w:val="nil"/>
            </w:tcBorders>
            <w:shd w:val="clear" w:color="000000" w:fill="9BC2E6"/>
            <w:noWrap/>
            <w:vAlign w:val="bottom"/>
            <w:hideMark/>
          </w:tcPr>
          <w:p w14:paraId="57FDCF14"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0,6</w:t>
            </w:r>
          </w:p>
        </w:tc>
      </w:tr>
      <w:tr w:rsidR="00D02539" w:rsidRPr="00BB27E9" w14:paraId="1BFE620B" w14:textId="77777777" w:rsidTr="00837640">
        <w:trPr>
          <w:trHeight w:val="300"/>
        </w:trPr>
        <w:tc>
          <w:tcPr>
            <w:tcW w:w="567" w:type="dxa"/>
            <w:tcBorders>
              <w:top w:val="single" w:sz="4" w:space="0" w:color="auto"/>
              <w:left w:val="single" w:sz="4" w:space="0" w:color="auto"/>
              <w:bottom w:val="single" w:sz="4" w:space="0" w:color="auto"/>
              <w:right w:val="nil"/>
            </w:tcBorders>
            <w:shd w:val="clear" w:color="000000" w:fill="9BC2E6"/>
            <w:noWrap/>
            <w:vAlign w:val="center"/>
            <w:hideMark/>
          </w:tcPr>
          <w:p w14:paraId="33FDAFA7" w14:textId="77777777" w:rsidR="00D02539" w:rsidRPr="00BB27E9" w:rsidRDefault="00D02539" w:rsidP="00837640">
            <w:pPr>
              <w:spacing w:after="0" w:line="240" w:lineRule="auto"/>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15.</w:t>
            </w:r>
          </w:p>
        </w:tc>
        <w:tc>
          <w:tcPr>
            <w:tcW w:w="4678" w:type="dxa"/>
            <w:gridSpan w:val="4"/>
            <w:tcBorders>
              <w:top w:val="single" w:sz="4" w:space="0" w:color="auto"/>
              <w:left w:val="nil"/>
              <w:bottom w:val="single" w:sz="4" w:space="0" w:color="auto"/>
              <w:right w:val="nil"/>
            </w:tcBorders>
            <w:shd w:val="clear" w:color="000000" w:fill="9BC2E6"/>
            <w:noWrap/>
            <w:vAlign w:val="center"/>
            <w:hideMark/>
          </w:tcPr>
          <w:p w14:paraId="26486CC4" w14:textId="77777777" w:rsidR="00D02539" w:rsidRPr="00BB27E9" w:rsidRDefault="00D02539" w:rsidP="00837640">
            <w:pPr>
              <w:spacing w:after="0" w:line="240" w:lineRule="auto"/>
              <w:rPr>
                <w:rFonts w:ascii="Times New Roman" w:eastAsia="Times New Roman" w:hAnsi="Times New Roman" w:cs="Times New Roman"/>
                <w:color w:val="000000"/>
                <w:sz w:val="20"/>
                <w:szCs w:val="20"/>
              </w:rPr>
            </w:pPr>
            <w:proofErr w:type="spellStart"/>
            <w:r w:rsidRPr="00BB27E9">
              <w:rPr>
                <w:rFonts w:ascii="Times New Roman" w:eastAsia="Times New Roman" w:hAnsi="Times New Roman" w:cs="Times New Roman"/>
                <w:color w:val="000000"/>
                <w:sz w:val="20"/>
                <w:szCs w:val="20"/>
              </w:rPr>
              <w:t>Nominal</w:t>
            </w:r>
            <w:proofErr w:type="spellEnd"/>
            <w:r w:rsidRPr="00BB27E9">
              <w:rPr>
                <w:rFonts w:ascii="Times New Roman" w:eastAsia="Times New Roman" w:hAnsi="Times New Roman" w:cs="Times New Roman"/>
                <w:color w:val="000000"/>
                <w:sz w:val="20"/>
                <w:szCs w:val="20"/>
              </w:rPr>
              <w:t xml:space="preserve"> GDP</w:t>
            </w:r>
          </w:p>
        </w:tc>
        <w:tc>
          <w:tcPr>
            <w:tcW w:w="1109" w:type="dxa"/>
            <w:tcBorders>
              <w:top w:val="single" w:sz="4" w:space="0" w:color="auto"/>
              <w:left w:val="nil"/>
              <w:bottom w:val="single" w:sz="4" w:space="0" w:color="auto"/>
              <w:right w:val="nil"/>
            </w:tcBorders>
            <w:shd w:val="clear" w:color="000000" w:fill="9BC2E6"/>
            <w:noWrap/>
            <w:vAlign w:val="center"/>
            <w:hideMark/>
          </w:tcPr>
          <w:p w14:paraId="43815F8A"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proofErr w:type="spellStart"/>
            <w:r w:rsidRPr="00BB27E9">
              <w:rPr>
                <w:rFonts w:ascii="Times New Roman" w:eastAsia="Times New Roman" w:hAnsi="Times New Roman" w:cs="Times New Roman"/>
                <w:color w:val="000000"/>
                <w:sz w:val="20"/>
                <w:szCs w:val="20"/>
              </w:rPr>
              <w:t>bn</w:t>
            </w:r>
            <w:proofErr w:type="spellEnd"/>
            <w:r w:rsidRPr="00BB27E9">
              <w:rPr>
                <w:rFonts w:ascii="Times New Roman" w:eastAsia="Times New Roman" w:hAnsi="Times New Roman" w:cs="Times New Roman"/>
                <w:color w:val="000000"/>
                <w:sz w:val="20"/>
                <w:szCs w:val="20"/>
              </w:rPr>
              <w:t xml:space="preserve"> NAC</w:t>
            </w:r>
          </w:p>
        </w:tc>
        <w:tc>
          <w:tcPr>
            <w:tcW w:w="666" w:type="dxa"/>
            <w:tcBorders>
              <w:top w:val="single" w:sz="4" w:space="0" w:color="auto"/>
              <w:left w:val="nil"/>
              <w:bottom w:val="single" w:sz="4" w:space="0" w:color="auto"/>
              <w:right w:val="nil"/>
            </w:tcBorders>
            <w:shd w:val="clear" w:color="000000" w:fill="9BC2E6"/>
            <w:noWrap/>
            <w:vAlign w:val="bottom"/>
            <w:hideMark/>
          </w:tcPr>
          <w:p w14:paraId="553AFDC9"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224,7</w:t>
            </w:r>
          </w:p>
        </w:tc>
        <w:tc>
          <w:tcPr>
            <w:tcW w:w="666" w:type="dxa"/>
            <w:tcBorders>
              <w:top w:val="single" w:sz="4" w:space="0" w:color="auto"/>
              <w:left w:val="nil"/>
              <w:bottom w:val="single" w:sz="4" w:space="0" w:color="auto"/>
              <w:right w:val="nil"/>
            </w:tcBorders>
            <w:shd w:val="clear" w:color="000000" w:fill="9BC2E6"/>
            <w:noWrap/>
            <w:vAlign w:val="bottom"/>
            <w:hideMark/>
          </w:tcPr>
          <w:p w14:paraId="5326DAE4"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236,7</w:t>
            </w:r>
          </w:p>
        </w:tc>
        <w:tc>
          <w:tcPr>
            <w:tcW w:w="666" w:type="dxa"/>
            <w:tcBorders>
              <w:top w:val="single" w:sz="4" w:space="0" w:color="auto"/>
              <w:left w:val="nil"/>
              <w:bottom w:val="single" w:sz="4" w:space="0" w:color="auto"/>
              <w:right w:val="nil"/>
            </w:tcBorders>
            <w:shd w:val="clear" w:color="000000" w:fill="9BC2E6"/>
            <w:noWrap/>
            <w:vAlign w:val="bottom"/>
            <w:hideMark/>
          </w:tcPr>
          <w:p w14:paraId="14A832A0"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248,4</w:t>
            </w:r>
          </w:p>
        </w:tc>
        <w:tc>
          <w:tcPr>
            <w:tcW w:w="716" w:type="dxa"/>
            <w:tcBorders>
              <w:top w:val="single" w:sz="4" w:space="0" w:color="auto"/>
              <w:left w:val="nil"/>
              <w:bottom w:val="single" w:sz="4" w:space="0" w:color="auto"/>
              <w:right w:val="nil"/>
            </w:tcBorders>
            <w:shd w:val="clear" w:color="000000" w:fill="9BC2E6"/>
            <w:noWrap/>
            <w:vAlign w:val="bottom"/>
            <w:hideMark/>
          </w:tcPr>
          <w:p w14:paraId="13AAD6C8"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261,3</w:t>
            </w:r>
          </w:p>
        </w:tc>
      </w:tr>
      <w:tr w:rsidR="00D02539" w:rsidRPr="00BB27E9" w14:paraId="1121C69B" w14:textId="77777777" w:rsidTr="00837640">
        <w:trPr>
          <w:gridAfter w:val="6"/>
          <w:wAfter w:w="7020" w:type="dxa"/>
          <w:trHeight w:val="300"/>
        </w:trPr>
        <w:tc>
          <w:tcPr>
            <w:tcW w:w="666" w:type="dxa"/>
            <w:gridSpan w:val="2"/>
            <w:tcBorders>
              <w:top w:val="nil"/>
              <w:left w:val="nil"/>
              <w:bottom w:val="nil"/>
              <w:right w:val="nil"/>
            </w:tcBorders>
            <w:shd w:val="clear" w:color="auto" w:fill="auto"/>
            <w:noWrap/>
            <w:vAlign w:val="bottom"/>
            <w:hideMark/>
          </w:tcPr>
          <w:p w14:paraId="0903F9FF" w14:textId="77777777" w:rsidR="00D02539" w:rsidRPr="00BB27E9" w:rsidRDefault="00D02539" w:rsidP="00837640">
            <w:pPr>
              <w:spacing w:after="0" w:line="240" w:lineRule="auto"/>
              <w:rPr>
                <w:rFonts w:ascii="Times New Roman" w:eastAsia="Times New Roman" w:hAnsi="Times New Roman" w:cs="Times New Roman"/>
                <w:sz w:val="20"/>
                <w:szCs w:val="20"/>
              </w:rPr>
            </w:pPr>
          </w:p>
        </w:tc>
        <w:tc>
          <w:tcPr>
            <w:tcW w:w="666" w:type="dxa"/>
            <w:tcBorders>
              <w:top w:val="nil"/>
              <w:left w:val="nil"/>
              <w:bottom w:val="nil"/>
              <w:right w:val="nil"/>
            </w:tcBorders>
            <w:shd w:val="clear" w:color="auto" w:fill="auto"/>
            <w:noWrap/>
            <w:vAlign w:val="bottom"/>
            <w:hideMark/>
          </w:tcPr>
          <w:p w14:paraId="789A4F60" w14:textId="77777777" w:rsidR="00D02539" w:rsidRPr="00BB27E9" w:rsidRDefault="00D02539" w:rsidP="00837640">
            <w:pPr>
              <w:spacing w:after="0" w:line="240" w:lineRule="auto"/>
              <w:rPr>
                <w:rFonts w:ascii="Times New Roman" w:eastAsia="Times New Roman" w:hAnsi="Times New Roman" w:cs="Times New Roman"/>
                <w:sz w:val="20"/>
                <w:szCs w:val="20"/>
              </w:rPr>
            </w:pPr>
          </w:p>
        </w:tc>
        <w:tc>
          <w:tcPr>
            <w:tcW w:w="716" w:type="dxa"/>
            <w:tcBorders>
              <w:top w:val="nil"/>
              <w:left w:val="nil"/>
              <w:bottom w:val="nil"/>
              <w:right w:val="nil"/>
            </w:tcBorders>
            <w:shd w:val="clear" w:color="auto" w:fill="auto"/>
            <w:noWrap/>
            <w:vAlign w:val="bottom"/>
            <w:hideMark/>
          </w:tcPr>
          <w:p w14:paraId="52E4085D" w14:textId="77777777" w:rsidR="00D02539" w:rsidRPr="00BB27E9" w:rsidRDefault="00D02539" w:rsidP="00837640">
            <w:pPr>
              <w:spacing w:after="0" w:line="240" w:lineRule="auto"/>
              <w:rPr>
                <w:rFonts w:ascii="Times New Roman" w:eastAsia="Times New Roman" w:hAnsi="Times New Roman" w:cs="Times New Roman"/>
                <w:sz w:val="20"/>
                <w:szCs w:val="20"/>
              </w:rPr>
            </w:pPr>
          </w:p>
        </w:tc>
      </w:tr>
      <w:tr w:rsidR="00D02539" w:rsidRPr="00BB27E9" w14:paraId="3263EE16" w14:textId="77777777" w:rsidTr="00837640">
        <w:trPr>
          <w:trHeight w:val="300"/>
        </w:trPr>
        <w:tc>
          <w:tcPr>
            <w:tcW w:w="5245" w:type="dxa"/>
            <w:gridSpan w:val="5"/>
            <w:tcBorders>
              <w:top w:val="single" w:sz="4" w:space="0" w:color="auto"/>
              <w:left w:val="single" w:sz="4" w:space="0" w:color="auto"/>
              <w:bottom w:val="single" w:sz="4" w:space="0" w:color="auto"/>
              <w:right w:val="nil"/>
            </w:tcBorders>
            <w:shd w:val="clear" w:color="000000" w:fill="A9D08E"/>
            <w:noWrap/>
            <w:vAlign w:val="center"/>
            <w:hideMark/>
          </w:tcPr>
          <w:p w14:paraId="57CCF496" w14:textId="77777777" w:rsidR="00D02539" w:rsidRPr="00BB27E9" w:rsidRDefault="00D02539" w:rsidP="00837640">
            <w:pPr>
              <w:spacing w:after="0" w:line="240" w:lineRule="auto"/>
              <w:rPr>
                <w:rFonts w:ascii="Times New Roman" w:eastAsia="Times New Roman" w:hAnsi="Times New Roman" w:cs="Times New Roman"/>
                <w:b/>
                <w:bCs/>
                <w:color w:val="000000"/>
                <w:sz w:val="20"/>
                <w:szCs w:val="20"/>
              </w:rPr>
            </w:pPr>
            <w:proofErr w:type="spellStart"/>
            <w:r w:rsidRPr="00BB27E9">
              <w:rPr>
                <w:rFonts w:ascii="Times New Roman" w:eastAsia="Times New Roman" w:hAnsi="Times New Roman" w:cs="Times New Roman"/>
                <w:b/>
                <w:bCs/>
                <w:color w:val="000000"/>
                <w:sz w:val="20"/>
                <w:szCs w:val="20"/>
              </w:rPr>
              <w:t>Control</w:t>
            </w:r>
            <w:proofErr w:type="spellEnd"/>
            <w:r w:rsidRPr="00BB27E9">
              <w:rPr>
                <w:rFonts w:ascii="Times New Roman" w:eastAsia="Times New Roman" w:hAnsi="Times New Roman" w:cs="Times New Roman"/>
                <w:b/>
                <w:bCs/>
                <w:color w:val="000000"/>
                <w:sz w:val="20"/>
                <w:szCs w:val="20"/>
              </w:rPr>
              <w:t xml:space="preserve"> </w:t>
            </w:r>
            <w:proofErr w:type="spellStart"/>
            <w:r w:rsidRPr="00BB27E9">
              <w:rPr>
                <w:rFonts w:ascii="Times New Roman" w:eastAsia="Times New Roman" w:hAnsi="Times New Roman" w:cs="Times New Roman"/>
                <w:b/>
                <w:bCs/>
                <w:color w:val="000000"/>
                <w:sz w:val="20"/>
                <w:szCs w:val="20"/>
              </w:rPr>
              <w:t>account</w:t>
            </w:r>
            <w:proofErr w:type="spellEnd"/>
          </w:p>
        </w:tc>
        <w:tc>
          <w:tcPr>
            <w:tcW w:w="1109" w:type="dxa"/>
            <w:tcBorders>
              <w:top w:val="single" w:sz="4" w:space="0" w:color="auto"/>
              <w:left w:val="nil"/>
              <w:bottom w:val="single" w:sz="4" w:space="0" w:color="auto"/>
              <w:right w:val="nil"/>
            </w:tcBorders>
            <w:shd w:val="clear" w:color="000000" w:fill="A9D08E"/>
            <w:noWrap/>
            <w:vAlign w:val="center"/>
            <w:hideMark/>
          </w:tcPr>
          <w:p w14:paraId="6CCFF4E2" w14:textId="77777777" w:rsidR="00D02539" w:rsidRPr="00BB27E9" w:rsidRDefault="00D02539" w:rsidP="00837640">
            <w:pPr>
              <w:spacing w:after="0" w:line="240" w:lineRule="auto"/>
              <w:jc w:val="center"/>
              <w:rPr>
                <w:rFonts w:ascii="Times New Roman" w:eastAsia="Times New Roman" w:hAnsi="Times New Roman" w:cs="Times New Roman"/>
                <w:b/>
                <w:bCs/>
                <w:i/>
                <w:iCs/>
                <w:color w:val="000000"/>
                <w:sz w:val="20"/>
                <w:szCs w:val="20"/>
              </w:rPr>
            </w:pPr>
            <w:r w:rsidRPr="00BB27E9">
              <w:rPr>
                <w:rFonts w:ascii="Times New Roman" w:eastAsia="Times New Roman" w:hAnsi="Times New Roman" w:cs="Times New Roman"/>
                <w:b/>
                <w:bCs/>
                <w:i/>
                <w:iCs/>
                <w:color w:val="000000"/>
                <w:sz w:val="20"/>
                <w:szCs w:val="20"/>
              </w:rPr>
              <w:t> </w:t>
            </w:r>
          </w:p>
        </w:tc>
        <w:tc>
          <w:tcPr>
            <w:tcW w:w="666" w:type="dxa"/>
            <w:tcBorders>
              <w:top w:val="single" w:sz="4" w:space="0" w:color="auto"/>
              <w:left w:val="nil"/>
              <w:bottom w:val="single" w:sz="4" w:space="0" w:color="auto"/>
              <w:right w:val="nil"/>
            </w:tcBorders>
            <w:shd w:val="clear" w:color="000000" w:fill="A9D08E"/>
            <w:noWrap/>
            <w:vAlign w:val="center"/>
            <w:hideMark/>
          </w:tcPr>
          <w:p w14:paraId="00F26C81" w14:textId="77777777" w:rsidR="00D02539" w:rsidRPr="00BB27E9" w:rsidRDefault="00D02539" w:rsidP="00837640">
            <w:pPr>
              <w:spacing w:after="0" w:line="240" w:lineRule="auto"/>
              <w:jc w:val="center"/>
              <w:rPr>
                <w:rFonts w:ascii="Times New Roman" w:eastAsia="Times New Roman" w:hAnsi="Times New Roman" w:cs="Times New Roman"/>
                <w:b/>
                <w:bCs/>
                <w:color w:val="000000"/>
                <w:sz w:val="20"/>
                <w:szCs w:val="20"/>
              </w:rPr>
            </w:pPr>
            <w:r w:rsidRPr="00BB27E9">
              <w:rPr>
                <w:rFonts w:ascii="Times New Roman" w:eastAsia="Times New Roman" w:hAnsi="Times New Roman" w:cs="Times New Roman"/>
                <w:b/>
                <w:bCs/>
                <w:color w:val="000000"/>
                <w:sz w:val="20"/>
                <w:szCs w:val="20"/>
              </w:rPr>
              <w:t>2023</w:t>
            </w:r>
          </w:p>
        </w:tc>
        <w:tc>
          <w:tcPr>
            <w:tcW w:w="666" w:type="dxa"/>
            <w:tcBorders>
              <w:top w:val="single" w:sz="4" w:space="0" w:color="auto"/>
              <w:left w:val="nil"/>
              <w:bottom w:val="single" w:sz="4" w:space="0" w:color="auto"/>
              <w:right w:val="nil"/>
            </w:tcBorders>
            <w:shd w:val="clear" w:color="000000" w:fill="A9D08E"/>
            <w:noWrap/>
            <w:vAlign w:val="center"/>
            <w:hideMark/>
          </w:tcPr>
          <w:p w14:paraId="6F3941A4" w14:textId="77777777" w:rsidR="00D02539" w:rsidRPr="00BB27E9" w:rsidRDefault="00D02539" w:rsidP="00837640">
            <w:pPr>
              <w:spacing w:after="0" w:line="240" w:lineRule="auto"/>
              <w:jc w:val="center"/>
              <w:rPr>
                <w:rFonts w:ascii="Times New Roman" w:eastAsia="Times New Roman" w:hAnsi="Times New Roman" w:cs="Times New Roman"/>
                <w:b/>
                <w:bCs/>
                <w:color w:val="000000"/>
                <w:sz w:val="20"/>
                <w:szCs w:val="20"/>
              </w:rPr>
            </w:pPr>
            <w:r w:rsidRPr="00BB27E9">
              <w:rPr>
                <w:rFonts w:ascii="Times New Roman" w:eastAsia="Times New Roman" w:hAnsi="Times New Roman" w:cs="Times New Roman"/>
                <w:b/>
                <w:bCs/>
                <w:color w:val="000000"/>
                <w:sz w:val="20"/>
                <w:szCs w:val="20"/>
              </w:rPr>
              <w:t>2024</w:t>
            </w:r>
          </w:p>
        </w:tc>
        <w:tc>
          <w:tcPr>
            <w:tcW w:w="666" w:type="dxa"/>
            <w:tcBorders>
              <w:top w:val="single" w:sz="4" w:space="0" w:color="auto"/>
              <w:left w:val="nil"/>
              <w:bottom w:val="single" w:sz="4" w:space="0" w:color="auto"/>
              <w:right w:val="nil"/>
            </w:tcBorders>
            <w:shd w:val="clear" w:color="000000" w:fill="A9D08E"/>
            <w:noWrap/>
            <w:vAlign w:val="center"/>
            <w:hideMark/>
          </w:tcPr>
          <w:p w14:paraId="029813F0" w14:textId="77777777" w:rsidR="00D02539" w:rsidRPr="00BB27E9" w:rsidRDefault="00D02539" w:rsidP="00837640">
            <w:pPr>
              <w:spacing w:after="0" w:line="240" w:lineRule="auto"/>
              <w:jc w:val="center"/>
              <w:rPr>
                <w:rFonts w:ascii="Times New Roman" w:eastAsia="Times New Roman" w:hAnsi="Times New Roman" w:cs="Times New Roman"/>
                <w:b/>
                <w:bCs/>
                <w:color w:val="000000"/>
                <w:sz w:val="20"/>
                <w:szCs w:val="20"/>
              </w:rPr>
            </w:pPr>
            <w:r w:rsidRPr="00BB27E9">
              <w:rPr>
                <w:rFonts w:ascii="Times New Roman" w:eastAsia="Times New Roman" w:hAnsi="Times New Roman" w:cs="Times New Roman"/>
                <w:b/>
                <w:bCs/>
                <w:color w:val="000000"/>
                <w:sz w:val="20"/>
                <w:szCs w:val="20"/>
              </w:rPr>
              <w:t>2025</w:t>
            </w:r>
          </w:p>
        </w:tc>
        <w:tc>
          <w:tcPr>
            <w:tcW w:w="716" w:type="dxa"/>
            <w:tcBorders>
              <w:top w:val="single" w:sz="4" w:space="0" w:color="auto"/>
              <w:left w:val="nil"/>
              <w:bottom w:val="single" w:sz="4" w:space="0" w:color="auto"/>
              <w:right w:val="nil"/>
            </w:tcBorders>
            <w:shd w:val="clear" w:color="000000" w:fill="A9D08E"/>
            <w:noWrap/>
            <w:vAlign w:val="center"/>
            <w:hideMark/>
          </w:tcPr>
          <w:p w14:paraId="1F4197A9" w14:textId="77777777" w:rsidR="00D02539" w:rsidRPr="00BB27E9" w:rsidRDefault="00D02539" w:rsidP="00837640">
            <w:pPr>
              <w:spacing w:after="0" w:line="240" w:lineRule="auto"/>
              <w:jc w:val="center"/>
              <w:rPr>
                <w:rFonts w:ascii="Times New Roman" w:eastAsia="Times New Roman" w:hAnsi="Times New Roman" w:cs="Times New Roman"/>
                <w:b/>
                <w:bCs/>
                <w:color w:val="000000"/>
                <w:sz w:val="20"/>
                <w:szCs w:val="20"/>
              </w:rPr>
            </w:pPr>
            <w:r w:rsidRPr="00BB27E9">
              <w:rPr>
                <w:rFonts w:ascii="Times New Roman" w:eastAsia="Times New Roman" w:hAnsi="Times New Roman" w:cs="Times New Roman"/>
                <w:b/>
                <w:bCs/>
                <w:color w:val="000000"/>
                <w:sz w:val="20"/>
                <w:szCs w:val="20"/>
              </w:rPr>
              <w:t>2026</w:t>
            </w:r>
            <w:r>
              <w:rPr>
                <w:rFonts w:ascii="Times New Roman" w:eastAsia="Times New Roman" w:hAnsi="Times New Roman" w:cs="Times New Roman"/>
                <w:b/>
                <w:bCs/>
                <w:color w:val="000000"/>
                <w:sz w:val="20"/>
                <w:szCs w:val="20"/>
              </w:rPr>
              <w:t>*</w:t>
            </w:r>
          </w:p>
        </w:tc>
      </w:tr>
      <w:tr w:rsidR="00D02539" w:rsidRPr="00BB27E9" w14:paraId="73E9AA42" w14:textId="77777777" w:rsidTr="00837640">
        <w:trPr>
          <w:trHeight w:val="300"/>
        </w:trPr>
        <w:tc>
          <w:tcPr>
            <w:tcW w:w="567" w:type="dxa"/>
            <w:tcBorders>
              <w:top w:val="nil"/>
              <w:left w:val="single" w:sz="4" w:space="0" w:color="auto"/>
              <w:bottom w:val="nil"/>
              <w:right w:val="nil"/>
            </w:tcBorders>
            <w:shd w:val="clear" w:color="000000" w:fill="A9D08E"/>
            <w:noWrap/>
            <w:vAlign w:val="bottom"/>
            <w:hideMark/>
          </w:tcPr>
          <w:p w14:paraId="3EB19B9B" w14:textId="77777777" w:rsidR="00D02539" w:rsidRPr="00BB27E9" w:rsidRDefault="00D02539" w:rsidP="00837640">
            <w:pPr>
              <w:spacing w:after="0" w:line="240" w:lineRule="auto"/>
              <w:rPr>
                <w:rFonts w:ascii="Times New Roman" w:eastAsia="Times New Roman" w:hAnsi="Times New Roman" w:cs="Times New Roman"/>
                <w:sz w:val="20"/>
                <w:szCs w:val="20"/>
              </w:rPr>
            </w:pPr>
            <w:r w:rsidRPr="00BB27E9">
              <w:rPr>
                <w:rFonts w:ascii="Times New Roman" w:eastAsia="Times New Roman" w:hAnsi="Times New Roman" w:cs="Times New Roman"/>
                <w:sz w:val="20"/>
                <w:szCs w:val="20"/>
              </w:rPr>
              <w:t>16.</w:t>
            </w:r>
          </w:p>
        </w:tc>
        <w:tc>
          <w:tcPr>
            <w:tcW w:w="4678" w:type="dxa"/>
            <w:gridSpan w:val="4"/>
            <w:tcBorders>
              <w:top w:val="nil"/>
              <w:left w:val="nil"/>
              <w:bottom w:val="nil"/>
              <w:right w:val="nil"/>
            </w:tcBorders>
            <w:shd w:val="clear" w:color="000000" w:fill="A9D08E"/>
            <w:noWrap/>
            <w:vAlign w:val="bottom"/>
            <w:hideMark/>
          </w:tcPr>
          <w:p w14:paraId="3EAB6C70" w14:textId="77777777" w:rsidR="00D02539" w:rsidRPr="00BB27E9" w:rsidRDefault="00D02539" w:rsidP="00837640">
            <w:pPr>
              <w:spacing w:after="0" w:line="240" w:lineRule="auto"/>
              <w:rPr>
                <w:rFonts w:ascii="Times New Roman" w:eastAsia="Times New Roman" w:hAnsi="Times New Roman" w:cs="Times New Roman"/>
                <w:sz w:val="20"/>
                <w:szCs w:val="20"/>
              </w:rPr>
            </w:pPr>
            <w:r w:rsidRPr="00BB27E9">
              <w:rPr>
                <w:rFonts w:ascii="Times New Roman" w:eastAsia="Times New Roman" w:hAnsi="Times New Roman" w:cs="Times New Roman"/>
                <w:sz w:val="20"/>
                <w:szCs w:val="20"/>
              </w:rPr>
              <w:t xml:space="preserve">Annual </w:t>
            </w:r>
            <w:proofErr w:type="spellStart"/>
            <w:r w:rsidRPr="00BB27E9">
              <w:rPr>
                <w:rFonts w:ascii="Times New Roman" w:eastAsia="Times New Roman" w:hAnsi="Times New Roman" w:cs="Times New Roman"/>
                <w:sz w:val="20"/>
                <w:szCs w:val="20"/>
              </w:rPr>
              <w:t>balance</w:t>
            </w:r>
            <w:proofErr w:type="spellEnd"/>
            <w:r w:rsidRPr="00BB27E9">
              <w:rPr>
                <w:rFonts w:ascii="Times New Roman" w:eastAsia="Times New Roman" w:hAnsi="Times New Roman" w:cs="Times New Roman"/>
                <w:sz w:val="20"/>
                <w:szCs w:val="20"/>
              </w:rPr>
              <w:t xml:space="preserve"> (13/15)</w:t>
            </w:r>
          </w:p>
        </w:tc>
        <w:tc>
          <w:tcPr>
            <w:tcW w:w="1109" w:type="dxa"/>
            <w:tcBorders>
              <w:top w:val="nil"/>
              <w:left w:val="nil"/>
              <w:bottom w:val="nil"/>
              <w:right w:val="nil"/>
            </w:tcBorders>
            <w:shd w:val="clear" w:color="000000" w:fill="A9D08E"/>
            <w:noWrap/>
            <w:vAlign w:val="bottom"/>
            <w:hideMark/>
          </w:tcPr>
          <w:p w14:paraId="516BEA70" w14:textId="77777777" w:rsidR="00D02539" w:rsidRPr="00BB27E9" w:rsidRDefault="00D02539" w:rsidP="00837640">
            <w:pPr>
              <w:spacing w:after="0" w:line="240" w:lineRule="auto"/>
              <w:jc w:val="center"/>
              <w:rPr>
                <w:rFonts w:ascii="Times New Roman" w:eastAsia="Times New Roman" w:hAnsi="Times New Roman" w:cs="Times New Roman"/>
                <w:i/>
                <w:iCs/>
                <w:sz w:val="20"/>
                <w:szCs w:val="20"/>
              </w:rPr>
            </w:pPr>
            <w:r w:rsidRPr="00BB27E9">
              <w:rPr>
                <w:rFonts w:ascii="Times New Roman" w:eastAsia="Times New Roman" w:hAnsi="Times New Roman" w:cs="Times New Roman"/>
                <w:i/>
                <w:iCs/>
                <w:sz w:val="20"/>
                <w:szCs w:val="20"/>
              </w:rPr>
              <w:t>% GDP</w:t>
            </w:r>
          </w:p>
        </w:tc>
        <w:tc>
          <w:tcPr>
            <w:tcW w:w="666" w:type="dxa"/>
            <w:tcBorders>
              <w:top w:val="nil"/>
              <w:left w:val="nil"/>
              <w:bottom w:val="nil"/>
              <w:right w:val="nil"/>
            </w:tcBorders>
            <w:shd w:val="clear" w:color="000000" w:fill="A9D08E"/>
            <w:noWrap/>
            <w:vAlign w:val="bottom"/>
            <w:hideMark/>
          </w:tcPr>
          <w:p w14:paraId="340DBE27" w14:textId="77777777" w:rsidR="00D02539" w:rsidRPr="00BB27E9" w:rsidRDefault="00D02539" w:rsidP="00837640">
            <w:pPr>
              <w:spacing w:after="0" w:line="240" w:lineRule="auto"/>
              <w:jc w:val="center"/>
              <w:rPr>
                <w:rFonts w:ascii="Times New Roman" w:eastAsia="Times New Roman" w:hAnsi="Times New Roman" w:cs="Times New Roman"/>
                <w:i/>
                <w:iCs/>
                <w:color w:val="000000"/>
                <w:sz w:val="20"/>
                <w:szCs w:val="20"/>
              </w:rPr>
            </w:pPr>
            <w:r w:rsidRPr="00BB27E9">
              <w:rPr>
                <w:rFonts w:ascii="Times New Roman" w:eastAsia="Times New Roman" w:hAnsi="Times New Roman" w:cs="Times New Roman"/>
                <w:i/>
                <w:iCs/>
                <w:color w:val="000000"/>
                <w:sz w:val="20"/>
                <w:szCs w:val="20"/>
              </w:rPr>
              <w:t> </w:t>
            </w:r>
          </w:p>
        </w:tc>
        <w:tc>
          <w:tcPr>
            <w:tcW w:w="666" w:type="dxa"/>
            <w:tcBorders>
              <w:top w:val="nil"/>
              <w:left w:val="nil"/>
              <w:bottom w:val="nil"/>
              <w:right w:val="nil"/>
            </w:tcBorders>
            <w:shd w:val="clear" w:color="000000" w:fill="A9D08E"/>
            <w:noWrap/>
            <w:vAlign w:val="bottom"/>
            <w:hideMark/>
          </w:tcPr>
          <w:p w14:paraId="0E44B47D" w14:textId="77777777" w:rsidR="00D02539" w:rsidRPr="00BB27E9" w:rsidRDefault="00D02539" w:rsidP="00837640">
            <w:pPr>
              <w:spacing w:after="0" w:line="240" w:lineRule="auto"/>
              <w:jc w:val="center"/>
              <w:rPr>
                <w:rFonts w:ascii="Times New Roman" w:eastAsia="Times New Roman" w:hAnsi="Times New Roman" w:cs="Times New Roman"/>
                <w:color w:val="A6A6A6"/>
                <w:sz w:val="20"/>
                <w:szCs w:val="20"/>
              </w:rPr>
            </w:pPr>
            <w:r w:rsidRPr="00BB27E9">
              <w:rPr>
                <w:rFonts w:ascii="Times New Roman" w:eastAsia="Times New Roman" w:hAnsi="Times New Roman" w:cs="Times New Roman"/>
                <w:color w:val="A6A6A6"/>
                <w:sz w:val="20"/>
                <w:szCs w:val="20"/>
              </w:rPr>
              <w:t>-1,1</w:t>
            </w:r>
          </w:p>
        </w:tc>
        <w:tc>
          <w:tcPr>
            <w:tcW w:w="666" w:type="dxa"/>
            <w:tcBorders>
              <w:top w:val="nil"/>
              <w:left w:val="nil"/>
              <w:bottom w:val="nil"/>
              <w:right w:val="nil"/>
            </w:tcBorders>
            <w:shd w:val="clear" w:color="000000" w:fill="A9D08E"/>
            <w:noWrap/>
            <w:vAlign w:val="bottom"/>
            <w:hideMark/>
          </w:tcPr>
          <w:p w14:paraId="7CCCDC79"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-0,3</w:t>
            </w:r>
          </w:p>
        </w:tc>
        <w:tc>
          <w:tcPr>
            <w:tcW w:w="716" w:type="dxa"/>
            <w:tcBorders>
              <w:top w:val="nil"/>
              <w:left w:val="nil"/>
              <w:bottom w:val="nil"/>
              <w:right w:val="nil"/>
            </w:tcBorders>
            <w:shd w:val="clear" w:color="auto" w:fill="FABF8F" w:themeFill="accent6" w:themeFillTint="99"/>
            <w:noWrap/>
            <w:vAlign w:val="bottom"/>
            <w:hideMark/>
          </w:tcPr>
          <w:p w14:paraId="5A330F95"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1,5</w:t>
            </w:r>
          </w:p>
        </w:tc>
      </w:tr>
      <w:tr w:rsidR="00D02539" w:rsidRPr="00BB27E9" w14:paraId="352B0FA2" w14:textId="77777777" w:rsidTr="00837640">
        <w:trPr>
          <w:trHeight w:val="300"/>
        </w:trPr>
        <w:tc>
          <w:tcPr>
            <w:tcW w:w="567" w:type="dxa"/>
            <w:tcBorders>
              <w:top w:val="nil"/>
              <w:left w:val="single" w:sz="4" w:space="0" w:color="auto"/>
              <w:bottom w:val="single" w:sz="4" w:space="0" w:color="auto"/>
              <w:right w:val="nil"/>
            </w:tcBorders>
            <w:shd w:val="clear" w:color="000000" w:fill="A9D08E"/>
            <w:noWrap/>
            <w:vAlign w:val="bottom"/>
            <w:hideMark/>
          </w:tcPr>
          <w:p w14:paraId="66358BBA" w14:textId="77777777" w:rsidR="00D02539" w:rsidRPr="00BB27E9" w:rsidRDefault="00D02539" w:rsidP="00837640">
            <w:pPr>
              <w:spacing w:after="0" w:line="240" w:lineRule="auto"/>
              <w:rPr>
                <w:rFonts w:ascii="Times New Roman" w:eastAsia="Times New Roman" w:hAnsi="Times New Roman" w:cs="Times New Roman"/>
                <w:sz w:val="20"/>
                <w:szCs w:val="20"/>
              </w:rPr>
            </w:pPr>
            <w:r w:rsidRPr="00BB27E9">
              <w:rPr>
                <w:rFonts w:ascii="Times New Roman" w:eastAsia="Times New Roman" w:hAnsi="Times New Roman" w:cs="Times New Roman"/>
                <w:sz w:val="20"/>
                <w:szCs w:val="20"/>
              </w:rPr>
              <w:t>17.</w:t>
            </w:r>
          </w:p>
        </w:tc>
        <w:tc>
          <w:tcPr>
            <w:tcW w:w="4678" w:type="dxa"/>
            <w:gridSpan w:val="4"/>
            <w:tcBorders>
              <w:top w:val="nil"/>
              <w:left w:val="nil"/>
              <w:bottom w:val="single" w:sz="4" w:space="0" w:color="auto"/>
              <w:right w:val="nil"/>
            </w:tcBorders>
            <w:shd w:val="clear" w:color="000000" w:fill="A9D08E"/>
            <w:noWrap/>
            <w:vAlign w:val="bottom"/>
            <w:hideMark/>
          </w:tcPr>
          <w:p w14:paraId="2F3E5230" w14:textId="77777777" w:rsidR="00D02539" w:rsidRPr="00BB27E9" w:rsidRDefault="00D02539" w:rsidP="00837640">
            <w:pPr>
              <w:spacing w:after="0" w:line="240" w:lineRule="auto"/>
              <w:rPr>
                <w:rFonts w:ascii="Times New Roman" w:eastAsia="Times New Roman" w:hAnsi="Times New Roman" w:cs="Times New Roman"/>
                <w:sz w:val="20"/>
                <w:szCs w:val="20"/>
              </w:rPr>
            </w:pPr>
            <w:proofErr w:type="spellStart"/>
            <w:r w:rsidRPr="00BB27E9">
              <w:rPr>
                <w:rFonts w:ascii="Times New Roman" w:eastAsia="Times New Roman" w:hAnsi="Times New Roman" w:cs="Times New Roman"/>
                <w:sz w:val="20"/>
                <w:szCs w:val="20"/>
              </w:rPr>
              <w:t>Cumulated</w:t>
            </w:r>
            <w:proofErr w:type="spellEnd"/>
            <w:r w:rsidRPr="00BB27E9">
              <w:rPr>
                <w:rFonts w:ascii="Times New Roman" w:eastAsia="Times New Roman" w:hAnsi="Times New Roman" w:cs="Times New Roman"/>
                <w:sz w:val="20"/>
                <w:szCs w:val="20"/>
              </w:rPr>
              <w:t xml:space="preserve"> </w:t>
            </w:r>
            <w:proofErr w:type="spellStart"/>
            <w:r w:rsidRPr="00BB27E9">
              <w:rPr>
                <w:rFonts w:ascii="Times New Roman" w:eastAsia="Times New Roman" w:hAnsi="Times New Roman" w:cs="Times New Roman"/>
                <w:sz w:val="20"/>
                <w:szCs w:val="20"/>
              </w:rPr>
              <w:t>balance</w:t>
            </w:r>
            <w:proofErr w:type="spellEnd"/>
            <w:r w:rsidRPr="00BB27E9">
              <w:rPr>
                <w:rFonts w:ascii="Times New Roman" w:eastAsia="Times New Roman" w:hAnsi="Times New Roman" w:cs="Times New Roman"/>
                <w:sz w:val="20"/>
                <w:szCs w:val="20"/>
              </w:rPr>
              <w:t xml:space="preserve"> (14/15)</w:t>
            </w:r>
          </w:p>
        </w:tc>
        <w:tc>
          <w:tcPr>
            <w:tcW w:w="1109" w:type="dxa"/>
            <w:tcBorders>
              <w:top w:val="nil"/>
              <w:left w:val="nil"/>
              <w:bottom w:val="single" w:sz="4" w:space="0" w:color="auto"/>
              <w:right w:val="nil"/>
            </w:tcBorders>
            <w:shd w:val="clear" w:color="000000" w:fill="A9D08E"/>
            <w:noWrap/>
            <w:vAlign w:val="bottom"/>
            <w:hideMark/>
          </w:tcPr>
          <w:p w14:paraId="04E3B955" w14:textId="77777777" w:rsidR="00D02539" w:rsidRPr="00BB27E9" w:rsidRDefault="00D02539" w:rsidP="00837640">
            <w:pPr>
              <w:spacing w:after="0" w:line="240" w:lineRule="auto"/>
              <w:jc w:val="center"/>
              <w:rPr>
                <w:rFonts w:ascii="Times New Roman" w:eastAsia="Times New Roman" w:hAnsi="Times New Roman" w:cs="Times New Roman"/>
                <w:i/>
                <w:iCs/>
                <w:sz w:val="20"/>
                <w:szCs w:val="20"/>
              </w:rPr>
            </w:pPr>
            <w:r w:rsidRPr="00BB27E9">
              <w:rPr>
                <w:rFonts w:ascii="Times New Roman" w:eastAsia="Times New Roman" w:hAnsi="Times New Roman" w:cs="Times New Roman"/>
                <w:i/>
                <w:iCs/>
                <w:sz w:val="20"/>
                <w:szCs w:val="20"/>
              </w:rPr>
              <w:t>% GDP</w:t>
            </w:r>
          </w:p>
        </w:tc>
        <w:tc>
          <w:tcPr>
            <w:tcW w:w="666" w:type="dxa"/>
            <w:tcBorders>
              <w:top w:val="nil"/>
              <w:left w:val="nil"/>
              <w:bottom w:val="single" w:sz="4" w:space="0" w:color="auto"/>
              <w:right w:val="nil"/>
            </w:tcBorders>
            <w:shd w:val="clear" w:color="000000" w:fill="A9D08E"/>
            <w:noWrap/>
            <w:vAlign w:val="bottom"/>
            <w:hideMark/>
          </w:tcPr>
          <w:p w14:paraId="2F49A6B4"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 </w:t>
            </w:r>
          </w:p>
        </w:tc>
        <w:tc>
          <w:tcPr>
            <w:tcW w:w="666" w:type="dxa"/>
            <w:tcBorders>
              <w:top w:val="nil"/>
              <w:left w:val="nil"/>
              <w:bottom w:val="single" w:sz="4" w:space="0" w:color="auto"/>
              <w:right w:val="nil"/>
            </w:tcBorders>
            <w:shd w:val="clear" w:color="000000" w:fill="A9D08E"/>
            <w:noWrap/>
            <w:vAlign w:val="bottom"/>
            <w:hideMark/>
          </w:tcPr>
          <w:p w14:paraId="378D2367" w14:textId="77777777" w:rsidR="00D02539" w:rsidRPr="00BB27E9" w:rsidRDefault="00D02539" w:rsidP="00837640">
            <w:pPr>
              <w:spacing w:after="0" w:line="240" w:lineRule="auto"/>
              <w:jc w:val="center"/>
              <w:rPr>
                <w:rFonts w:ascii="Times New Roman" w:eastAsia="Times New Roman" w:hAnsi="Times New Roman" w:cs="Times New Roman"/>
                <w:color w:val="A6A6A6"/>
                <w:sz w:val="20"/>
                <w:szCs w:val="20"/>
              </w:rPr>
            </w:pPr>
            <w:r w:rsidRPr="00BB27E9">
              <w:rPr>
                <w:rFonts w:ascii="Times New Roman" w:eastAsia="Times New Roman" w:hAnsi="Times New Roman" w:cs="Times New Roman"/>
                <w:color w:val="A6A6A6"/>
                <w:sz w:val="20"/>
                <w:szCs w:val="20"/>
              </w:rPr>
              <w:t>-1,1</w:t>
            </w:r>
          </w:p>
        </w:tc>
        <w:tc>
          <w:tcPr>
            <w:tcW w:w="666" w:type="dxa"/>
            <w:tcBorders>
              <w:top w:val="nil"/>
              <w:left w:val="nil"/>
              <w:bottom w:val="single" w:sz="4" w:space="0" w:color="auto"/>
              <w:right w:val="nil"/>
            </w:tcBorders>
            <w:shd w:val="clear" w:color="000000" w:fill="A9D08E"/>
            <w:noWrap/>
            <w:vAlign w:val="bottom"/>
            <w:hideMark/>
          </w:tcPr>
          <w:p w14:paraId="3C94025B"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-1,4</w:t>
            </w:r>
          </w:p>
        </w:tc>
        <w:tc>
          <w:tcPr>
            <w:tcW w:w="716" w:type="dxa"/>
            <w:tcBorders>
              <w:top w:val="nil"/>
              <w:left w:val="nil"/>
              <w:bottom w:val="single" w:sz="4" w:space="0" w:color="auto"/>
              <w:right w:val="nil"/>
            </w:tcBorders>
            <w:shd w:val="clear" w:color="auto" w:fill="FABF8F" w:themeFill="accent6" w:themeFillTint="99"/>
            <w:noWrap/>
            <w:vAlign w:val="bottom"/>
            <w:hideMark/>
          </w:tcPr>
          <w:p w14:paraId="152B3208"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0,2</w:t>
            </w:r>
          </w:p>
        </w:tc>
      </w:tr>
      <w:tr w:rsidR="00D02539" w:rsidRPr="00BB27E9" w14:paraId="53B01848" w14:textId="77777777" w:rsidTr="00837640">
        <w:trPr>
          <w:trHeight w:val="300"/>
        </w:trPr>
        <w:tc>
          <w:tcPr>
            <w:tcW w:w="567" w:type="dxa"/>
            <w:tcBorders>
              <w:top w:val="nil"/>
              <w:left w:val="nil"/>
              <w:bottom w:val="nil"/>
              <w:right w:val="nil"/>
            </w:tcBorders>
            <w:shd w:val="clear" w:color="auto" w:fill="auto"/>
            <w:noWrap/>
            <w:vAlign w:val="bottom"/>
            <w:hideMark/>
          </w:tcPr>
          <w:p w14:paraId="50039291"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p>
        </w:tc>
        <w:tc>
          <w:tcPr>
            <w:tcW w:w="4678" w:type="dxa"/>
            <w:gridSpan w:val="4"/>
            <w:tcBorders>
              <w:top w:val="nil"/>
              <w:left w:val="nil"/>
              <w:bottom w:val="nil"/>
              <w:right w:val="nil"/>
            </w:tcBorders>
            <w:shd w:val="clear" w:color="auto" w:fill="auto"/>
            <w:noWrap/>
            <w:vAlign w:val="bottom"/>
            <w:hideMark/>
          </w:tcPr>
          <w:p w14:paraId="341AA0EA" w14:textId="77777777" w:rsidR="00D02539" w:rsidRPr="00BB27E9" w:rsidRDefault="00D02539" w:rsidP="00837640">
            <w:pPr>
              <w:spacing w:after="0" w:line="240" w:lineRule="auto"/>
              <w:rPr>
                <w:rFonts w:ascii="Times New Roman" w:eastAsia="Times New Roman" w:hAnsi="Times New Roman" w:cs="Times New Roman"/>
                <w:sz w:val="20"/>
                <w:szCs w:val="20"/>
              </w:rPr>
            </w:pPr>
          </w:p>
        </w:tc>
        <w:tc>
          <w:tcPr>
            <w:tcW w:w="1109" w:type="dxa"/>
            <w:tcBorders>
              <w:top w:val="nil"/>
              <w:left w:val="nil"/>
              <w:bottom w:val="nil"/>
              <w:right w:val="nil"/>
            </w:tcBorders>
            <w:shd w:val="clear" w:color="auto" w:fill="auto"/>
            <w:noWrap/>
            <w:vAlign w:val="bottom"/>
            <w:hideMark/>
          </w:tcPr>
          <w:p w14:paraId="7C9BFB7C" w14:textId="77777777" w:rsidR="00D02539" w:rsidRPr="00BB27E9" w:rsidRDefault="00D02539" w:rsidP="00837640">
            <w:pPr>
              <w:spacing w:after="0" w:line="240" w:lineRule="auto"/>
              <w:rPr>
                <w:rFonts w:ascii="Times New Roman" w:eastAsia="Times New Roman" w:hAnsi="Times New Roman" w:cs="Times New Roman"/>
                <w:sz w:val="20"/>
                <w:szCs w:val="20"/>
              </w:rPr>
            </w:pPr>
          </w:p>
        </w:tc>
        <w:tc>
          <w:tcPr>
            <w:tcW w:w="666" w:type="dxa"/>
            <w:tcBorders>
              <w:top w:val="nil"/>
              <w:left w:val="nil"/>
              <w:bottom w:val="nil"/>
              <w:right w:val="nil"/>
            </w:tcBorders>
            <w:shd w:val="clear" w:color="auto" w:fill="auto"/>
            <w:noWrap/>
            <w:vAlign w:val="bottom"/>
            <w:hideMark/>
          </w:tcPr>
          <w:p w14:paraId="070BB305" w14:textId="77777777" w:rsidR="00D02539" w:rsidRPr="00BB27E9" w:rsidRDefault="00D02539" w:rsidP="00837640">
            <w:pPr>
              <w:spacing w:after="0" w:line="240" w:lineRule="auto"/>
              <w:rPr>
                <w:rFonts w:ascii="Times New Roman" w:eastAsia="Times New Roman" w:hAnsi="Times New Roman" w:cs="Times New Roman"/>
                <w:sz w:val="20"/>
                <w:szCs w:val="20"/>
              </w:rPr>
            </w:pPr>
          </w:p>
        </w:tc>
        <w:tc>
          <w:tcPr>
            <w:tcW w:w="666" w:type="dxa"/>
            <w:tcBorders>
              <w:top w:val="nil"/>
              <w:left w:val="nil"/>
              <w:bottom w:val="nil"/>
              <w:right w:val="nil"/>
            </w:tcBorders>
            <w:shd w:val="clear" w:color="auto" w:fill="auto"/>
            <w:noWrap/>
            <w:vAlign w:val="bottom"/>
            <w:hideMark/>
          </w:tcPr>
          <w:p w14:paraId="66DF7ABD" w14:textId="77777777" w:rsidR="00D02539" w:rsidRPr="00BB27E9" w:rsidRDefault="00D02539" w:rsidP="00837640">
            <w:pPr>
              <w:spacing w:after="0" w:line="240" w:lineRule="auto"/>
              <w:rPr>
                <w:rFonts w:ascii="Times New Roman" w:eastAsia="Times New Roman" w:hAnsi="Times New Roman" w:cs="Times New Roman"/>
                <w:sz w:val="20"/>
                <w:szCs w:val="20"/>
              </w:rPr>
            </w:pPr>
          </w:p>
        </w:tc>
        <w:tc>
          <w:tcPr>
            <w:tcW w:w="666" w:type="dxa"/>
            <w:tcBorders>
              <w:top w:val="nil"/>
              <w:left w:val="nil"/>
              <w:bottom w:val="nil"/>
              <w:right w:val="nil"/>
            </w:tcBorders>
            <w:shd w:val="clear" w:color="auto" w:fill="auto"/>
            <w:noWrap/>
            <w:vAlign w:val="bottom"/>
            <w:hideMark/>
          </w:tcPr>
          <w:p w14:paraId="2674A025" w14:textId="77777777" w:rsidR="00D02539" w:rsidRPr="00BB27E9" w:rsidRDefault="00D02539" w:rsidP="00837640">
            <w:pPr>
              <w:spacing w:after="0" w:line="240" w:lineRule="auto"/>
              <w:rPr>
                <w:rFonts w:ascii="Times New Roman" w:eastAsia="Times New Roman" w:hAnsi="Times New Roman" w:cs="Times New Roman"/>
                <w:sz w:val="20"/>
                <w:szCs w:val="20"/>
              </w:rPr>
            </w:pPr>
          </w:p>
        </w:tc>
        <w:tc>
          <w:tcPr>
            <w:tcW w:w="716" w:type="dxa"/>
            <w:tcBorders>
              <w:top w:val="nil"/>
              <w:left w:val="nil"/>
              <w:bottom w:val="nil"/>
              <w:right w:val="nil"/>
            </w:tcBorders>
            <w:shd w:val="clear" w:color="auto" w:fill="auto"/>
            <w:noWrap/>
            <w:vAlign w:val="bottom"/>
            <w:hideMark/>
          </w:tcPr>
          <w:p w14:paraId="63306C1A" w14:textId="77777777" w:rsidR="00D02539" w:rsidRPr="00BB27E9" w:rsidRDefault="00D02539" w:rsidP="00837640">
            <w:pPr>
              <w:spacing w:after="0" w:line="240" w:lineRule="auto"/>
              <w:rPr>
                <w:rFonts w:ascii="Times New Roman" w:eastAsia="Times New Roman" w:hAnsi="Times New Roman" w:cs="Times New Roman"/>
                <w:sz w:val="20"/>
                <w:szCs w:val="20"/>
              </w:rPr>
            </w:pPr>
          </w:p>
        </w:tc>
      </w:tr>
      <w:tr w:rsidR="00D02539" w:rsidRPr="00BB27E9" w14:paraId="30AA8E6B" w14:textId="77777777" w:rsidTr="00837640">
        <w:trPr>
          <w:trHeight w:val="300"/>
        </w:trPr>
        <w:tc>
          <w:tcPr>
            <w:tcW w:w="5245" w:type="dxa"/>
            <w:gridSpan w:val="5"/>
            <w:tcBorders>
              <w:top w:val="single" w:sz="4" w:space="0" w:color="auto"/>
              <w:left w:val="single" w:sz="4" w:space="0" w:color="auto"/>
              <w:bottom w:val="nil"/>
              <w:right w:val="nil"/>
            </w:tcBorders>
            <w:shd w:val="clear" w:color="000000" w:fill="A9D08E"/>
            <w:noWrap/>
            <w:vAlign w:val="bottom"/>
            <w:hideMark/>
          </w:tcPr>
          <w:p w14:paraId="25A05F25" w14:textId="77777777" w:rsidR="00D02539" w:rsidRPr="00BB27E9" w:rsidRDefault="00D02539" w:rsidP="00837640">
            <w:pPr>
              <w:spacing w:after="0" w:line="240" w:lineRule="auto"/>
              <w:rPr>
                <w:rFonts w:ascii="Times New Roman" w:eastAsia="Times New Roman" w:hAnsi="Times New Roman" w:cs="Times New Roman"/>
                <w:b/>
                <w:bCs/>
                <w:color w:val="000000"/>
                <w:sz w:val="20"/>
                <w:szCs w:val="20"/>
              </w:rPr>
            </w:pPr>
            <w:proofErr w:type="spellStart"/>
            <w:r w:rsidRPr="00BB27E9">
              <w:rPr>
                <w:rFonts w:ascii="Times New Roman" w:eastAsia="Times New Roman" w:hAnsi="Times New Roman" w:cs="Times New Roman"/>
                <w:b/>
                <w:bCs/>
                <w:color w:val="000000"/>
                <w:sz w:val="20"/>
                <w:szCs w:val="20"/>
              </w:rPr>
              <w:t>Augmented</w:t>
            </w:r>
            <w:proofErr w:type="spellEnd"/>
            <w:r w:rsidRPr="00BB27E9">
              <w:rPr>
                <w:rFonts w:ascii="Times New Roman" w:eastAsia="Times New Roman" w:hAnsi="Times New Roman" w:cs="Times New Roman"/>
                <w:b/>
                <w:bCs/>
                <w:color w:val="000000"/>
                <w:sz w:val="20"/>
                <w:szCs w:val="20"/>
              </w:rPr>
              <w:t xml:space="preserve"> </w:t>
            </w:r>
            <w:proofErr w:type="spellStart"/>
            <w:r w:rsidRPr="00BB27E9">
              <w:rPr>
                <w:rFonts w:ascii="Times New Roman" w:eastAsia="Times New Roman" w:hAnsi="Times New Roman" w:cs="Times New Roman"/>
                <w:b/>
                <w:bCs/>
                <w:color w:val="000000"/>
                <w:sz w:val="20"/>
                <w:szCs w:val="20"/>
              </w:rPr>
              <w:t>control</w:t>
            </w:r>
            <w:proofErr w:type="spellEnd"/>
            <w:r w:rsidRPr="00BB27E9">
              <w:rPr>
                <w:rFonts w:ascii="Times New Roman" w:eastAsia="Times New Roman" w:hAnsi="Times New Roman" w:cs="Times New Roman"/>
                <w:b/>
                <w:bCs/>
                <w:color w:val="000000"/>
                <w:sz w:val="20"/>
                <w:szCs w:val="20"/>
              </w:rPr>
              <w:t xml:space="preserve"> </w:t>
            </w:r>
            <w:proofErr w:type="spellStart"/>
            <w:r w:rsidRPr="00BB27E9">
              <w:rPr>
                <w:rFonts w:ascii="Times New Roman" w:eastAsia="Times New Roman" w:hAnsi="Times New Roman" w:cs="Times New Roman"/>
                <w:b/>
                <w:bCs/>
                <w:color w:val="000000"/>
                <w:sz w:val="20"/>
                <w:szCs w:val="20"/>
              </w:rPr>
              <w:t>account</w:t>
            </w:r>
            <w:proofErr w:type="spellEnd"/>
          </w:p>
        </w:tc>
        <w:tc>
          <w:tcPr>
            <w:tcW w:w="1109" w:type="dxa"/>
            <w:tcBorders>
              <w:top w:val="single" w:sz="4" w:space="0" w:color="auto"/>
              <w:left w:val="nil"/>
              <w:bottom w:val="nil"/>
              <w:right w:val="nil"/>
            </w:tcBorders>
            <w:shd w:val="clear" w:color="000000" w:fill="A9D08E"/>
            <w:noWrap/>
            <w:vAlign w:val="bottom"/>
            <w:hideMark/>
          </w:tcPr>
          <w:p w14:paraId="146ED1E1" w14:textId="77777777" w:rsidR="00D02539" w:rsidRPr="00BB27E9" w:rsidRDefault="00D02539" w:rsidP="00837640">
            <w:pPr>
              <w:spacing w:after="0" w:line="240" w:lineRule="auto"/>
              <w:rPr>
                <w:rFonts w:ascii="Times New Roman" w:eastAsia="Times New Roman" w:hAnsi="Times New Roman" w:cs="Times New Roman"/>
                <w:b/>
                <w:bCs/>
                <w:color w:val="000000"/>
                <w:sz w:val="20"/>
                <w:szCs w:val="20"/>
              </w:rPr>
            </w:pPr>
            <w:r w:rsidRPr="00BB27E9">
              <w:rPr>
                <w:rFonts w:ascii="Times New Roman" w:eastAsia="Times New Roman" w:hAnsi="Times New Roman" w:cs="Times New Roman"/>
                <w:b/>
                <w:bCs/>
                <w:color w:val="000000"/>
                <w:sz w:val="20"/>
                <w:szCs w:val="20"/>
              </w:rPr>
              <w:t> </w:t>
            </w:r>
          </w:p>
        </w:tc>
        <w:tc>
          <w:tcPr>
            <w:tcW w:w="666" w:type="dxa"/>
            <w:tcBorders>
              <w:top w:val="single" w:sz="4" w:space="0" w:color="auto"/>
              <w:left w:val="nil"/>
              <w:bottom w:val="nil"/>
              <w:right w:val="nil"/>
            </w:tcBorders>
            <w:shd w:val="clear" w:color="000000" w:fill="A9D08E"/>
            <w:noWrap/>
            <w:vAlign w:val="bottom"/>
            <w:hideMark/>
          </w:tcPr>
          <w:p w14:paraId="7A766A7E" w14:textId="77777777" w:rsidR="00D02539" w:rsidRPr="00BB27E9" w:rsidRDefault="00D02539" w:rsidP="00837640">
            <w:pPr>
              <w:spacing w:after="0" w:line="240" w:lineRule="auto"/>
              <w:jc w:val="center"/>
              <w:rPr>
                <w:rFonts w:ascii="Times New Roman" w:eastAsia="Times New Roman" w:hAnsi="Times New Roman" w:cs="Times New Roman"/>
                <w:b/>
                <w:bCs/>
                <w:color w:val="000000"/>
                <w:sz w:val="20"/>
                <w:szCs w:val="20"/>
              </w:rPr>
            </w:pPr>
            <w:r w:rsidRPr="00BB27E9">
              <w:rPr>
                <w:rFonts w:ascii="Times New Roman" w:eastAsia="Times New Roman" w:hAnsi="Times New Roman" w:cs="Times New Roman"/>
                <w:b/>
                <w:bCs/>
                <w:color w:val="000000"/>
                <w:sz w:val="20"/>
                <w:szCs w:val="20"/>
              </w:rPr>
              <w:t>2023</w:t>
            </w:r>
          </w:p>
        </w:tc>
        <w:tc>
          <w:tcPr>
            <w:tcW w:w="666" w:type="dxa"/>
            <w:tcBorders>
              <w:top w:val="single" w:sz="4" w:space="0" w:color="auto"/>
              <w:left w:val="nil"/>
              <w:bottom w:val="nil"/>
              <w:right w:val="nil"/>
            </w:tcBorders>
            <w:shd w:val="clear" w:color="000000" w:fill="A9D08E"/>
            <w:noWrap/>
            <w:vAlign w:val="bottom"/>
            <w:hideMark/>
          </w:tcPr>
          <w:p w14:paraId="2BE06819" w14:textId="77777777" w:rsidR="00D02539" w:rsidRPr="00BB27E9" w:rsidRDefault="00D02539" w:rsidP="00837640">
            <w:pPr>
              <w:spacing w:after="0" w:line="240" w:lineRule="auto"/>
              <w:jc w:val="center"/>
              <w:rPr>
                <w:rFonts w:ascii="Times New Roman" w:eastAsia="Times New Roman" w:hAnsi="Times New Roman" w:cs="Times New Roman"/>
                <w:b/>
                <w:bCs/>
                <w:color w:val="000000"/>
                <w:sz w:val="20"/>
                <w:szCs w:val="20"/>
              </w:rPr>
            </w:pPr>
            <w:r w:rsidRPr="00BB27E9">
              <w:rPr>
                <w:rFonts w:ascii="Times New Roman" w:eastAsia="Times New Roman" w:hAnsi="Times New Roman" w:cs="Times New Roman"/>
                <w:b/>
                <w:bCs/>
                <w:color w:val="000000"/>
                <w:sz w:val="20"/>
                <w:szCs w:val="20"/>
              </w:rPr>
              <w:t>2024</w:t>
            </w:r>
          </w:p>
        </w:tc>
        <w:tc>
          <w:tcPr>
            <w:tcW w:w="666" w:type="dxa"/>
            <w:tcBorders>
              <w:top w:val="single" w:sz="4" w:space="0" w:color="auto"/>
              <w:left w:val="nil"/>
              <w:bottom w:val="nil"/>
              <w:right w:val="nil"/>
            </w:tcBorders>
            <w:shd w:val="clear" w:color="000000" w:fill="A9D08E"/>
            <w:noWrap/>
            <w:vAlign w:val="bottom"/>
            <w:hideMark/>
          </w:tcPr>
          <w:p w14:paraId="5B065887" w14:textId="77777777" w:rsidR="00D02539" w:rsidRPr="00BB27E9" w:rsidRDefault="00D02539" w:rsidP="00837640">
            <w:pPr>
              <w:spacing w:after="0" w:line="240" w:lineRule="auto"/>
              <w:jc w:val="center"/>
              <w:rPr>
                <w:rFonts w:ascii="Times New Roman" w:eastAsia="Times New Roman" w:hAnsi="Times New Roman" w:cs="Times New Roman"/>
                <w:b/>
                <w:bCs/>
                <w:color w:val="000000"/>
                <w:sz w:val="20"/>
                <w:szCs w:val="20"/>
              </w:rPr>
            </w:pPr>
            <w:r w:rsidRPr="00BB27E9">
              <w:rPr>
                <w:rFonts w:ascii="Times New Roman" w:eastAsia="Times New Roman" w:hAnsi="Times New Roman" w:cs="Times New Roman"/>
                <w:b/>
                <w:bCs/>
                <w:color w:val="000000"/>
                <w:sz w:val="20"/>
                <w:szCs w:val="20"/>
              </w:rPr>
              <w:t>2025</w:t>
            </w:r>
          </w:p>
        </w:tc>
        <w:tc>
          <w:tcPr>
            <w:tcW w:w="716" w:type="dxa"/>
            <w:tcBorders>
              <w:top w:val="single" w:sz="4" w:space="0" w:color="auto"/>
              <w:left w:val="nil"/>
              <w:bottom w:val="nil"/>
              <w:right w:val="nil"/>
            </w:tcBorders>
            <w:shd w:val="clear" w:color="000000" w:fill="A9D08E"/>
            <w:noWrap/>
            <w:vAlign w:val="bottom"/>
            <w:hideMark/>
          </w:tcPr>
          <w:p w14:paraId="1D7F1DE5" w14:textId="77777777" w:rsidR="00D02539" w:rsidRPr="002D1BAA" w:rsidRDefault="00D02539" w:rsidP="00837640">
            <w:pPr>
              <w:spacing w:after="0" w:line="240" w:lineRule="auto"/>
              <w:jc w:val="center"/>
              <w:rPr>
                <w:rFonts w:ascii="Times New Roman" w:eastAsia="Times New Roman" w:hAnsi="Times New Roman" w:cs="Times New Roman"/>
                <w:b/>
                <w:bCs/>
                <w:color w:val="000000"/>
                <w:sz w:val="20"/>
                <w:szCs w:val="20"/>
                <w:lang w:val="en-US"/>
              </w:rPr>
            </w:pPr>
            <w:r w:rsidRPr="00BB27E9">
              <w:rPr>
                <w:rFonts w:ascii="Times New Roman" w:eastAsia="Times New Roman" w:hAnsi="Times New Roman" w:cs="Times New Roman"/>
                <w:b/>
                <w:bCs/>
                <w:color w:val="000000"/>
                <w:sz w:val="20"/>
                <w:szCs w:val="20"/>
              </w:rPr>
              <w:t>2026</w:t>
            </w:r>
            <w:r>
              <w:rPr>
                <w:rFonts w:ascii="Times New Roman" w:eastAsia="Times New Roman" w:hAnsi="Times New Roman" w:cs="Times New Roman"/>
                <w:b/>
                <w:bCs/>
                <w:color w:val="000000"/>
                <w:sz w:val="20"/>
                <w:szCs w:val="20"/>
                <w:lang w:val="en-US"/>
              </w:rPr>
              <w:t>*</w:t>
            </w:r>
          </w:p>
        </w:tc>
      </w:tr>
      <w:tr w:rsidR="00D02539" w:rsidRPr="00BB27E9" w14:paraId="5D366F26" w14:textId="77777777" w:rsidTr="00837640">
        <w:trPr>
          <w:trHeight w:val="300"/>
        </w:trPr>
        <w:tc>
          <w:tcPr>
            <w:tcW w:w="567" w:type="dxa"/>
            <w:tcBorders>
              <w:top w:val="single" w:sz="4" w:space="0" w:color="auto"/>
              <w:left w:val="single" w:sz="4" w:space="0" w:color="auto"/>
              <w:bottom w:val="nil"/>
              <w:right w:val="nil"/>
            </w:tcBorders>
            <w:shd w:val="clear" w:color="000000" w:fill="FFFFFF"/>
            <w:noWrap/>
            <w:vAlign w:val="center"/>
            <w:hideMark/>
          </w:tcPr>
          <w:p w14:paraId="1A266981" w14:textId="77777777" w:rsidR="00D02539" w:rsidRPr="00BB27E9" w:rsidRDefault="00D02539" w:rsidP="00837640">
            <w:pPr>
              <w:spacing w:after="0" w:line="240" w:lineRule="auto"/>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18.</w:t>
            </w:r>
          </w:p>
        </w:tc>
        <w:tc>
          <w:tcPr>
            <w:tcW w:w="4678" w:type="dxa"/>
            <w:gridSpan w:val="4"/>
            <w:tcBorders>
              <w:top w:val="single" w:sz="4" w:space="0" w:color="auto"/>
              <w:left w:val="nil"/>
              <w:bottom w:val="nil"/>
              <w:right w:val="nil"/>
            </w:tcBorders>
            <w:shd w:val="clear" w:color="000000" w:fill="FFFFFF"/>
            <w:noWrap/>
            <w:vAlign w:val="center"/>
            <w:hideMark/>
          </w:tcPr>
          <w:p w14:paraId="4EAA2A0B" w14:textId="77777777" w:rsidR="00D02539" w:rsidRPr="00BB27E9" w:rsidRDefault="00D02539" w:rsidP="00837640">
            <w:pPr>
              <w:spacing w:after="0" w:line="240" w:lineRule="auto"/>
              <w:rPr>
                <w:rFonts w:ascii="Times New Roman" w:eastAsia="Times New Roman" w:hAnsi="Times New Roman" w:cs="Times New Roman"/>
                <w:color w:val="000000"/>
                <w:sz w:val="20"/>
                <w:szCs w:val="20"/>
                <w:lang w:val="en-US"/>
              </w:rPr>
            </w:pPr>
            <w:r w:rsidRPr="00BB27E9">
              <w:rPr>
                <w:rFonts w:ascii="Times New Roman" w:eastAsia="Times New Roman" w:hAnsi="Times New Roman" w:cs="Times New Roman"/>
                <w:color w:val="000000"/>
                <w:sz w:val="20"/>
                <w:szCs w:val="20"/>
                <w:lang w:val="en-US"/>
              </w:rPr>
              <w:t xml:space="preserve">Recommended net expenditure growth after removing safeguards </w:t>
            </w:r>
          </w:p>
        </w:tc>
        <w:tc>
          <w:tcPr>
            <w:tcW w:w="1109" w:type="dxa"/>
            <w:tcBorders>
              <w:top w:val="single" w:sz="4" w:space="0" w:color="auto"/>
              <w:left w:val="nil"/>
              <w:bottom w:val="nil"/>
              <w:right w:val="nil"/>
            </w:tcBorders>
            <w:shd w:val="clear" w:color="000000" w:fill="FFFFFF"/>
            <w:noWrap/>
            <w:vAlign w:val="center"/>
            <w:hideMark/>
          </w:tcPr>
          <w:p w14:paraId="711BB9F7" w14:textId="77777777" w:rsidR="00D02539" w:rsidRPr="00BB27E9" w:rsidRDefault="00D02539" w:rsidP="00837640">
            <w:pPr>
              <w:spacing w:after="0" w:line="240" w:lineRule="auto"/>
              <w:jc w:val="center"/>
              <w:rPr>
                <w:rFonts w:ascii="Times New Roman" w:eastAsia="Times New Roman" w:hAnsi="Times New Roman" w:cs="Times New Roman"/>
                <w:sz w:val="20"/>
                <w:szCs w:val="20"/>
              </w:rPr>
            </w:pPr>
            <w:r w:rsidRPr="00BD5969">
              <w:rPr>
                <w:rFonts w:ascii="Times New Roman" w:eastAsia="Times New Roman" w:hAnsi="Times New Roman" w:cs="Times New Roman"/>
                <w:sz w:val="20"/>
                <w:szCs w:val="20"/>
                <w:lang w:val="en-US"/>
              </w:rPr>
              <w:t xml:space="preserve"> </w:t>
            </w:r>
            <w:r w:rsidRPr="00BB27E9">
              <w:rPr>
                <w:rFonts w:ascii="Times New Roman" w:eastAsia="Times New Roman" w:hAnsi="Times New Roman" w:cs="Times New Roman"/>
                <w:sz w:val="20"/>
                <w:szCs w:val="20"/>
              </w:rPr>
              <w:t>% change</w:t>
            </w:r>
          </w:p>
        </w:tc>
        <w:tc>
          <w:tcPr>
            <w:tcW w:w="666" w:type="dxa"/>
            <w:tcBorders>
              <w:top w:val="single" w:sz="4" w:space="0" w:color="auto"/>
              <w:left w:val="nil"/>
              <w:bottom w:val="nil"/>
              <w:right w:val="nil"/>
            </w:tcBorders>
            <w:shd w:val="clear" w:color="000000" w:fill="FFFFFF"/>
            <w:noWrap/>
            <w:vAlign w:val="bottom"/>
            <w:hideMark/>
          </w:tcPr>
          <w:p w14:paraId="4FBA2DFE"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 </w:t>
            </w:r>
          </w:p>
        </w:tc>
        <w:tc>
          <w:tcPr>
            <w:tcW w:w="666" w:type="dxa"/>
            <w:tcBorders>
              <w:top w:val="single" w:sz="4" w:space="0" w:color="auto"/>
              <w:left w:val="nil"/>
              <w:bottom w:val="nil"/>
              <w:right w:val="nil"/>
            </w:tcBorders>
            <w:shd w:val="clear" w:color="000000" w:fill="FFFFFF"/>
            <w:noWrap/>
            <w:vAlign w:val="center"/>
            <w:hideMark/>
          </w:tcPr>
          <w:p w14:paraId="34834D74" w14:textId="77777777" w:rsidR="00D02539" w:rsidRPr="00BB27E9" w:rsidRDefault="00D02539" w:rsidP="00837640">
            <w:pPr>
              <w:spacing w:after="0" w:line="240" w:lineRule="auto"/>
              <w:jc w:val="center"/>
              <w:rPr>
                <w:rFonts w:ascii="Times New Roman" w:eastAsia="Times New Roman" w:hAnsi="Times New Roman" w:cs="Times New Roman"/>
                <w:color w:val="BFBFBF"/>
                <w:sz w:val="20"/>
                <w:szCs w:val="20"/>
              </w:rPr>
            </w:pPr>
            <w:r w:rsidRPr="00BB27E9">
              <w:rPr>
                <w:rFonts w:ascii="Times New Roman" w:eastAsia="Times New Roman" w:hAnsi="Times New Roman" w:cs="Times New Roman"/>
                <w:color w:val="BFBFBF"/>
                <w:sz w:val="20"/>
                <w:szCs w:val="20"/>
              </w:rPr>
              <w:t>2,6</w:t>
            </w:r>
          </w:p>
        </w:tc>
        <w:tc>
          <w:tcPr>
            <w:tcW w:w="666" w:type="dxa"/>
            <w:tcBorders>
              <w:top w:val="single" w:sz="4" w:space="0" w:color="auto"/>
              <w:left w:val="nil"/>
              <w:bottom w:val="nil"/>
              <w:right w:val="nil"/>
            </w:tcBorders>
            <w:shd w:val="clear" w:color="auto" w:fill="auto"/>
            <w:noWrap/>
            <w:vAlign w:val="center"/>
            <w:hideMark/>
          </w:tcPr>
          <w:p w14:paraId="2C3F2F5D" w14:textId="77777777" w:rsidR="00D02539" w:rsidRPr="00BB27E9" w:rsidRDefault="00D02539" w:rsidP="00837640">
            <w:pPr>
              <w:spacing w:after="0" w:line="240" w:lineRule="auto"/>
              <w:jc w:val="center"/>
              <w:rPr>
                <w:rFonts w:ascii="Times New Roman" w:eastAsia="Times New Roman" w:hAnsi="Times New Roman" w:cs="Times New Roman"/>
                <w:sz w:val="20"/>
                <w:szCs w:val="20"/>
              </w:rPr>
            </w:pPr>
            <w:r w:rsidRPr="00BB27E9">
              <w:rPr>
                <w:rFonts w:ascii="Times New Roman" w:eastAsia="Times New Roman" w:hAnsi="Times New Roman" w:cs="Times New Roman"/>
                <w:sz w:val="20"/>
                <w:szCs w:val="20"/>
              </w:rPr>
              <w:t>3,7</w:t>
            </w:r>
          </w:p>
        </w:tc>
        <w:tc>
          <w:tcPr>
            <w:tcW w:w="716" w:type="dxa"/>
            <w:tcBorders>
              <w:top w:val="single" w:sz="4" w:space="0" w:color="auto"/>
              <w:left w:val="nil"/>
              <w:bottom w:val="nil"/>
              <w:right w:val="nil"/>
            </w:tcBorders>
            <w:shd w:val="clear" w:color="auto" w:fill="auto"/>
            <w:noWrap/>
            <w:vAlign w:val="center"/>
            <w:hideMark/>
          </w:tcPr>
          <w:p w14:paraId="0F08BC8F" w14:textId="77777777" w:rsidR="00D02539" w:rsidRPr="00BB27E9" w:rsidRDefault="00D02539" w:rsidP="00837640">
            <w:pPr>
              <w:spacing w:after="0" w:line="240" w:lineRule="auto"/>
              <w:jc w:val="center"/>
              <w:rPr>
                <w:rFonts w:ascii="Times New Roman" w:eastAsia="Times New Roman" w:hAnsi="Times New Roman" w:cs="Times New Roman"/>
                <w:sz w:val="20"/>
                <w:szCs w:val="20"/>
              </w:rPr>
            </w:pPr>
            <w:r w:rsidRPr="00BB27E9">
              <w:rPr>
                <w:rFonts w:ascii="Times New Roman" w:eastAsia="Times New Roman" w:hAnsi="Times New Roman" w:cs="Times New Roman"/>
                <w:sz w:val="20"/>
                <w:szCs w:val="20"/>
              </w:rPr>
              <w:t>3,6</w:t>
            </w:r>
          </w:p>
        </w:tc>
      </w:tr>
      <w:tr w:rsidR="00D02539" w:rsidRPr="00BB27E9" w14:paraId="67D73353" w14:textId="77777777" w:rsidTr="00837640">
        <w:trPr>
          <w:trHeight w:val="300"/>
        </w:trPr>
        <w:tc>
          <w:tcPr>
            <w:tcW w:w="567" w:type="dxa"/>
            <w:tcBorders>
              <w:top w:val="nil"/>
              <w:left w:val="single" w:sz="4" w:space="0" w:color="auto"/>
              <w:bottom w:val="nil"/>
              <w:right w:val="nil"/>
            </w:tcBorders>
            <w:shd w:val="clear" w:color="000000" w:fill="FFFFFF"/>
            <w:noWrap/>
            <w:vAlign w:val="center"/>
            <w:hideMark/>
          </w:tcPr>
          <w:p w14:paraId="0C52DD4C" w14:textId="77777777" w:rsidR="00D02539" w:rsidRPr="00BB27E9" w:rsidRDefault="00D02539" w:rsidP="00837640">
            <w:pPr>
              <w:spacing w:after="0" w:line="240" w:lineRule="auto"/>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19.</w:t>
            </w:r>
          </w:p>
        </w:tc>
        <w:tc>
          <w:tcPr>
            <w:tcW w:w="4678" w:type="dxa"/>
            <w:gridSpan w:val="4"/>
            <w:tcBorders>
              <w:top w:val="nil"/>
              <w:left w:val="nil"/>
              <w:bottom w:val="nil"/>
              <w:right w:val="nil"/>
            </w:tcBorders>
            <w:shd w:val="clear" w:color="000000" w:fill="FFFFFF"/>
            <w:noWrap/>
            <w:vAlign w:val="center"/>
            <w:hideMark/>
          </w:tcPr>
          <w:p w14:paraId="620073F0" w14:textId="77777777" w:rsidR="00D02539" w:rsidRPr="00BB27E9" w:rsidRDefault="00D02539" w:rsidP="00837640">
            <w:pPr>
              <w:spacing w:after="0" w:line="240" w:lineRule="auto"/>
              <w:rPr>
                <w:rFonts w:ascii="Times New Roman" w:eastAsia="Times New Roman" w:hAnsi="Times New Roman" w:cs="Times New Roman"/>
                <w:sz w:val="20"/>
                <w:szCs w:val="20"/>
                <w:lang w:val="en-US"/>
              </w:rPr>
            </w:pPr>
            <w:r w:rsidRPr="00BB27E9">
              <w:rPr>
                <w:rFonts w:ascii="Times New Roman" w:eastAsia="Times New Roman" w:hAnsi="Times New Roman" w:cs="Times New Roman"/>
                <w:sz w:val="20"/>
                <w:szCs w:val="20"/>
                <w:lang w:val="en-US"/>
              </w:rPr>
              <w:t xml:space="preserve">Flexibility from removing the safeguards (cumulated) ((18-12) x 7(t-1) + 19(t-1)) </w:t>
            </w:r>
          </w:p>
        </w:tc>
        <w:tc>
          <w:tcPr>
            <w:tcW w:w="1109" w:type="dxa"/>
            <w:tcBorders>
              <w:top w:val="nil"/>
              <w:left w:val="nil"/>
              <w:bottom w:val="nil"/>
              <w:right w:val="nil"/>
            </w:tcBorders>
            <w:shd w:val="clear" w:color="000000" w:fill="FFFFFF"/>
            <w:noWrap/>
            <w:vAlign w:val="center"/>
            <w:hideMark/>
          </w:tcPr>
          <w:p w14:paraId="466CBB65"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proofErr w:type="spellStart"/>
            <w:r w:rsidRPr="00BB27E9">
              <w:rPr>
                <w:rFonts w:ascii="Times New Roman" w:eastAsia="Times New Roman" w:hAnsi="Times New Roman" w:cs="Times New Roman"/>
                <w:color w:val="000000"/>
                <w:sz w:val="20"/>
                <w:szCs w:val="20"/>
              </w:rPr>
              <w:t>bn</w:t>
            </w:r>
            <w:proofErr w:type="spellEnd"/>
            <w:r w:rsidRPr="00BB27E9">
              <w:rPr>
                <w:rFonts w:ascii="Times New Roman" w:eastAsia="Times New Roman" w:hAnsi="Times New Roman" w:cs="Times New Roman"/>
                <w:color w:val="000000"/>
                <w:sz w:val="20"/>
                <w:szCs w:val="20"/>
              </w:rPr>
              <w:t xml:space="preserve"> NAC</w:t>
            </w:r>
          </w:p>
        </w:tc>
        <w:tc>
          <w:tcPr>
            <w:tcW w:w="666" w:type="dxa"/>
            <w:tcBorders>
              <w:top w:val="nil"/>
              <w:left w:val="nil"/>
              <w:bottom w:val="nil"/>
              <w:right w:val="nil"/>
            </w:tcBorders>
            <w:shd w:val="clear" w:color="000000" w:fill="FFFFFF"/>
            <w:noWrap/>
            <w:vAlign w:val="bottom"/>
            <w:hideMark/>
          </w:tcPr>
          <w:p w14:paraId="545DD92C"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 </w:t>
            </w:r>
          </w:p>
        </w:tc>
        <w:tc>
          <w:tcPr>
            <w:tcW w:w="666" w:type="dxa"/>
            <w:tcBorders>
              <w:top w:val="nil"/>
              <w:left w:val="nil"/>
              <w:bottom w:val="nil"/>
              <w:right w:val="nil"/>
            </w:tcBorders>
            <w:shd w:val="clear" w:color="000000" w:fill="FFFFFF"/>
            <w:noWrap/>
            <w:vAlign w:val="bottom"/>
            <w:hideMark/>
          </w:tcPr>
          <w:p w14:paraId="2F6151C4" w14:textId="77777777" w:rsidR="00D02539" w:rsidRPr="00BB27E9" w:rsidRDefault="00D02539" w:rsidP="00837640">
            <w:pPr>
              <w:spacing w:after="0" w:line="240" w:lineRule="auto"/>
              <w:jc w:val="center"/>
              <w:rPr>
                <w:rFonts w:ascii="Times New Roman" w:eastAsia="Times New Roman" w:hAnsi="Times New Roman" w:cs="Times New Roman"/>
                <w:color w:val="BFBFBF"/>
                <w:sz w:val="20"/>
                <w:szCs w:val="20"/>
              </w:rPr>
            </w:pPr>
            <w:r w:rsidRPr="00BB27E9">
              <w:rPr>
                <w:rFonts w:ascii="Times New Roman" w:eastAsia="Times New Roman" w:hAnsi="Times New Roman" w:cs="Times New Roman"/>
                <w:color w:val="BFBFBF"/>
                <w:sz w:val="20"/>
                <w:szCs w:val="20"/>
              </w:rPr>
              <w:t>0,0</w:t>
            </w:r>
          </w:p>
        </w:tc>
        <w:tc>
          <w:tcPr>
            <w:tcW w:w="666" w:type="dxa"/>
            <w:tcBorders>
              <w:top w:val="nil"/>
              <w:left w:val="nil"/>
              <w:bottom w:val="nil"/>
              <w:right w:val="nil"/>
            </w:tcBorders>
            <w:shd w:val="clear" w:color="000000" w:fill="FFFFFF"/>
            <w:noWrap/>
            <w:vAlign w:val="bottom"/>
            <w:hideMark/>
          </w:tcPr>
          <w:p w14:paraId="438A8B71"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0,0</w:t>
            </w:r>
          </w:p>
        </w:tc>
        <w:tc>
          <w:tcPr>
            <w:tcW w:w="716" w:type="dxa"/>
            <w:tcBorders>
              <w:top w:val="nil"/>
              <w:left w:val="nil"/>
              <w:bottom w:val="nil"/>
              <w:right w:val="nil"/>
            </w:tcBorders>
            <w:shd w:val="clear" w:color="000000" w:fill="FFFFFF"/>
            <w:noWrap/>
            <w:vAlign w:val="bottom"/>
            <w:hideMark/>
          </w:tcPr>
          <w:p w14:paraId="35145394"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0,0</w:t>
            </w:r>
          </w:p>
        </w:tc>
      </w:tr>
      <w:tr w:rsidR="00D02539" w:rsidRPr="00BB27E9" w14:paraId="4A0A0993" w14:textId="77777777" w:rsidTr="00837640">
        <w:trPr>
          <w:trHeight w:val="300"/>
        </w:trPr>
        <w:tc>
          <w:tcPr>
            <w:tcW w:w="567" w:type="dxa"/>
            <w:tcBorders>
              <w:top w:val="nil"/>
              <w:left w:val="single" w:sz="4" w:space="0" w:color="auto"/>
              <w:bottom w:val="nil"/>
              <w:right w:val="nil"/>
            </w:tcBorders>
            <w:shd w:val="clear" w:color="000000" w:fill="E2EFDA"/>
            <w:noWrap/>
            <w:vAlign w:val="center"/>
            <w:hideMark/>
          </w:tcPr>
          <w:p w14:paraId="45D8D9D5" w14:textId="77777777" w:rsidR="00D02539" w:rsidRPr="00BB27E9" w:rsidRDefault="00D02539" w:rsidP="00837640">
            <w:pPr>
              <w:spacing w:after="0" w:line="240" w:lineRule="auto"/>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20.</w:t>
            </w:r>
          </w:p>
        </w:tc>
        <w:tc>
          <w:tcPr>
            <w:tcW w:w="4678" w:type="dxa"/>
            <w:gridSpan w:val="4"/>
            <w:tcBorders>
              <w:top w:val="nil"/>
              <w:left w:val="nil"/>
              <w:bottom w:val="nil"/>
              <w:right w:val="nil"/>
            </w:tcBorders>
            <w:shd w:val="clear" w:color="000000" w:fill="E2EFDA"/>
            <w:noWrap/>
            <w:vAlign w:val="center"/>
            <w:hideMark/>
          </w:tcPr>
          <w:p w14:paraId="2B29A2B0" w14:textId="77777777" w:rsidR="00D02539" w:rsidRPr="00BB27E9" w:rsidRDefault="00D02539" w:rsidP="00837640">
            <w:pPr>
              <w:spacing w:after="0" w:line="240" w:lineRule="auto"/>
              <w:rPr>
                <w:rFonts w:ascii="Times New Roman" w:eastAsia="Times New Roman" w:hAnsi="Times New Roman" w:cs="Times New Roman"/>
                <w:sz w:val="20"/>
                <w:szCs w:val="20"/>
                <w:lang w:val="en-US"/>
              </w:rPr>
            </w:pPr>
            <w:r w:rsidRPr="00BB27E9">
              <w:rPr>
                <w:rFonts w:ascii="Times New Roman" w:eastAsia="Times New Roman" w:hAnsi="Times New Roman" w:cs="Times New Roman"/>
                <w:sz w:val="20"/>
                <w:szCs w:val="20"/>
                <w:lang w:val="en-US"/>
              </w:rPr>
              <w:t>Flexibility from removing the safeguards (19 / 15)</w:t>
            </w:r>
          </w:p>
        </w:tc>
        <w:tc>
          <w:tcPr>
            <w:tcW w:w="1109" w:type="dxa"/>
            <w:tcBorders>
              <w:top w:val="nil"/>
              <w:left w:val="nil"/>
              <w:bottom w:val="nil"/>
              <w:right w:val="nil"/>
            </w:tcBorders>
            <w:shd w:val="clear" w:color="000000" w:fill="E2EFDA"/>
            <w:noWrap/>
            <w:vAlign w:val="center"/>
            <w:hideMark/>
          </w:tcPr>
          <w:p w14:paraId="7752F966"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 GDP</w:t>
            </w:r>
          </w:p>
        </w:tc>
        <w:tc>
          <w:tcPr>
            <w:tcW w:w="666" w:type="dxa"/>
            <w:tcBorders>
              <w:top w:val="nil"/>
              <w:left w:val="nil"/>
              <w:bottom w:val="nil"/>
              <w:right w:val="nil"/>
            </w:tcBorders>
            <w:shd w:val="clear" w:color="000000" w:fill="E2EFDA"/>
            <w:noWrap/>
            <w:vAlign w:val="bottom"/>
            <w:hideMark/>
          </w:tcPr>
          <w:p w14:paraId="4536B87D"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 </w:t>
            </w:r>
          </w:p>
        </w:tc>
        <w:tc>
          <w:tcPr>
            <w:tcW w:w="666" w:type="dxa"/>
            <w:tcBorders>
              <w:top w:val="nil"/>
              <w:left w:val="nil"/>
              <w:bottom w:val="nil"/>
              <w:right w:val="nil"/>
            </w:tcBorders>
            <w:shd w:val="clear" w:color="000000" w:fill="E2EFDA"/>
            <w:noWrap/>
            <w:vAlign w:val="bottom"/>
            <w:hideMark/>
          </w:tcPr>
          <w:p w14:paraId="5F5065C1" w14:textId="77777777" w:rsidR="00D02539" w:rsidRPr="00BB27E9" w:rsidRDefault="00D02539" w:rsidP="00837640">
            <w:pPr>
              <w:spacing w:after="0" w:line="240" w:lineRule="auto"/>
              <w:jc w:val="center"/>
              <w:rPr>
                <w:rFonts w:ascii="Times New Roman" w:eastAsia="Times New Roman" w:hAnsi="Times New Roman" w:cs="Times New Roman"/>
                <w:color w:val="D9D9D9"/>
                <w:sz w:val="20"/>
                <w:szCs w:val="20"/>
              </w:rPr>
            </w:pPr>
            <w:r w:rsidRPr="00BB27E9">
              <w:rPr>
                <w:rFonts w:ascii="Times New Roman" w:eastAsia="Times New Roman" w:hAnsi="Times New Roman" w:cs="Times New Roman"/>
                <w:color w:val="D9D9D9"/>
                <w:sz w:val="20"/>
                <w:szCs w:val="20"/>
              </w:rPr>
              <w:t> </w:t>
            </w:r>
          </w:p>
        </w:tc>
        <w:tc>
          <w:tcPr>
            <w:tcW w:w="666" w:type="dxa"/>
            <w:tcBorders>
              <w:top w:val="nil"/>
              <w:left w:val="nil"/>
              <w:bottom w:val="nil"/>
              <w:right w:val="nil"/>
            </w:tcBorders>
            <w:shd w:val="clear" w:color="000000" w:fill="E2EFDA"/>
            <w:noWrap/>
            <w:vAlign w:val="bottom"/>
            <w:hideMark/>
          </w:tcPr>
          <w:p w14:paraId="2A5C8EDB"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0,0</w:t>
            </w:r>
          </w:p>
        </w:tc>
        <w:tc>
          <w:tcPr>
            <w:tcW w:w="716" w:type="dxa"/>
            <w:tcBorders>
              <w:top w:val="nil"/>
              <w:left w:val="nil"/>
              <w:bottom w:val="nil"/>
              <w:right w:val="nil"/>
            </w:tcBorders>
            <w:shd w:val="clear" w:color="000000" w:fill="E2EFDA"/>
            <w:noWrap/>
            <w:vAlign w:val="bottom"/>
            <w:hideMark/>
          </w:tcPr>
          <w:p w14:paraId="3BE1370F"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0,0</w:t>
            </w:r>
          </w:p>
        </w:tc>
      </w:tr>
      <w:tr w:rsidR="00D02539" w:rsidRPr="00BB27E9" w14:paraId="17592DF9" w14:textId="77777777" w:rsidTr="00837640">
        <w:trPr>
          <w:trHeight w:val="300"/>
        </w:trPr>
        <w:tc>
          <w:tcPr>
            <w:tcW w:w="567" w:type="dxa"/>
            <w:tcBorders>
              <w:top w:val="nil"/>
              <w:left w:val="single" w:sz="4" w:space="0" w:color="auto"/>
              <w:bottom w:val="nil"/>
              <w:right w:val="nil"/>
            </w:tcBorders>
            <w:shd w:val="clear" w:color="000000" w:fill="FFFFFF"/>
            <w:noWrap/>
            <w:vAlign w:val="bottom"/>
            <w:hideMark/>
          </w:tcPr>
          <w:p w14:paraId="7E1E1F0B" w14:textId="77777777" w:rsidR="00D02539" w:rsidRPr="00BB27E9" w:rsidRDefault="00D02539" w:rsidP="00837640">
            <w:pPr>
              <w:spacing w:after="0" w:line="240" w:lineRule="auto"/>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21.</w:t>
            </w:r>
          </w:p>
        </w:tc>
        <w:tc>
          <w:tcPr>
            <w:tcW w:w="4678" w:type="dxa"/>
            <w:gridSpan w:val="4"/>
            <w:tcBorders>
              <w:top w:val="nil"/>
              <w:left w:val="nil"/>
              <w:bottom w:val="nil"/>
              <w:right w:val="nil"/>
            </w:tcBorders>
            <w:shd w:val="clear" w:color="000000" w:fill="FFFFFF"/>
            <w:noWrap/>
            <w:vAlign w:val="bottom"/>
            <w:hideMark/>
          </w:tcPr>
          <w:p w14:paraId="6499F69C" w14:textId="77777777" w:rsidR="00D02539" w:rsidRPr="00BB27E9" w:rsidRDefault="00D02539" w:rsidP="00837640">
            <w:pPr>
              <w:spacing w:after="0" w:line="240" w:lineRule="auto"/>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Defence expenditure</w:t>
            </w:r>
          </w:p>
        </w:tc>
        <w:tc>
          <w:tcPr>
            <w:tcW w:w="1109" w:type="dxa"/>
            <w:tcBorders>
              <w:top w:val="nil"/>
              <w:left w:val="nil"/>
              <w:bottom w:val="nil"/>
              <w:right w:val="nil"/>
            </w:tcBorders>
            <w:shd w:val="clear" w:color="000000" w:fill="FFFFFF"/>
            <w:noWrap/>
            <w:vAlign w:val="bottom"/>
            <w:hideMark/>
          </w:tcPr>
          <w:p w14:paraId="0196A434" w14:textId="77777777" w:rsidR="00D02539" w:rsidRPr="00BB27E9" w:rsidRDefault="00D02539" w:rsidP="00837640">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Pr="00BB27E9">
              <w:rPr>
                <w:rFonts w:ascii="Times New Roman" w:eastAsia="Times New Roman" w:hAnsi="Times New Roman" w:cs="Times New Roman"/>
                <w:color w:val="000000"/>
                <w:sz w:val="20"/>
                <w:szCs w:val="20"/>
              </w:rPr>
              <w:t>% GDP</w:t>
            </w:r>
          </w:p>
        </w:tc>
        <w:tc>
          <w:tcPr>
            <w:tcW w:w="666" w:type="dxa"/>
            <w:tcBorders>
              <w:top w:val="nil"/>
              <w:left w:val="nil"/>
              <w:bottom w:val="nil"/>
              <w:right w:val="nil"/>
            </w:tcBorders>
            <w:shd w:val="clear" w:color="000000" w:fill="FFFFFF"/>
            <w:noWrap/>
            <w:vAlign w:val="bottom"/>
            <w:hideMark/>
          </w:tcPr>
          <w:p w14:paraId="0B261717" w14:textId="77777777" w:rsidR="00D02539" w:rsidRPr="00BB27E9" w:rsidRDefault="00D02539" w:rsidP="00837640">
            <w:pPr>
              <w:spacing w:after="0" w:line="240" w:lineRule="auto"/>
              <w:jc w:val="center"/>
              <w:rPr>
                <w:rFonts w:ascii="Times New Roman" w:eastAsia="Times New Roman" w:hAnsi="Times New Roman" w:cs="Times New Roman"/>
                <w:sz w:val="20"/>
                <w:szCs w:val="20"/>
              </w:rPr>
            </w:pPr>
            <w:r w:rsidRPr="00BB27E9">
              <w:rPr>
                <w:rFonts w:ascii="Times New Roman" w:eastAsia="Times New Roman" w:hAnsi="Times New Roman" w:cs="Times New Roman"/>
                <w:sz w:val="20"/>
                <w:szCs w:val="20"/>
              </w:rPr>
              <w:t>2,3</w:t>
            </w:r>
          </w:p>
        </w:tc>
        <w:tc>
          <w:tcPr>
            <w:tcW w:w="666" w:type="dxa"/>
            <w:tcBorders>
              <w:top w:val="nil"/>
              <w:left w:val="nil"/>
              <w:bottom w:val="nil"/>
              <w:right w:val="nil"/>
            </w:tcBorders>
            <w:shd w:val="clear" w:color="000000" w:fill="FFFFFF"/>
            <w:noWrap/>
            <w:vAlign w:val="bottom"/>
            <w:hideMark/>
          </w:tcPr>
          <w:p w14:paraId="4F5089AC" w14:textId="77777777" w:rsidR="00D02539" w:rsidRPr="00BB27E9" w:rsidRDefault="00D02539" w:rsidP="00837640">
            <w:pPr>
              <w:spacing w:after="0" w:line="240" w:lineRule="auto"/>
              <w:jc w:val="center"/>
              <w:rPr>
                <w:rFonts w:ascii="Times New Roman" w:eastAsia="Times New Roman" w:hAnsi="Times New Roman" w:cs="Times New Roman"/>
                <w:sz w:val="20"/>
                <w:szCs w:val="20"/>
              </w:rPr>
            </w:pPr>
            <w:r w:rsidRPr="00BB27E9">
              <w:rPr>
                <w:rFonts w:ascii="Times New Roman" w:eastAsia="Times New Roman" w:hAnsi="Times New Roman" w:cs="Times New Roman"/>
                <w:sz w:val="20"/>
                <w:szCs w:val="20"/>
              </w:rPr>
              <w:t>2,2</w:t>
            </w:r>
          </w:p>
        </w:tc>
        <w:tc>
          <w:tcPr>
            <w:tcW w:w="666" w:type="dxa"/>
            <w:tcBorders>
              <w:top w:val="nil"/>
              <w:left w:val="nil"/>
              <w:bottom w:val="nil"/>
              <w:right w:val="nil"/>
            </w:tcBorders>
            <w:shd w:val="clear" w:color="000000" w:fill="FFFFFF"/>
            <w:noWrap/>
            <w:vAlign w:val="bottom"/>
            <w:hideMark/>
          </w:tcPr>
          <w:p w14:paraId="5FBE794A" w14:textId="77777777" w:rsidR="00D02539" w:rsidRPr="00BB27E9" w:rsidRDefault="00D02539" w:rsidP="00837640">
            <w:pPr>
              <w:spacing w:after="0" w:line="240" w:lineRule="auto"/>
              <w:jc w:val="center"/>
              <w:rPr>
                <w:rFonts w:ascii="Times New Roman" w:eastAsia="Times New Roman" w:hAnsi="Times New Roman" w:cs="Times New Roman"/>
                <w:sz w:val="20"/>
                <w:szCs w:val="20"/>
              </w:rPr>
            </w:pPr>
            <w:r w:rsidRPr="00BB27E9">
              <w:rPr>
                <w:rFonts w:ascii="Times New Roman" w:eastAsia="Times New Roman" w:hAnsi="Times New Roman" w:cs="Times New Roman"/>
                <w:sz w:val="20"/>
                <w:szCs w:val="20"/>
              </w:rPr>
              <w:t>2,4</w:t>
            </w:r>
          </w:p>
        </w:tc>
        <w:tc>
          <w:tcPr>
            <w:tcW w:w="716" w:type="dxa"/>
            <w:tcBorders>
              <w:top w:val="nil"/>
              <w:left w:val="nil"/>
              <w:bottom w:val="nil"/>
              <w:right w:val="nil"/>
            </w:tcBorders>
            <w:shd w:val="clear" w:color="000000" w:fill="FFFFFF"/>
            <w:noWrap/>
            <w:vAlign w:val="bottom"/>
            <w:hideMark/>
          </w:tcPr>
          <w:p w14:paraId="29400053" w14:textId="77777777" w:rsidR="00D02539" w:rsidRPr="00BB27E9" w:rsidRDefault="00D02539" w:rsidP="00837640">
            <w:pPr>
              <w:spacing w:after="0" w:line="240" w:lineRule="auto"/>
              <w:jc w:val="center"/>
              <w:rPr>
                <w:rFonts w:ascii="Times New Roman" w:eastAsia="Times New Roman" w:hAnsi="Times New Roman" w:cs="Times New Roman"/>
                <w:sz w:val="20"/>
                <w:szCs w:val="20"/>
              </w:rPr>
            </w:pPr>
            <w:r w:rsidRPr="00BB27E9">
              <w:rPr>
                <w:rFonts w:ascii="Times New Roman" w:eastAsia="Times New Roman" w:hAnsi="Times New Roman" w:cs="Times New Roman"/>
                <w:sz w:val="20"/>
                <w:szCs w:val="20"/>
              </w:rPr>
              <w:t>2,6</w:t>
            </w:r>
          </w:p>
        </w:tc>
      </w:tr>
      <w:tr w:rsidR="00D02539" w:rsidRPr="00BB27E9" w14:paraId="6FF38BE5" w14:textId="77777777" w:rsidTr="00837640">
        <w:trPr>
          <w:trHeight w:val="300"/>
        </w:trPr>
        <w:tc>
          <w:tcPr>
            <w:tcW w:w="567" w:type="dxa"/>
            <w:tcBorders>
              <w:top w:val="nil"/>
              <w:left w:val="single" w:sz="4" w:space="0" w:color="auto"/>
              <w:bottom w:val="single" w:sz="4" w:space="0" w:color="auto"/>
              <w:right w:val="nil"/>
            </w:tcBorders>
            <w:shd w:val="clear" w:color="000000" w:fill="E2EFDA"/>
            <w:noWrap/>
            <w:vAlign w:val="bottom"/>
            <w:hideMark/>
          </w:tcPr>
          <w:p w14:paraId="53455750" w14:textId="77777777" w:rsidR="00D02539" w:rsidRPr="00BB27E9" w:rsidRDefault="00D02539" w:rsidP="00837640">
            <w:pPr>
              <w:spacing w:after="0" w:line="240" w:lineRule="auto"/>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22.</w:t>
            </w:r>
          </w:p>
        </w:tc>
        <w:tc>
          <w:tcPr>
            <w:tcW w:w="4678" w:type="dxa"/>
            <w:gridSpan w:val="4"/>
            <w:tcBorders>
              <w:top w:val="nil"/>
              <w:left w:val="nil"/>
              <w:bottom w:val="single" w:sz="4" w:space="0" w:color="auto"/>
              <w:right w:val="nil"/>
            </w:tcBorders>
            <w:shd w:val="clear" w:color="000000" w:fill="E2EFDA"/>
            <w:noWrap/>
            <w:vAlign w:val="bottom"/>
            <w:hideMark/>
          </w:tcPr>
          <w:p w14:paraId="26337833" w14:textId="77777777" w:rsidR="00D02539" w:rsidRDefault="00D02539" w:rsidP="00837640">
            <w:pPr>
              <w:spacing w:after="0" w:line="240" w:lineRule="auto"/>
              <w:rPr>
                <w:rFonts w:ascii="Times New Roman" w:eastAsia="Times New Roman" w:hAnsi="Times New Roman" w:cs="Times New Roman"/>
                <w:sz w:val="20"/>
                <w:szCs w:val="20"/>
                <w:lang w:val="en-US"/>
              </w:rPr>
            </w:pPr>
            <w:r w:rsidRPr="00BB27E9">
              <w:rPr>
                <w:rFonts w:ascii="Times New Roman" w:eastAsia="Times New Roman" w:hAnsi="Times New Roman" w:cs="Times New Roman"/>
                <w:sz w:val="20"/>
                <w:szCs w:val="20"/>
                <w:lang w:val="en-US"/>
              </w:rPr>
              <w:t xml:space="preserve">Flexibility from increases in defence expenditure </w:t>
            </w:r>
          </w:p>
          <w:p w14:paraId="1F96F1BB" w14:textId="77777777" w:rsidR="00D02539" w:rsidRPr="00BB27E9" w:rsidRDefault="00D02539" w:rsidP="00837640">
            <w:pPr>
              <w:spacing w:after="0" w:line="240" w:lineRule="auto"/>
              <w:rPr>
                <w:rFonts w:ascii="Times New Roman" w:eastAsia="Times New Roman" w:hAnsi="Times New Roman" w:cs="Times New Roman"/>
                <w:sz w:val="20"/>
                <w:szCs w:val="20"/>
                <w:lang w:val="en-US"/>
              </w:rPr>
            </w:pPr>
            <w:r w:rsidRPr="00BB27E9">
              <w:rPr>
                <w:rFonts w:ascii="Times New Roman" w:eastAsia="Times New Roman" w:hAnsi="Times New Roman" w:cs="Times New Roman"/>
                <w:sz w:val="20"/>
                <w:szCs w:val="20"/>
                <w:lang w:val="en-US"/>
              </w:rPr>
              <w:t>(</w:t>
            </w:r>
            <w:r w:rsidRPr="002509E7">
              <w:rPr>
                <w:rFonts w:ascii="Times New Roman" w:eastAsia="Times New Roman" w:hAnsi="Times New Roman" w:cs="Times New Roman"/>
                <w:sz w:val="20"/>
                <w:szCs w:val="20"/>
                <w:lang w:val="en-US"/>
              </w:rPr>
              <w:t>21 - 21(2021/24)) (**)</w:t>
            </w:r>
            <w:r w:rsidRPr="00BB27E9">
              <w:rPr>
                <w:rFonts w:ascii="Times New Roman" w:eastAsia="Times New Roman" w:hAnsi="Times New Roman" w:cs="Times New Roman"/>
                <w:sz w:val="20"/>
                <w:szCs w:val="20"/>
                <w:lang w:val="en-US"/>
              </w:rPr>
              <w:t xml:space="preserve">  </w:t>
            </w:r>
          </w:p>
        </w:tc>
        <w:tc>
          <w:tcPr>
            <w:tcW w:w="1109" w:type="dxa"/>
            <w:tcBorders>
              <w:top w:val="nil"/>
              <w:left w:val="nil"/>
              <w:bottom w:val="single" w:sz="4" w:space="0" w:color="auto"/>
              <w:right w:val="nil"/>
            </w:tcBorders>
            <w:shd w:val="clear" w:color="000000" w:fill="E2EFDA"/>
            <w:noWrap/>
            <w:vAlign w:val="center"/>
            <w:hideMark/>
          </w:tcPr>
          <w:p w14:paraId="7CC4450F"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 GDP</w:t>
            </w:r>
          </w:p>
        </w:tc>
        <w:tc>
          <w:tcPr>
            <w:tcW w:w="666" w:type="dxa"/>
            <w:tcBorders>
              <w:top w:val="nil"/>
              <w:left w:val="nil"/>
              <w:bottom w:val="single" w:sz="4" w:space="0" w:color="auto"/>
              <w:right w:val="nil"/>
            </w:tcBorders>
            <w:shd w:val="clear" w:color="000000" w:fill="E2EFDA"/>
            <w:noWrap/>
            <w:vAlign w:val="bottom"/>
            <w:hideMark/>
          </w:tcPr>
          <w:p w14:paraId="109A3E26"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 </w:t>
            </w:r>
          </w:p>
        </w:tc>
        <w:tc>
          <w:tcPr>
            <w:tcW w:w="666" w:type="dxa"/>
            <w:tcBorders>
              <w:top w:val="nil"/>
              <w:left w:val="nil"/>
              <w:bottom w:val="single" w:sz="4" w:space="0" w:color="auto"/>
              <w:right w:val="nil"/>
            </w:tcBorders>
            <w:shd w:val="clear" w:color="000000" w:fill="E2EFDA"/>
            <w:noWrap/>
            <w:vAlign w:val="bottom"/>
            <w:hideMark/>
          </w:tcPr>
          <w:p w14:paraId="084EE849"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 </w:t>
            </w:r>
          </w:p>
        </w:tc>
        <w:tc>
          <w:tcPr>
            <w:tcW w:w="666" w:type="dxa"/>
            <w:tcBorders>
              <w:top w:val="nil"/>
              <w:left w:val="nil"/>
              <w:bottom w:val="single" w:sz="4" w:space="0" w:color="auto"/>
              <w:right w:val="nil"/>
            </w:tcBorders>
            <w:shd w:val="clear" w:color="000000" w:fill="E2EFDA"/>
            <w:noWrap/>
            <w:vAlign w:val="bottom"/>
            <w:hideMark/>
          </w:tcPr>
          <w:p w14:paraId="56320000" w14:textId="77777777" w:rsidR="00D02539" w:rsidRPr="000636F9" w:rsidRDefault="00D02539" w:rsidP="00837640">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0,</w:t>
            </w:r>
            <w:r>
              <w:rPr>
                <w:rFonts w:ascii="Times New Roman" w:eastAsia="Times New Roman" w:hAnsi="Times New Roman" w:cs="Times New Roman"/>
                <w:color w:val="000000"/>
                <w:sz w:val="20"/>
                <w:szCs w:val="20"/>
                <w:lang w:val="en-US"/>
              </w:rPr>
              <w:t>2</w:t>
            </w:r>
          </w:p>
        </w:tc>
        <w:tc>
          <w:tcPr>
            <w:tcW w:w="716" w:type="dxa"/>
            <w:tcBorders>
              <w:top w:val="nil"/>
              <w:left w:val="nil"/>
              <w:bottom w:val="single" w:sz="4" w:space="0" w:color="auto"/>
              <w:right w:val="nil"/>
            </w:tcBorders>
            <w:shd w:val="clear" w:color="000000" w:fill="E2EFDA"/>
            <w:noWrap/>
            <w:vAlign w:val="bottom"/>
            <w:hideMark/>
          </w:tcPr>
          <w:p w14:paraId="5736E4C7"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0,3</w:t>
            </w:r>
          </w:p>
        </w:tc>
      </w:tr>
      <w:tr w:rsidR="00D02539" w:rsidRPr="00BB27E9" w14:paraId="2F299B89" w14:textId="77777777" w:rsidTr="00837640">
        <w:trPr>
          <w:trHeight w:val="300"/>
        </w:trPr>
        <w:tc>
          <w:tcPr>
            <w:tcW w:w="567" w:type="dxa"/>
            <w:tcBorders>
              <w:top w:val="nil"/>
              <w:left w:val="single" w:sz="4" w:space="0" w:color="auto"/>
              <w:bottom w:val="single" w:sz="4" w:space="0" w:color="auto"/>
              <w:right w:val="nil"/>
            </w:tcBorders>
            <w:shd w:val="clear" w:color="000000" w:fill="A9D08E"/>
            <w:noWrap/>
            <w:vAlign w:val="bottom"/>
            <w:hideMark/>
          </w:tcPr>
          <w:p w14:paraId="6D4AB5B8" w14:textId="77777777" w:rsidR="00D02539" w:rsidRPr="00BB27E9" w:rsidRDefault="00D02539" w:rsidP="00837640">
            <w:pPr>
              <w:spacing w:after="0" w:line="240" w:lineRule="auto"/>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23.</w:t>
            </w:r>
          </w:p>
        </w:tc>
        <w:tc>
          <w:tcPr>
            <w:tcW w:w="4678" w:type="dxa"/>
            <w:gridSpan w:val="4"/>
            <w:tcBorders>
              <w:top w:val="nil"/>
              <w:left w:val="nil"/>
              <w:bottom w:val="single" w:sz="4" w:space="0" w:color="auto"/>
              <w:right w:val="nil"/>
            </w:tcBorders>
            <w:shd w:val="clear" w:color="000000" w:fill="A9D08E"/>
            <w:noWrap/>
            <w:vAlign w:val="bottom"/>
            <w:hideMark/>
          </w:tcPr>
          <w:p w14:paraId="662A327A" w14:textId="77777777" w:rsidR="00D02539" w:rsidRPr="00BB27E9" w:rsidRDefault="00D02539" w:rsidP="00837640">
            <w:pPr>
              <w:spacing w:after="0" w:line="240" w:lineRule="auto"/>
              <w:rPr>
                <w:rFonts w:ascii="Times New Roman" w:eastAsia="Times New Roman" w:hAnsi="Times New Roman" w:cs="Times New Roman"/>
                <w:color w:val="000000"/>
                <w:sz w:val="20"/>
                <w:szCs w:val="20"/>
              </w:rPr>
            </w:pPr>
            <w:proofErr w:type="spellStart"/>
            <w:r w:rsidRPr="00BB27E9">
              <w:rPr>
                <w:rFonts w:ascii="Times New Roman" w:eastAsia="Times New Roman" w:hAnsi="Times New Roman" w:cs="Times New Roman"/>
                <w:color w:val="000000"/>
                <w:sz w:val="20"/>
                <w:szCs w:val="20"/>
              </w:rPr>
              <w:t>Cumulated</w:t>
            </w:r>
            <w:proofErr w:type="spellEnd"/>
            <w:r w:rsidRPr="00BB27E9">
              <w:rPr>
                <w:rFonts w:ascii="Times New Roman" w:eastAsia="Times New Roman" w:hAnsi="Times New Roman" w:cs="Times New Roman"/>
                <w:color w:val="000000"/>
                <w:sz w:val="20"/>
                <w:szCs w:val="20"/>
              </w:rPr>
              <w:t xml:space="preserve"> </w:t>
            </w:r>
            <w:proofErr w:type="spellStart"/>
            <w:r w:rsidRPr="00BB27E9">
              <w:rPr>
                <w:rFonts w:ascii="Times New Roman" w:eastAsia="Times New Roman" w:hAnsi="Times New Roman" w:cs="Times New Roman"/>
                <w:color w:val="000000"/>
                <w:sz w:val="20"/>
                <w:szCs w:val="20"/>
              </w:rPr>
              <w:t>balance</w:t>
            </w:r>
            <w:proofErr w:type="spellEnd"/>
            <w:r w:rsidRPr="00BB27E9">
              <w:rPr>
                <w:rFonts w:ascii="Times New Roman" w:eastAsia="Times New Roman" w:hAnsi="Times New Roman" w:cs="Times New Roman"/>
                <w:color w:val="000000"/>
                <w:sz w:val="20"/>
                <w:szCs w:val="20"/>
              </w:rPr>
              <w:t xml:space="preserve"> </w:t>
            </w:r>
            <w:proofErr w:type="spellStart"/>
            <w:r w:rsidRPr="00BB27E9">
              <w:rPr>
                <w:rFonts w:ascii="Times New Roman" w:eastAsia="Times New Roman" w:hAnsi="Times New Roman" w:cs="Times New Roman"/>
                <w:color w:val="000000"/>
                <w:sz w:val="20"/>
                <w:szCs w:val="20"/>
              </w:rPr>
              <w:t>after</w:t>
            </w:r>
            <w:proofErr w:type="spellEnd"/>
            <w:r w:rsidRPr="00BB27E9">
              <w:rPr>
                <w:rFonts w:ascii="Times New Roman" w:eastAsia="Times New Roman" w:hAnsi="Times New Roman" w:cs="Times New Roman"/>
                <w:color w:val="000000"/>
                <w:sz w:val="20"/>
                <w:szCs w:val="20"/>
              </w:rPr>
              <w:t xml:space="preserve"> </w:t>
            </w:r>
            <w:proofErr w:type="spellStart"/>
            <w:r w:rsidRPr="00BB27E9">
              <w:rPr>
                <w:rFonts w:ascii="Times New Roman" w:eastAsia="Times New Roman" w:hAnsi="Times New Roman" w:cs="Times New Roman"/>
                <w:color w:val="000000"/>
                <w:sz w:val="20"/>
                <w:szCs w:val="20"/>
              </w:rPr>
              <w:t>flexibility</w:t>
            </w:r>
            <w:proofErr w:type="spellEnd"/>
            <w:r w:rsidRPr="00BB27E9">
              <w:rPr>
                <w:rFonts w:ascii="Times New Roman" w:eastAsia="Times New Roman" w:hAnsi="Times New Roman" w:cs="Times New Roman"/>
                <w:color w:val="000000"/>
                <w:sz w:val="20"/>
                <w:szCs w:val="20"/>
              </w:rPr>
              <w:t xml:space="preserve"> (17 - 20 -22)</w:t>
            </w:r>
          </w:p>
        </w:tc>
        <w:tc>
          <w:tcPr>
            <w:tcW w:w="1109" w:type="dxa"/>
            <w:tcBorders>
              <w:top w:val="nil"/>
              <w:left w:val="nil"/>
              <w:bottom w:val="single" w:sz="4" w:space="0" w:color="auto"/>
              <w:right w:val="nil"/>
            </w:tcBorders>
            <w:shd w:val="clear" w:color="000000" w:fill="A9D08E"/>
            <w:noWrap/>
            <w:vAlign w:val="bottom"/>
            <w:hideMark/>
          </w:tcPr>
          <w:p w14:paraId="7BDF5C0A"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 GDP</w:t>
            </w:r>
          </w:p>
        </w:tc>
        <w:tc>
          <w:tcPr>
            <w:tcW w:w="666" w:type="dxa"/>
            <w:tcBorders>
              <w:top w:val="nil"/>
              <w:left w:val="nil"/>
              <w:bottom w:val="single" w:sz="4" w:space="0" w:color="auto"/>
              <w:right w:val="nil"/>
            </w:tcBorders>
            <w:shd w:val="clear" w:color="000000" w:fill="A9D08E"/>
            <w:noWrap/>
            <w:vAlign w:val="bottom"/>
            <w:hideMark/>
          </w:tcPr>
          <w:p w14:paraId="42DAF726"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 </w:t>
            </w:r>
          </w:p>
        </w:tc>
        <w:tc>
          <w:tcPr>
            <w:tcW w:w="666" w:type="dxa"/>
            <w:tcBorders>
              <w:top w:val="nil"/>
              <w:left w:val="nil"/>
              <w:bottom w:val="single" w:sz="4" w:space="0" w:color="auto"/>
              <w:right w:val="nil"/>
            </w:tcBorders>
            <w:shd w:val="clear" w:color="000000" w:fill="A9D08E"/>
            <w:noWrap/>
            <w:vAlign w:val="bottom"/>
            <w:hideMark/>
          </w:tcPr>
          <w:p w14:paraId="65484F09"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sidRPr="00BB27E9">
              <w:rPr>
                <w:rFonts w:ascii="Times New Roman" w:eastAsia="Times New Roman" w:hAnsi="Times New Roman" w:cs="Times New Roman"/>
                <w:color w:val="000000"/>
                <w:sz w:val="20"/>
                <w:szCs w:val="20"/>
              </w:rPr>
              <w:t> </w:t>
            </w:r>
          </w:p>
        </w:tc>
        <w:tc>
          <w:tcPr>
            <w:tcW w:w="666" w:type="dxa"/>
            <w:tcBorders>
              <w:top w:val="nil"/>
              <w:left w:val="nil"/>
              <w:bottom w:val="single" w:sz="4" w:space="0" w:color="auto"/>
              <w:right w:val="nil"/>
            </w:tcBorders>
            <w:shd w:val="clear" w:color="000000" w:fill="A9D08E"/>
            <w:noWrap/>
            <w:vAlign w:val="bottom"/>
            <w:hideMark/>
          </w:tcPr>
          <w:p w14:paraId="220CEB22" w14:textId="77777777" w:rsidR="00D02539" w:rsidRPr="000636F9" w:rsidRDefault="00D02539" w:rsidP="00837640">
            <w:pPr>
              <w:spacing w:after="0" w:line="240" w:lineRule="auto"/>
              <w:jc w:val="center"/>
              <w:rPr>
                <w:rFonts w:ascii="Times New Roman" w:eastAsia="Times New Roman" w:hAnsi="Times New Roman" w:cs="Times New Roman"/>
                <w:color w:val="000000"/>
                <w:sz w:val="20"/>
                <w:szCs w:val="20"/>
                <w:lang w:val="en-US"/>
              </w:rPr>
            </w:pPr>
            <w:r>
              <w:rPr>
                <w:rFonts w:ascii="Times New Roman" w:eastAsia="Times New Roman" w:hAnsi="Times New Roman" w:cs="Times New Roman"/>
                <w:color w:val="000000"/>
                <w:sz w:val="20"/>
                <w:szCs w:val="20"/>
              </w:rPr>
              <w:t>-1,</w:t>
            </w:r>
            <w:r>
              <w:rPr>
                <w:rFonts w:ascii="Times New Roman" w:eastAsia="Times New Roman" w:hAnsi="Times New Roman" w:cs="Times New Roman"/>
                <w:color w:val="000000"/>
                <w:sz w:val="20"/>
                <w:szCs w:val="20"/>
                <w:lang w:val="en-US"/>
              </w:rPr>
              <w:t>6</w:t>
            </w:r>
          </w:p>
        </w:tc>
        <w:tc>
          <w:tcPr>
            <w:tcW w:w="716" w:type="dxa"/>
            <w:tcBorders>
              <w:top w:val="nil"/>
              <w:left w:val="nil"/>
              <w:bottom w:val="single" w:sz="4" w:space="0" w:color="auto"/>
              <w:right w:val="nil"/>
            </w:tcBorders>
            <w:shd w:val="clear" w:color="000000" w:fill="A9D08E"/>
            <w:noWrap/>
            <w:vAlign w:val="bottom"/>
            <w:hideMark/>
          </w:tcPr>
          <w:p w14:paraId="64A5292D" w14:textId="77777777" w:rsidR="00D02539" w:rsidRPr="00BB27E9" w:rsidRDefault="00D02539" w:rsidP="0083764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-0,1</w:t>
            </w:r>
          </w:p>
        </w:tc>
      </w:tr>
      <w:tr w:rsidR="00D02539" w:rsidRPr="00605642" w14:paraId="0DC5D434" w14:textId="77777777" w:rsidTr="00837640">
        <w:trPr>
          <w:trHeight w:val="300"/>
        </w:trPr>
        <w:tc>
          <w:tcPr>
            <w:tcW w:w="5245" w:type="dxa"/>
            <w:gridSpan w:val="5"/>
            <w:tcBorders>
              <w:top w:val="nil"/>
              <w:left w:val="nil"/>
              <w:bottom w:val="nil"/>
              <w:right w:val="nil"/>
            </w:tcBorders>
            <w:shd w:val="clear" w:color="auto" w:fill="auto"/>
            <w:noWrap/>
            <w:vAlign w:val="bottom"/>
            <w:hideMark/>
          </w:tcPr>
          <w:p w14:paraId="6A4097BB" w14:textId="040C82B7" w:rsidR="00D02539" w:rsidRPr="00BB27E9" w:rsidRDefault="00D02539" w:rsidP="00837640">
            <w:pPr>
              <w:tabs>
                <w:tab w:val="left" w:pos="314"/>
              </w:tabs>
              <w:spacing w:after="0" w:line="240" w:lineRule="auto"/>
              <w:rPr>
                <w:rFonts w:ascii="Times New Roman" w:eastAsia="Times New Roman" w:hAnsi="Times New Roman" w:cs="Times New Roman"/>
                <w:i/>
                <w:iCs/>
                <w:color w:val="000000"/>
                <w:sz w:val="20"/>
                <w:szCs w:val="20"/>
                <w:lang w:val="en-US"/>
              </w:rPr>
            </w:pPr>
            <w:r w:rsidRPr="00874F21">
              <w:rPr>
                <w:rFonts w:ascii="Times New Roman" w:eastAsia="Times New Roman" w:hAnsi="Times New Roman" w:cs="Times New Roman"/>
                <w:i/>
                <w:iCs/>
                <w:color w:val="000000"/>
                <w:sz w:val="18"/>
                <w:szCs w:val="20"/>
                <w:lang w:val="en-US"/>
              </w:rPr>
              <w:t>(**) The amount has a lower bound of 0 and an upper bound of 1.5 %</w:t>
            </w:r>
            <w:r w:rsidR="008D0442">
              <w:rPr>
                <w:rFonts w:ascii="Times New Roman" w:eastAsia="Times New Roman" w:hAnsi="Times New Roman" w:cs="Times New Roman"/>
                <w:i/>
                <w:iCs/>
                <w:color w:val="000000"/>
                <w:sz w:val="18"/>
                <w:szCs w:val="20"/>
                <w:lang w:val="en-US"/>
              </w:rPr>
              <w:t xml:space="preserve"> </w:t>
            </w:r>
            <w:r w:rsidRPr="00874F21">
              <w:rPr>
                <w:rFonts w:ascii="Times New Roman" w:eastAsia="Times New Roman" w:hAnsi="Times New Roman" w:cs="Times New Roman"/>
                <w:i/>
                <w:iCs/>
                <w:color w:val="000000"/>
                <w:sz w:val="18"/>
                <w:szCs w:val="20"/>
                <w:lang w:val="en-US"/>
              </w:rPr>
              <w:t>of GDP.</w:t>
            </w:r>
          </w:p>
        </w:tc>
        <w:tc>
          <w:tcPr>
            <w:tcW w:w="1109" w:type="dxa"/>
            <w:tcBorders>
              <w:top w:val="nil"/>
              <w:left w:val="nil"/>
              <w:bottom w:val="nil"/>
              <w:right w:val="nil"/>
            </w:tcBorders>
            <w:shd w:val="clear" w:color="000000" w:fill="FFFFFF"/>
            <w:noWrap/>
            <w:vAlign w:val="center"/>
          </w:tcPr>
          <w:p w14:paraId="4B09CD48" w14:textId="77777777" w:rsidR="00D02539" w:rsidRPr="00874F21" w:rsidRDefault="00D02539" w:rsidP="00837640">
            <w:pPr>
              <w:spacing w:after="0" w:line="240" w:lineRule="auto"/>
              <w:jc w:val="center"/>
              <w:rPr>
                <w:rFonts w:ascii="Times New Roman" w:eastAsia="Times New Roman" w:hAnsi="Times New Roman" w:cs="Times New Roman"/>
                <w:color w:val="000000"/>
                <w:sz w:val="20"/>
                <w:szCs w:val="20"/>
                <w:lang w:val="en-US"/>
              </w:rPr>
            </w:pPr>
          </w:p>
        </w:tc>
        <w:tc>
          <w:tcPr>
            <w:tcW w:w="666" w:type="dxa"/>
            <w:tcBorders>
              <w:top w:val="nil"/>
              <w:left w:val="nil"/>
              <w:bottom w:val="nil"/>
              <w:right w:val="nil"/>
            </w:tcBorders>
            <w:shd w:val="clear" w:color="auto" w:fill="auto"/>
            <w:noWrap/>
            <w:vAlign w:val="bottom"/>
          </w:tcPr>
          <w:p w14:paraId="52150FA8" w14:textId="77777777" w:rsidR="00D02539" w:rsidRPr="00874F21" w:rsidRDefault="00D02539" w:rsidP="00837640">
            <w:pPr>
              <w:spacing w:after="0" w:line="240" w:lineRule="auto"/>
              <w:jc w:val="center"/>
              <w:rPr>
                <w:rFonts w:ascii="Times New Roman" w:eastAsia="Times New Roman" w:hAnsi="Times New Roman" w:cs="Times New Roman"/>
                <w:color w:val="000000"/>
                <w:sz w:val="20"/>
                <w:szCs w:val="20"/>
                <w:lang w:val="en-US"/>
              </w:rPr>
            </w:pPr>
          </w:p>
        </w:tc>
        <w:tc>
          <w:tcPr>
            <w:tcW w:w="666" w:type="dxa"/>
            <w:tcBorders>
              <w:top w:val="nil"/>
              <w:left w:val="nil"/>
              <w:bottom w:val="nil"/>
              <w:right w:val="nil"/>
            </w:tcBorders>
            <w:shd w:val="clear" w:color="auto" w:fill="auto"/>
            <w:noWrap/>
            <w:vAlign w:val="bottom"/>
          </w:tcPr>
          <w:p w14:paraId="0D068B55" w14:textId="77777777" w:rsidR="00D02539" w:rsidRPr="00874F21" w:rsidRDefault="00D02539" w:rsidP="00837640">
            <w:pPr>
              <w:spacing w:after="0" w:line="240" w:lineRule="auto"/>
              <w:rPr>
                <w:rFonts w:ascii="Times New Roman" w:eastAsia="Times New Roman" w:hAnsi="Times New Roman" w:cs="Times New Roman"/>
                <w:sz w:val="20"/>
                <w:szCs w:val="20"/>
                <w:lang w:val="en-US"/>
              </w:rPr>
            </w:pPr>
          </w:p>
        </w:tc>
        <w:tc>
          <w:tcPr>
            <w:tcW w:w="666" w:type="dxa"/>
            <w:tcBorders>
              <w:top w:val="nil"/>
              <w:left w:val="nil"/>
              <w:bottom w:val="nil"/>
              <w:right w:val="nil"/>
            </w:tcBorders>
            <w:shd w:val="clear" w:color="auto" w:fill="auto"/>
            <w:noWrap/>
            <w:vAlign w:val="bottom"/>
          </w:tcPr>
          <w:p w14:paraId="4F1BF38D" w14:textId="77777777" w:rsidR="00D02539" w:rsidRPr="00874F21" w:rsidRDefault="00D02539" w:rsidP="00837640">
            <w:pPr>
              <w:spacing w:after="0" w:line="240" w:lineRule="auto"/>
              <w:jc w:val="right"/>
              <w:rPr>
                <w:rFonts w:ascii="Times New Roman" w:eastAsia="Times New Roman" w:hAnsi="Times New Roman" w:cs="Times New Roman"/>
                <w:color w:val="000000"/>
                <w:sz w:val="20"/>
                <w:szCs w:val="20"/>
                <w:lang w:val="en-US"/>
              </w:rPr>
            </w:pPr>
          </w:p>
        </w:tc>
        <w:tc>
          <w:tcPr>
            <w:tcW w:w="716" w:type="dxa"/>
            <w:tcBorders>
              <w:top w:val="nil"/>
              <w:left w:val="nil"/>
              <w:bottom w:val="nil"/>
              <w:right w:val="nil"/>
            </w:tcBorders>
            <w:shd w:val="clear" w:color="auto" w:fill="auto"/>
            <w:noWrap/>
            <w:vAlign w:val="bottom"/>
          </w:tcPr>
          <w:p w14:paraId="7E5B407C" w14:textId="77777777" w:rsidR="00D02539" w:rsidRPr="00874F21" w:rsidRDefault="00D02539" w:rsidP="00837640">
            <w:pPr>
              <w:spacing w:after="0" w:line="240" w:lineRule="auto"/>
              <w:jc w:val="right"/>
              <w:rPr>
                <w:rFonts w:ascii="Times New Roman" w:eastAsia="Times New Roman" w:hAnsi="Times New Roman" w:cs="Times New Roman"/>
                <w:color w:val="000000"/>
                <w:sz w:val="20"/>
                <w:szCs w:val="20"/>
                <w:lang w:val="en-US"/>
              </w:rPr>
            </w:pPr>
          </w:p>
        </w:tc>
      </w:tr>
    </w:tbl>
    <w:p w14:paraId="796A8BCE" w14:textId="77777777" w:rsidR="00D02539" w:rsidRDefault="00D02539" w:rsidP="00D02539">
      <w:pPr>
        <w:spacing w:after="0"/>
        <w:rPr>
          <w:rFonts w:ascii="Times New Roman" w:eastAsia="Times New Roman" w:hAnsi="Times New Roman" w:cs="Times New Roman"/>
          <w:color w:val="000000"/>
          <w:sz w:val="18"/>
          <w:szCs w:val="18"/>
          <w:lang w:val="en-US"/>
        </w:rPr>
      </w:pPr>
      <w:r>
        <w:rPr>
          <w:rFonts w:ascii="Times New Roman" w:eastAsia="Times New Roman" w:hAnsi="Times New Roman" w:cs="Times New Roman"/>
          <w:color w:val="000000"/>
          <w:sz w:val="18"/>
          <w:szCs w:val="18"/>
          <w:lang w:val="en-US"/>
        </w:rPr>
        <w:t xml:space="preserve">Source: </w:t>
      </w:r>
      <w:proofErr w:type="spellStart"/>
      <w:r>
        <w:rPr>
          <w:rFonts w:ascii="Times New Roman" w:eastAsia="Times New Roman" w:hAnsi="Times New Roman" w:cs="Times New Roman"/>
          <w:color w:val="000000"/>
          <w:sz w:val="18"/>
          <w:szCs w:val="18"/>
          <w:lang w:val="en-US"/>
        </w:rPr>
        <w:t>MinFin</w:t>
      </w:r>
      <w:proofErr w:type="spellEnd"/>
      <w:r>
        <w:rPr>
          <w:rFonts w:ascii="Times New Roman" w:eastAsia="Times New Roman" w:hAnsi="Times New Roman" w:cs="Times New Roman"/>
          <w:color w:val="000000"/>
          <w:sz w:val="18"/>
          <w:szCs w:val="18"/>
          <w:lang w:val="en-US"/>
        </w:rPr>
        <w:t xml:space="preserve"> (April 202</w:t>
      </w:r>
      <w:r w:rsidRPr="00891B21">
        <w:rPr>
          <w:rFonts w:ascii="Times New Roman" w:eastAsia="Times New Roman" w:hAnsi="Times New Roman" w:cs="Times New Roman"/>
          <w:color w:val="000000"/>
          <w:sz w:val="18"/>
          <w:szCs w:val="18"/>
          <w:lang w:val="en-US"/>
        </w:rPr>
        <w:t>6</w:t>
      </w:r>
      <w:r w:rsidRPr="00C44FC3">
        <w:rPr>
          <w:rFonts w:ascii="Times New Roman" w:eastAsia="Times New Roman" w:hAnsi="Times New Roman" w:cs="Times New Roman"/>
          <w:color w:val="000000"/>
          <w:sz w:val="18"/>
          <w:szCs w:val="18"/>
          <w:lang w:val="en-US"/>
        </w:rPr>
        <w:t xml:space="preserve">), </w:t>
      </w:r>
      <w:r>
        <w:rPr>
          <w:rFonts w:ascii="Times New Roman" w:eastAsia="Times New Roman" w:hAnsi="Times New Roman" w:cs="Times New Roman"/>
          <w:color w:val="000000"/>
          <w:sz w:val="18"/>
          <w:szCs w:val="18"/>
          <w:lang w:val="en-US"/>
        </w:rPr>
        <w:t xml:space="preserve">ELSTAT, </w:t>
      </w:r>
      <w:r w:rsidRPr="00C44FC3">
        <w:rPr>
          <w:rFonts w:ascii="Times New Roman" w:eastAsia="Times New Roman" w:hAnsi="Times New Roman" w:cs="Times New Roman"/>
          <w:color w:val="000000"/>
          <w:sz w:val="18"/>
          <w:szCs w:val="18"/>
          <w:lang w:val="en-US"/>
        </w:rPr>
        <w:t>HFISC data processing.</w:t>
      </w:r>
    </w:p>
    <w:p w14:paraId="07825187" w14:textId="77777777" w:rsidR="00D02539" w:rsidRPr="006949B9" w:rsidRDefault="00D02539" w:rsidP="00D02539">
      <w:pPr>
        <w:rPr>
          <w:rFonts w:ascii="Times New Roman" w:eastAsia="Times New Roman" w:hAnsi="Times New Roman" w:cs="Times New Roman"/>
          <w:color w:val="000000"/>
          <w:sz w:val="18"/>
          <w:szCs w:val="18"/>
          <w:lang w:val="en-US"/>
        </w:rPr>
      </w:pPr>
      <w:r w:rsidRPr="00AF26C0">
        <w:rPr>
          <w:rFonts w:ascii="Times New Roman" w:eastAsia="Times New Roman" w:hAnsi="Times New Roman" w:cs="Times New Roman"/>
          <w:color w:val="000000"/>
          <w:sz w:val="18"/>
          <w:szCs w:val="18"/>
          <w:lang w:val="en-US"/>
        </w:rPr>
        <w:t>*</w:t>
      </w:r>
      <w:r w:rsidRPr="00E850BE">
        <w:rPr>
          <w:rFonts w:ascii="Times New Roman" w:eastAsia="Times New Roman" w:hAnsi="Times New Roman" w:cs="Times New Roman"/>
          <w:color w:val="000000"/>
          <w:sz w:val="18"/>
          <w:szCs w:val="18"/>
          <w:lang w:val="en-US"/>
        </w:rPr>
        <w:t xml:space="preserve"> </w:t>
      </w:r>
      <w:r>
        <w:rPr>
          <w:rFonts w:ascii="Times New Roman" w:eastAsia="Times New Roman" w:hAnsi="Times New Roman" w:cs="Times New Roman"/>
          <w:color w:val="000000"/>
          <w:sz w:val="18"/>
          <w:szCs w:val="18"/>
          <w:lang w:val="en-US"/>
        </w:rPr>
        <w:t xml:space="preserve">Given that </w:t>
      </w:r>
      <w:r w:rsidRPr="00AF26C0">
        <w:rPr>
          <w:rFonts w:ascii="Times New Roman" w:eastAsia="Times New Roman" w:hAnsi="Times New Roman" w:cs="Times New Roman"/>
          <w:color w:val="000000"/>
          <w:sz w:val="18"/>
          <w:szCs w:val="18"/>
          <w:lang w:val="en-US"/>
        </w:rPr>
        <w:t xml:space="preserve">the control account can only be calculated on the basis </w:t>
      </w:r>
      <w:r>
        <w:rPr>
          <w:rFonts w:ascii="Times New Roman" w:eastAsia="Times New Roman" w:hAnsi="Times New Roman" w:cs="Times New Roman"/>
          <w:color w:val="000000"/>
          <w:sz w:val="18"/>
          <w:szCs w:val="18"/>
          <w:lang w:val="en-US"/>
        </w:rPr>
        <w:t>of outturn data, here is just an estimation.</w:t>
      </w:r>
      <w:r w:rsidRPr="00AF26C0">
        <w:rPr>
          <w:rFonts w:ascii="Times New Roman" w:eastAsia="Times New Roman" w:hAnsi="Times New Roman" w:cs="Times New Roman"/>
          <w:color w:val="000000"/>
          <w:sz w:val="18"/>
          <w:szCs w:val="18"/>
          <w:lang w:val="en-US"/>
        </w:rPr>
        <w:t xml:space="preserve">  </w:t>
      </w:r>
    </w:p>
    <w:p w14:paraId="2D7E6CE7" w14:textId="77777777" w:rsidR="00D02539" w:rsidRPr="00E850BE" w:rsidRDefault="00D02539" w:rsidP="00D02539">
      <w:pPr>
        <w:spacing w:after="160" w:line="259" w:lineRule="auto"/>
        <w:rPr>
          <w:rFonts w:ascii="Times New Roman" w:eastAsiaTheme="minorHAnsi" w:hAnsi="Times New Roman" w:cs="Times New Roman"/>
          <w:lang w:val="en-US"/>
        </w:rPr>
      </w:pPr>
      <w:r w:rsidRPr="00E850BE">
        <w:rPr>
          <w:rFonts w:ascii="Times New Roman" w:eastAsiaTheme="minorHAnsi" w:hAnsi="Times New Roman" w:cs="Times New Roman"/>
          <w:b/>
          <w:lang w:val="en-US"/>
        </w:rPr>
        <w:t>Debt</w:t>
      </w:r>
    </w:p>
    <w:p w14:paraId="6624B0FC" w14:textId="77777777" w:rsidR="00D02539" w:rsidRDefault="00D02539" w:rsidP="00D02539">
      <w:pPr>
        <w:spacing w:after="160"/>
        <w:rPr>
          <w:rFonts w:ascii="Times New Roman" w:eastAsiaTheme="minorHAnsi" w:hAnsi="Times New Roman" w:cs="Times New Roman"/>
          <w:lang w:val="en-US"/>
        </w:rPr>
      </w:pPr>
      <w:r>
        <w:rPr>
          <w:rFonts w:ascii="Times New Roman" w:eastAsiaTheme="minorHAnsi" w:hAnsi="Times New Roman" w:cs="Times New Roman"/>
          <w:lang w:val="en-US"/>
        </w:rPr>
        <w:t>According to ELSTAT’s latest announcements, t</w:t>
      </w:r>
      <w:r w:rsidRPr="00E850BE">
        <w:rPr>
          <w:rFonts w:ascii="Times New Roman" w:eastAsiaTheme="minorHAnsi" w:hAnsi="Times New Roman" w:cs="Times New Roman"/>
          <w:lang w:val="en-US"/>
        </w:rPr>
        <w:t>he general government debt-to-GDP ratio is estimated at 146.1% in 2025, reflecting a notable decline of</w:t>
      </w:r>
      <w:r w:rsidRPr="00A72EE9">
        <w:rPr>
          <w:rFonts w:ascii="Times New Roman" w:eastAsiaTheme="minorHAnsi" w:hAnsi="Times New Roman" w:cs="Times New Roman"/>
          <w:lang w:val="en-US"/>
        </w:rPr>
        <w:t xml:space="preserve"> </w:t>
      </w:r>
      <w:r>
        <w:rPr>
          <w:rFonts w:ascii="Times New Roman" w:eastAsiaTheme="minorHAnsi" w:hAnsi="Times New Roman" w:cs="Times New Roman"/>
          <w:lang w:val="en-US"/>
        </w:rPr>
        <w:t xml:space="preserve">about </w:t>
      </w:r>
      <w:r w:rsidRPr="00E850BE">
        <w:rPr>
          <w:rFonts w:ascii="Times New Roman" w:eastAsiaTheme="minorHAnsi" w:hAnsi="Times New Roman" w:cs="Times New Roman"/>
          <w:lang w:val="en-US"/>
        </w:rPr>
        <w:t>8 percentage points relative to 2024 (see Figure 1)</w:t>
      </w:r>
      <w:r>
        <w:rPr>
          <w:rFonts w:ascii="Times New Roman" w:eastAsiaTheme="minorHAnsi" w:hAnsi="Times New Roman" w:cs="Times New Roman"/>
          <w:lang w:val="en-US"/>
        </w:rPr>
        <w:t xml:space="preserve">. Projections from </w:t>
      </w:r>
      <w:proofErr w:type="spellStart"/>
      <w:r>
        <w:rPr>
          <w:rFonts w:ascii="Times New Roman" w:eastAsiaTheme="minorHAnsi" w:hAnsi="Times New Roman" w:cs="Times New Roman"/>
          <w:lang w:val="en-US"/>
        </w:rPr>
        <w:t>MinFin</w:t>
      </w:r>
      <w:proofErr w:type="spellEnd"/>
      <w:r>
        <w:rPr>
          <w:rFonts w:ascii="Times New Roman" w:eastAsiaTheme="minorHAnsi" w:hAnsi="Times New Roman" w:cs="Times New Roman"/>
          <w:lang w:val="en-US"/>
        </w:rPr>
        <w:t xml:space="preserve"> (APR</w:t>
      </w:r>
      <w:r w:rsidRPr="00F770DA">
        <w:rPr>
          <w:rFonts w:ascii="Times New Roman" w:eastAsiaTheme="minorHAnsi" w:hAnsi="Times New Roman" w:cs="Times New Roman"/>
          <w:lang w:val="en-US"/>
        </w:rPr>
        <w:t xml:space="preserve"> 2026)</w:t>
      </w:r>
      <w:r>
        <w:rPr>
          <w:rFonts w:ascii="Times New Roman" w:eastAsiaTheme="minorHAnsi" w:hAnsi="Times New Roman" w:cs="Times New Roman"/>
          <w:lang w:val="en-US"/>
        </w:rPr>
        <w:t xml:space="preserve"> indicate that t</w:t>
      </w:r>
      <w:r w:rsidRPr="00E850BE">
        <w:rPr>
          <w:rFonts w:ascii="Times New Roman" w:eastAsiaTheme="minorHAnsi" w:hAnsi="Times New Roman" w:cs="Times New Roman"/>
          <w:lang w:val="en-US"/>
        </w:rPr>
        <w:t xml:space="preserve">his rapid consolidation </w:t>
      </w:r>
      <w:r>
        <w:rPr>
          <w:rFonts w:ascii="Times New Roman" w:eastAsiaTheme="minorHAnsi" w:hAnsi="Times New Roman" w:cs="Times New Roman"/>
          <w:lang w:val="en-US"/>
        </w:rPr>
        <w:t>will</w:t>
      </w:r>
      <w:r w:rsidRPr="00E850BE">
        <w:rPr>
          <w:rFonts w:ascii="Times New Roman" w:eastAsiaTheme="minorHAnsi" w:hAnsi="Times New Roman" w:cs="Times New Roman"/>
          <w:lang w:val="en-US"/>
        </w:rPr>
        <w:t xml:space="preserve"> continue into 2026, with the ratio expected to fall further to 136.8% of GDP, implying an additional reduction of 9.3 percentage points. </w:t>
      </w:r>
      <w:r>
        <w:rPr>
          <w:rFonts w:ascii="Times New Roman" w:eastAsiaTheme="minorHAnsi" w:hAnsi="Times New Roman" w:cs="Times New Roman"/>
          <w:lang w:val="en-US"/>
        </w:rPr>
        <w:t>T</w:t>
      </w:r>
      <w:r w:rsidRPr="00E850BE">
        <w:rPr>
          <w:rFonts w:ascii="Times New Roman" w:eastAsiaTheme="minorHAnsi" w:hAnsi="Times New Roman" w:cs="Times New Roman"/>
          <w:lang w:val="en-US"/>
        </w:rPr>
        <w:t xml:space="preserve">he </w:t>
      </w:r>
      <w:r>
        <w:rPr>
          <w:rFonts w:ascii="Times New Roman" w:eastAsiaTheme="minorHAnsi" w:hAnsi="Times New Roman" w:cs="Times New Roman"/>
          <w:lang w:val="en-US"/>
        </w:rPr>
        <w:t>projected</w:t>
      </w:r>
      <w:r w:rsidRPr="00E850BE">
        <w:rPr>
          <w:rFonts w:ascii="Times New Roman" w:eastAsiaTheme="minorHAnsi" w:hAnsi="Times New Roman" w:cs="Times New Roman"/>
          <w:lang w:val="en-US"/>
        </w:rPr>
        <w:t xml:space="preserve"> downward trajectory</w:t>
      </w:r>
      <w:r>
        <w:rPr>
          <w:rFonts w:ascii="Times New Roman" w:eastAsiaTheme="minorHAnsi" w:hAnsi="Times New Roman" w:cs="Times New Roman"/>
          <w:lang w:val="en-US"/>
        </w:rPr>
        <w:t xml:space="preserve"> </w:t>
      </w:r>
      <w:r w:rsidRPr="00E850BE">
        <w:rPr>
          <w:rFonts w:ascii="Times New Roman" w:eastAsiaTheme="minorHAnsi" w:hAnsi="Times New Roman" w:cs="Times New Roman"/>
          <w:lang w:val="en-US"/>
        </w:rPr>
        <w:t>tracks comfortably below the critical upper limits for long-term debt sustainability defined in medium-term (MTP 2025-2028) forecasts. Operating safely beneath this strict sustainability ceiling underscores the effectiveness of recent fiscal adjustments and provides the country with significant structural headroom.</w:t>
      </w:r>
    </w:p>
    <w:p w14:paraId="28A68FEF" w14:textId="77777777" w:rsidR="00D02539" w:rsidRPr="00E850BE" w:rsidRDefault="00D02539" w:rsidP="00D02539">
      <w:pPr>
        <w:spacing w:after="160"/>
        <w:rPr>
          <w:rFonts w:ascii="Times New Roman" w:eastAsiaTheme="minorHAnsi" w:hAnsi="Times New Roman" w:cs="Times New Roman"/>
          <w:lang w:val="en-US"/>
        </w:rPr>
      </w:pPr>
      <w:r w:rsidRPr="003526B9">
        <w:rPr>
          <w:rFonts w:ascii="Times New Roman" w:eastAsiaTheme="minorHAnsi" w:hAnsi="Times New Roman" w:cs="Times New Roman"/>
          <w:lang w:val="en-US"/>
        </w:rPr>
        <w:lastRenderedPageBreak/>
        <w:t xml:space="preserve">This accelerated debt consolidation trajectory is primarily driven by robust nominal GDP growth and the marked improvement in the primary fiscal balance. A decomposition of the debt dynamics reveals </w:t>
      </w:r>
      <w:r w:rsidRPr="008A1E12">
        <w:rPr>
          <w:rFonts w:ascii="Times New Roman" w:eastAsiaTheme="minorHAnsi" w:hAnsi="Times New Roman" w:cs="Times New Roman"/>
          <w:lang w:val="en-US"/>
        </w:rPr>
        <w:t xml:space="preserve">that over 2024-2025, primary surpluses contributed roughly 5 percentage points annually to the decline in the debt ratio, with a somewhat smaller contribution projected for 2026. The snowball effect exerted a strong favorable impact, though moderating after 2024, as the debt-reducing effects of inflation and real growth outweighed the upward pressure from interest rates. </w:t>
      </w:r>
      <w:r w:rsidRPr="008A1E12">
        <w:rPr>
          <w:rFonts w:ascii="Times New Roman" w:eastAsiaTheme="minorHAnsi" w:hAnsi="Times New Roman" w:cs="Times New Roman"/>
          <w:bCs/>
          <w:lang w:val="en-US"/>
        </w:rPr>
        <w:t>In turn, this</w:t>
      </w:r>
      <w:r w:rsidRPr="008A1E12">
        <w:rPr>
          <w:rFonts w:ascii="Times New Roman" w:eastAsiaTheme="minorHAnsi" w:hAnsi="Times New Roman" w:cs="Times New Roman"/>
          <w:lang w:val="en-US"/>
        </w:rPr>
        <w:t xml:space="preserve"> disciplined performance and adherence to safe debt trajectories have directly bolstered the country's</w:t>
      </w:r>
      <w:r w:rsidRPr="003526B9">
        <w:rPr>
          <w:rFonts w:ascii="Times New Roman" w:eastAsiaTheme="minorHAnsi" w:hAnsi="Times New Roman" w:cs="Times New Roman"/>
          <w:lang w:val="en-US"/>
        </w:rPr>
        <w:t xml:space="preserve"> sovereign creditworthiness, driving successive upgrades by international rating agencies and cementing its investment-grade status. These positive rating actions reflect strong market confidence in Greece's economic resilience and translate into more favorable borrowing conditions. Notwithstanding these achievements and the comfortable margin below sustainability limits, it remains essential to uphold a highly prudent fiscal stance, as the still-elevated absolute level of debt necessitates continued vigilance, particularly within the current context of heightened global uncertainty.</w:t>
      </w:r>
    </w:p>
    <w:p w14:paraId="18EC9C3E" w14:textId="77777777" w:rsidR="00D02539" w:rsidRPr="00E850BE" w:rsidRDefault="00D02539" w:rsidP="00D02539">
      <w:pPr>
        <w:spacing w:after="160"/>
        <w:rPr>
          <w:rFonts w:ascii="Times New Roman" w:eastAsiaTheme="minorHAnsi" w:hAnsi="Times New Roman" w:cs="Times New Roman"/>
          <w:sz w:val="20"/>
          <w:lang w:val="en-US"/>
        </w:rPr>
      </w:pPr>
      <w:r w:rsidRPr="00E850BE">
        <w:rPr>
          <w:rFonts w:ascii="Times New Roman" w:eastAsiaTheme="minorHAnsi" w:hAnsi="Times New Roman" w:cs="Times New Roman"/>
          <w:sz w:val="20"/>
          <w:lang w:val="en-US"/>
        </w:rPr>
        <w:t>Figure 1: Debt of General Government</w:t>
      </w:r>
    </w:p>
    <w:p w14:paraId="4832B6E3" w14:textId="77777777" w:rsidR="00D02539" w:rsidRPr="00E850BE" w:rsidRDefault="00D02539" w:rsidP="00D02539">
      <w:pPr>
        <w:spacing w:after="160"/>
        <w:jc w:val="center"/>
        <w:rPr>
          <w:rFonts w:ascii="Times New Roman" w:eastAsiaTheme="minorHAnsi" w:hAnsi="Times New Roman" w:cs="Times New Roman"/>
          <w:lang w:val="en-US"/>
        </w:rPr>
      </w:pPr>
      <w:r>
        <w:rPr>
          <w:noProof/>
        </w:rPr>
        <w:drawing>
          <wp:inline distT="0" distB="0" distL="0" distR="0" wp14:anchorId="78C19829" wp14:editId="35F744E6">
            <wp:extent cx="4639945" cy="3316406"/>
            <wp:effectExtent l="0" t="0" r="8255" b="0"/>
            <wp:docPr id="12" name="Γράφημα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C9EFD6D" w14:textId="77777777" w:rsidR="00D02539" w:rsidRPr="00E850BE" w:rsidRDefault="00D02539" w:rsidP="00D02539">
      <w:pPr>
        <w:spacing w:after="160"/>
        <w:rPr>
          <w:rFonts w:ascii="Times New Roman" w:eastAsiaTheme="minorHAnsi" w:hAnsi="Times New Roman" w:cs="Times New Roman"/>
          <w:lang w:val="en-US"/>
        </w:rPr>
      </w:pPr>
      <w:r w:rsidRPr="00E850BE">
        <w:rPr>
          <w:rFonts w:ascii="Times New Roman" w:eastAsiaTheme="minorHAnsi" w:hAnsi="Times New Roman" w:cs="Times New Roman"/>
          <w:sz w:val="18"/>
          <w:lang w:val="en-US"/>
        </w:rPr>
        <w:t xml:space="preserve">Source: </w:t>
      </w:r>
      <w:proofErr w:type="spellStart"/>
      <w:r w:rsidRPr="00E850BE">
        <w:rPr>
          <w:rFonts w:ascii="Times New Roman" w:eastAsiaTheme="minorHAnsi" w:hAnsi="Times New Roman" w:cs="Times New Roman"/>
          <w:sz w:val="18"/>
          <w:lang w:val="en-US"/>
        </w:rPr>
        <w:t>MinFin</w:t>
      </w:r>
      <w:proofErr w:type="spellEnd"/>
      <w:r w:rsidRPr="00E850BE">
        <w:rPr>
          <w:rFonts w:ascii="Times New Roman" w:eastAsiaTheme="minorHAnsi" w:hAnsi="Times New Roman" w:cs="Times New Roman"/>
          <w:sz w:val="18"/>
          <w:lang w:val="en-US"/>
        </w:rPr>
        <w:t xml:space="preserve"> (April 2026), ELSTAT, HFISC </w:t>
      </w:r>
      <w:r w:rsidRPr="00E850BE">
        <w:rPr>
          <w:rFonts w:ascii="Times New Roman" w:eastAsiaTheme="minorHAnsi" w:hAnsi="Times New Roman" w:cs="Times New Roman"/>
          <w:sz w:val="18"/>
          <w:szCs w:val="18"/>
          <w:lang w:val="en-US"/>
        </w:rPr>
        <w:t>data processing.</w:t>
      </w:r>
    </w:p>
    <w:p w14:paraId="5A6D2C11" w14:textId="77777777" w:rsidR="00D02539" w:rsidRDefault="00D02539" w:rsidP="00D02539">
      <w:pPr>
        <w:rPr>
          <w:rFonts w:ascii="Times New Roman" w:hAnsi="Times New Roman" w:cs="Times New Roman"/>
          <w:b/>
          <w:lang w:val="en-US"/>
        </w:rPr>
      </w:pPr>
    </w:p>
    <w:p w14:paraId="2940707A" w14:textId="77777777" w:rsidR="00D02539" w:rsidRPr="00D23891" w:rsidRDefault="00D02539" w:rsidP="00D02539">
      <w:pPr>
        <w:rPr>
          <w:rFonts w:ascii="Times New Roman" w:hAnsi="Times New Roman" w:cs="Times New Roman"/>
          <w:b/>
          <w:lang w:val="en-US"/>
        </w:rPr>
      </w:pPr>
      <w:r w:rsidRPr="00D23891">
        <w:rPr>
          <w:rFonts w:ascii="Times New Roman" w:hAnsi="Times New Roman" w:cs="Times New Roman"/>
          <w:b/>
          <w:lang w:val="en-US"/>
        </w:rPr>
        <w:t>Upside-downside risks</w:t>
      </w:r>
    </w:p>
    <w:p w14:paraId="2827CC2B" w14:textId="1BEC0AC3" w:rsidR="00D02539" w:rsidRPr="00C749B1" w:rsidRDefault="00D02539" w:rsidP="00D02539">
      <w:pPr>
        <w:rPr>
          <w:rFonts w:ascii="Times New Roman" w:hAnsi="Times New Roman" w:cs="Times New Roman"/>
          <w:lang w:val="en-US"/>
        </w:rPr>
      </w:pPr>
      <w:r w:rsidRPr="00C749B1">
        <w:rPr>
          <w:rFonts w:ascii="Times New Roman" w:hAnsi="Times New Roman" w:cs="Times New Roman"/>
          <w:bCs/>
          <w:lang w:val="en-US"/>
        </w:rPr>
        <w:t>On the positive side,</w:t>
      </w:r>
      <w:r w:rsidRPr="00C749B1">
        <w:rPr>
          <w:rFonts w:ascii="Times New Roman" w:hAnsi="Times New Roman" w:cs="Times New Roman"/>
          <w:lang w:val="en-US"/>
        </w:rPr>
        <w:t xml:space="preserve"> the absorption of resources from the National Recovery and Resilience Plan (NRRP) </w:t>
      </w:r>
      <w:r w:rsidRPr="00C749B1">
        <w:rPr>
          <w:rFonts w:ascii="Times New Roman" w:hAnsi="Times New Roman" w:cs="Times New Roman"/>
          <w:bCs/>
          <w:lang w:val="en-US"/>
        </w:rPr>
        <w:t>continues to support public and private investment and hence sustainable economic growth. Also,</w:t>
      </w:r>
      <w:r w:rsidRPr="00C749B1">
        <w:rPr>
          <w:rFonts w:ascii="Times New Roman" w:hAnsi="Times New Roman" w:cs="Times New Roman"/>
          <w:lang w:val="en-US"/>
        </w:rPr>
        <w:t xml:space="preserve"> the stronger-th</w:t>
      </w:r>
      <w:r>
        <w:rPr>
          <w:rFonts w:ascii="Times New Roman" w:hAnsi="Times New Roman" w:cs="Times New Roman"/>
          <w:lang w:val="en-US"/>
        </w:rPr>
        <w:t xml:space="preserve">an-expected primary surplus of 4.9% </w:t>
      </w:r>
      <w:r w:rsidRPr="00C749B1">
        <w:rPr>
          <w:rFonts w:ascii="Times New Roman" w:hAnsi="Times New Roman" w:cs="Times New Roman"/>
          <w:lang w:val="en-US"/>
        </w:rPr>
        <w:t xml:space="preserve">of GDP in 2025 (against a target </w:t>
      </w:r>
      <w:r>
        <w:rPr>
          <w:rFonts w:ascii="Times New Roman" w:hAnsi="Times New Roman" w:cs="Times New Roman"/>
          <w:lang w:val="en-US"/>
        </w:rPr>
        <w:t xml:space="preserve">of  3.7% in the State </w:t>
      </w:r>
      <w:r w:rsidR="008D0442">
        <w:rPr>
          <w:rFonts w:ascii="Times New Roman" w:hAnsi="Times New Roman" w:cs="Times New Roman"/>
          <w:lang w:val="en-US"/>
        </w:rPr>
        <w:t>Budget</w:t>
      </w:r>
      <w:r>
        <w:rPr>
          <w:rFonts w:ascii="Times New Roman" w:hAnsi="Times New Roman" w:cs="Times New Roman"/>
          <w:lang w:val="en-US"/>
        </w:rPr>
        <w:t xml:space="preserve"> 2026</w:t>
      </w:r>
      <w:r w:rsidRPr="00C749B1">
        <w:rPr>
          <w:rFonts w:ascii="Times New Roman" w:hAnsi="Times New Roman" w:cs="Times New Roman"/>
          <w:lang w:val="en-US"/>
        </w:rPr>
        <w:t>)</w:t>
      </w:r>
      <w:r>
        <w:rPr>
          <w:rFonts w:ascii="Times New Roman" w:hAnsi="Times New Roman" w:cs="Times New Roman"/>
          <w:lang w:val="en-US"/>
        </w:rPr>
        <w:t xml:space="preserve"> </w:t>
      </w:r>
      <w:r w:rsidRPr="00C749B1">
        <w:rPr>
          <w:rFonts w:ascii="Times New Roman" w:hAnsi="Times New Roman" w:cs="Times New Roman"/>
          <w:lang w:val="en-US"/>
        </w:rPr>
        <w:t xml:space="preserve"> reveals a strong fiscal performance, which is anticipated to persist in the medium term to safeguard the downward debt trajectory. Structural reforms, particularly those targeting tax and institutional efficiency, along with recent sovereign credit rating upgrades, are expected to further support growth and thereby contribute to significant debt reductions.</w:t>
      </w:r>
    </w:p>
    <w:p w14:paraId="19D04AEA" w14:textId="54ED6E27" w:rsidR="00D02539" w:rsidRPr="00C749B1" w:rsidRDefault="00D02539" w:rsidP="00D02539">
      <w:pPr>
        <w:rPr>
          <w:rFonts w:ascii="Times New Roman" w:hAnsi="Times New Roman" w:cs="Times New Roman"/>
          <w:lang w:val="en-US"/>
        </w:rPr>
      </w:pPr>
      <w:r w:rsidRPr="00C749B1">
        <w:rPr>
          <w:rFonts w:ascii="Times New Roman" w:hAnsi="Times New Roman" w:cs="Times New Roman"/>
          <w:bCs/>
          <w:lang w:val="en-US"/>
        </w:rPr>
        <w:lastRenderedPageBreak/>
        <w:t>On the negative side</w:t>
      </w:r>
      <w:r w:rsidRPr="00C749B1">
        <w:rPr>
          <w:rFonts w:ascii="Times New Roman" w:hAnsi="Times New Roman" w:cs="Times New Roman"/>
          <w:lang w:val="en-US"/>
        </w:rPr>
        <w:t xml:space="preserve">, the global economy is going through a period of significant change. In addition to trade policy uncertainty, increasing and severe geopolitical tensions from Ukraine to Middle East raise a number of challenges, both at economic and national security level. At economic level, the geopolitical oil price shocks hurt economic activity and increase the cost of living. At national security level, there is need for more public defense spending, always in coordination with our EU partners. Such </w:t>
      </w:r>
      <w:r w:rsidR="008D0442" w:rsidRPr="00C749B1">
        <w:rPr>
          <w:rFonts w:ascii="Times New Roman" w:hAnsi="Times New Roman" w:cs="Times New Roman"/>
          <w:lang w:val="en-US"/>
        </w:rPr>
        <w:t>developments</w:t>
      </w:r>
      <w:r w:rsidRPr="00C749B1">
        <w:rPr>
          <w:rFonts w:ascii="Times New Roman" w:hAnsi="Times New Roman" w:cs="Times New Roman"/>
          <w:lang w:val="en-US"/>
        </w:rPr>
        <w:t xml:space="preserve"> pose increasing fiscal challenges due to unexpected spending needs, potentially straining the fiscal framework. Structural impediments such as labor market inefficiencies, low productivity growth, and demographic headwinds, especially population ageing, could </w:t>
      </w:r>
      <w:r w:rsidR="00762924" w:rsidRPr="00C749B1">
        <w:rPr>
          <w:rFonts w:ascii="Times New Roman" w:hAnsi="Times New Roman" w:cs="Times New Roman"/>
          <w:bCs/>
          <w:lang w:val="en-US"/>
        </w:rPr>
        <w:t>further</w:t>
      </w:r>
      <w:r w:rsidRPr="00C749B1">
        <w:rPr>
          <w:rFonts w:ascii="Times New Roman" w:hAnsi="Times New Roman" w:cs="Times New Roman"/>
          <w:lang w:val="en-US"/>
        </w:rPr>
        <w:t xml:space="preserve"> weigh on medium-to long-term growth and </w:t>
      </w:r>
      <w:r w:rsidRPr="00C749B1">
        <w:rPr>
          <w:rFonts w:ascii="Times New Roman" w:hAnsi="Times New Roman" w:cs="Times New Roman"/>
          <w:bCs/>
          <w:lang w:val="en-US"/>
        </w:rPr>
        <w:t>public finances</w:t>
      </w:r>
      <w:r w:rsidRPr="00C749B1">
        <w:rPr>
          <w:rFonts w:ascii="Times New Roman" w:hAnsi="Times New Roman" w:cs="Times New Roman"/>
          <w:lang w:val="en-US"/>
        </w:rPr>
        <w:t xml:space="preserve">.  </w:t>
      </w:r>
    </w:p>
    <w:p w14:paraId="66D6BCCF" w14:textId="77777777" w:rsidR="00D02539" w:rsidRPr="00C749B1" w:rsidRDefault="00D02539" w:rsidP="00D02539">
      <w:pPr>
        <w:rPr>
          <w:rFonts w:ascii="Times New Roman" w:hAnsi="Times New Roman" w:cs="Times New Roman"/>
          <w:lang w:val="en-US"/>
        </w:rPr>
      </w:pPr>
      <w:r w:rsidRPr="00C749B1">
        <w:rPr>
          <w:rFonts w:ascii="Times New Roman" w:hAnsi="Times New Roman" w:cs="Times New Roman"/>
          <w:lang w:val="en-US"/>
        </w:rPr>
        <w:t xml:space="preserve">Greece’s high public </w:t>
      </w:r>
      <w:r w:rsidRPr="00C749B1">
        <w:rPr>
          <w:rFonts w:ascii="Times New Roman" w:hAnsi="Times New Roman" w:cs="Times New Roman"/>
          <w:bCs/>
          <w:lang w:val="en-US"/>
        </w:rPr>
        <w:t>debt and debt repayment obligations require</w:t>
      </w:r>
      <w:r w:rsidRPr="00C749B1">
        <w:rPr>
          <w:rFonts w:ascii="Times New Roman" w:hAnsi="Times New Roman" w:cs="Times New Roman"/>
          <w:lang w:val="en-US"/>
        </w:rPr>
        <w:t xml:space="preserve"> fiscal prudence. Maintaining fiscal discipline is essential to ensure economic stability and reinforce confidence in the country's economic management. Simultaneously, advancing structural reforms in public administration, </w:t>
      </w:r>
      <w:r w:rsidRPr="00C749B1">
        <w:rPr>
          <w:rFonts w:ascii="Times New Roman" w:hAnsi="Times New Roman" w:cs="Times New Roman"/>
          <w:bCs/>
          <w:lang w:val="en-US"/>
        </w:rPr>
        <w:t>product and labor markets,</w:t>
      </w:r>
      <w:r w:rsidRPr="00C749B1">
        <w:rPr>
          <w:rFonts w:ascii="Times New Roman" w:hAnsi="Times New Roman" w:cs="Times New Roman"/>
          <w:lang w:val="en-US"/>
        </w:rPr>
        <w:t xml:space="preserve"> and the energy sector, will enhance productivity and promote sustainable </w:t>
      </w:r>
      <w:r w:rsidRPr="00C749B1">
        <w:rPr>
          <w:rFonts w:ascii="Times New Roman" w:hAnsi="Times New Roman" w:cs="Times New Roman"/>
          <w:bCs/>
          <w:lang w:val="en-US"/>
        </w:rPr>
        <w:t xml:space="preserve">and </w:t>
      </w:r>
      <w:r w:rsidRPr="00C749B1">
        <w:rPr>
          <w:rFonts w:ascii="Times New Roman" w:hAnsi="Times New Roman" w:cs="Times New Roman"/>
          <w:lang w:val="en-US"/>
        </w:rPr>
        <w:t xml:space="preserve">inclusive growth. </w:t>
      </w:r>
    </w:p>
    <w:p w14:paraId="57164E2E" w14:textId="77777777" w:rsidR="00D02539" w:rsidRPr="00C749B1" w:rsidRDefault="00D02539" w:rsidP="00D02539">
      <w:pPr>
        <w:rPr>
          <w:rFonts w:ascii="Times New Roman" w:hAnsi="Times New Roman" w:cs="Times New Roman"/>
          <w:lang w:val="en-US"/>
        </w:rPr>
      </w:pPr>
    </w:p>
    <w:p w14:paraId="0DC213A7" w14:textId="77777777" w:rsidR="00D02539" w:rsidRPr="000374C4" w:rsidRDefault="00D02539" w:rsidP="00D02539">
      <w:pPr>
        <w:jc w:val="right"/>
        <w:rPr>
          <w:rFonts w:ascii="Times New Roman" w:hAnsi="Times New Roman" w:cs="Times New Roman"/>
          <w:lang w:val="en-US"/>
        </w:rPr>
      </w:pPr>
      <w:r w:rsidRPr="000374C4">
        <w:rPr>
          <w:rFonts w:ascii="Times New Roman" w:hAnsi="Times New Roman" w:cs="Times New Roman"/>
          <w:lang w:val="en-US"/>
        </w:rPr>
        <w:t>For the Hellenic Fiscal Council</w:t>
      </w:r>
    </w:p>
    <w:p w14:paraId="6978B872" w14:textId="77777777" w:rsidR="00D02539" w:rsidRPr="000374C4" w:rsidRDefault="00D02539" w:rsidP="00D02539">
      <w:pPr>
        <w:jc w:val="right"/>
        <w:rPr>
          <w:rFonts w:ascii="Times New Roman" w:hAnsi="Times New Roman" w:cs="Times New Roman"/>
          <w:lang w:val="en-US"/>
        </w:rPr>
      </w:pPr>
      <w:r w:rsidRPr="000374C4">
        <w:rPr>
          <w:rFonts w:ascii="Times New Roman" w:hAnsi="Times New Roman" w:cs="Times New Roman"/>
          <w:lang w:val="en-US"/>
        </w:rPr>
        <w:t>The Chairperson</w:t>
      </w:r>
    </w:p>
    <w:p w14:paraId="5748D1E4" w14:textId="77777777" w:rsidR="00D02539" w:rsidRPr="000374C4" w:rsidRDefault="00D02539" w:rsidP="00D02539">
      <w:pPr>
        <w:jc w:val="right"/>
        <w:rPr>
          <w:rFonts w:ascii="Times New Roman" w:hAnsi="Times New Roman" w:cs="Times New Roman"/>
          <w:lang w:val="en-US"/>
        </w:rPr>
      </w:pPr>
    </w:p>
    <w:p w14:paraId="1FA907EC" w14:textId="77777777" w:rsidR="00D02539" w:rsidRPr="00166195" w:rsidRDefault="00D02539" w:rsidP="00D02539">
      <w:pPr>
        <w:jc w:val="right"/>
        <w:rPr>
          <w:rFonts w:ascii="Times New Roman" w:hAnsi="Times New Roman" w:cs="Times New Roman"/>
          <w:lang w:val="en-US"/>
        </w:rPr>
      </w:pPr>
      <w:r>
        <w:rPr>
          <w:rFonts w:ascii="Times New Roman" w:hAnsi="Times New Roman" w:cs="Times New Roman"/>
          <w:lang w:val="en-US"/>
        </w:rPr>
        <w:t xml:space="preserve">Anastasia </w:t>
      </w:r>
      <w:proofErr w:type="spellStart"/>
      <w:r>
        <w:rPr>
          <w:rFonts w:ascii="Times New Roman" w:hAnsi="Times New Roman" w:cs="Times New Roman"/>
          <w:lang w:val="en-US"/>
        </w:rPr>
        <w:t>Miaouli</w:t>
      </w:r>
      <w:proofErr w:type="spellEnd"/>
    </w:p>
    <w:p w14:paraId="3CE6831A" w14:textId="77777777" w:rsidR="00726977" w:rsidRDefault="00726977">
      <w:pPr>
        <w:rPr>
          <w:lang w:val="en-US"/>
        </w:rPr>
      </w:pPr>
    </w:p>
    <w:p w14:paraId="5FF1D77D" w14:textId="77777777" w:rsidR="00D02539" w:rsidRDefault="00D02539">
      <w:pPr>
        <w:spacing w:after="200" w:line="276" w:lineRule="auto"/>
        <w:jc w:val="left"/>
        <w:rPr>
          <w:rFonts w:eastAsiaTheme="majorEastAsia"/>
          <w:lang w:val="en-US"/>
        </w:rPr>
      </w:pPr>
    </w:p>
    <w:p w14:paraId="72DF4FAA" w14:textId="77777777" w:rsidR="00D02539" w:rsidRDefault="00D02539">
      <w:pPr>
        <w:spacing w:after="200" w:line="276" w:lineRule="auto"/>
        <w:jc w:val="left"/>
        <w:rPr>
          <w:rFonts w:eastAsiaTheme="majorEastAsia"/>
          <w:lang w:val="en-US"/>
        </w:rPr>
      </w:pPr>
    </w:p>
    <w:p w14:paraId="2C2E9D89" w14:textId="77777777" w:rsidR="00D02539" w:rsidRDefault="00D02539">
      <w:pPr>
        <w:spacing w:after="200" w:line="276" w:lineRule="auto"/>
        <w:jc w:val="left"/>
        <w:rPr>
          <w:rFonts w:eastAsiaTheme="majorEastAsia"/>
          <w:lang w:val="en-US"/>
        </w:rPr>
      </w:pPr>
    </w:p>
    <w:p w14:paraId="24725F48" w14:textId="77777777" w:rsidR="00D02539" w:rsidRDefault="00D02539">
      <w:pPr>
        <w:spacing w:after="200" w:line="276" w:lineRule="auto"/>
        <w:jc w:val="left"/>
        <w:rPr>
          <w:rFonts w:eastAsiaTheme="majorEastAsia"/>
          <w:lang w:val="en-US"/>
        </w:rPr>
      </w:pPr>
    </w:p>
    <w:p w14:paraId="61EB2D54" w14:textId="77777777" w:rsidR="00D02539" w:rsidRDefault="00D02539">
      <w:pPr>
        <w:spacing w:after="200" w:line="276" w:lineRule="auto"/>
        <w:jc w:val="left"/>
        <w:rPr>
          <w:rFonts w:eastAsiaTheme="majorEastAsia"/>
          <w:lang w:val="en-US"/>
        </w:rPr>
      </w:pPr>
    </w:p>
    <w:p w14:paraId="7240626C" w14:textId="52BE19A8" w:rsidR="00391774" w:rsidRDefault="00391774">
      <w:pPr>
        <w:spacing w:after="200" w:line="276" w:lineRule="auto"/>
        <w:jc w:val="left"/>
        <w:rPr>
          <w:rFonts w:eastAsiaTheme="majorEastAsia"/>
          <w:lang w:val="en-US"/>
        </w:rPr>
        <w:sectPr w:rsidR="00391774" w:rsidSect="00577A51">
          <w:footerReference w:type="even" r:id="rId20"/>
          <w:footerReference w:type="default" r:id="rId21"/>
          <w:footerReference w:type="first" r:id="rId22"/>
          <w:footnotePr>
            <w:numRestart w:val="eachSect"/>
          </w:footnotePr>
          <w:pgSz w:w="11906" w:h="16838"/>
          <w:pgMar w:top="1304" w:right="1191" w:bottom="1191" w:left="1304" w:header="709" w:footer="709" w:gutter="567"/>
          <w:cols w:space="708"/>
          <w:titlePg/>
          <w:docGrid w:linePitch="360"/>
        </w:sectPr>
      </w:pPr>
      <w:r>
        <w:rPr>
          <w:rFonts w:eastAsiaTheme="majorEastAsia"/>
          <w:lang w:val="en-US"/>
        </w:rPr>
        <w:br w:type="page"/>
      </w:r>
    </w:p>
    <w:p w14:paraId="2B0CC23F" w14:textId="5301AF74" w:rsidR="00391774" w:rsidRDefault="00391774">
      <w:pPr>
        <w:spacing w:after="200" w:line="276" w:lineRule="auto"/>
        <w:jc w:val="left"/>
        <w:rPr>
          <w:rFonts w:eastAsiaTheme="majorEastAsia"/>
          <w:lang w:val="en-US"/>
        </w:rPr>
      </w:pPr>
    </w:p>
    <w:p w14:paraId="2384ABDA" w14:textId="65A56CC6" w:rsidR="00E03C4A" w:rsidRDefault="00E03C4A">
      <w:pPr>
        <w:spacing w:after="200" w:line="276" w:lineRule="auto"/>
        <w:jc w:val="left"/>
        <w:rPr>
          <w:rFonts w:eastAsiaTheme="majorEastAsia"/>
          <w:lang w:val="en-US"/>
        </w:rPr>
      </w:pPr>
    </w:p>
    <w:p w14:paraId="164AE656" w14:textId="52733520" w:rsidR="00FB36F6" w:rsidRDefault="00FB36F6">
      <w:pPr>
        <w:spacing w:after="200" w:line="276" w:lineRule="auto"/>
        <w:jc w:val="left"/>
        <w:rPr>
          <w:rFonts w:eastAsiaTheme="majorEastAsia"/>
          <w:lang w:val="en-US"/>
        </w:rPr>
      </w:pPr>
    </w:p>
    <w:p w14:paraId="28C9FC32" w14:textId="77777777" w:rsidR="00FB36F6" w:rsidRDefault="00FB36F6">
      <w:pPr>
        <w:spacing w:after="200" w:line="276" w:lineRule="auto"/>
        <w:jc w:val="left"/>
        <w:rPr>
          <w:rFonts w:eastAsiaTheme="majorEastAsia"/>
          <w:lang w:val="en-US"/>
        </w:rPr>
      </w:pPr>
    </w:p>
    <w:p w14:paraId="33C1902E" w14:textId="7C42E976" w:rsidR="00726977" w:rsidRDefault="00726977">
      <w:pPr>
        <w:rPr>
          <w:rFonts w:eastAsiaTheme="majorEastAsia"/>
          <w:lang w:val="en-US"/>
        </w:rPr>
      </w:pPr>
    </w:p>
    <w:p w14:paraId="4331A5A9" w14:textId="579A0AE6" w:rsidR="00726977" w:rsidRDefault="00F259E1">
      <w:pPr>
        <w:rPr>
          <w:rFonts w:ascii="CIDFont+F2" w:eastAsiaTheme="minorHAnsi" w:hAnsi="CIDFont+F2" w:cs="CIDFont+F2"/>
          <w:b/>
          <w:color w:val="0070C0"/>
          <w:sz w:val="28"/>
          <w:szCs w:val="24"/>
          <w:lang w:val="en-US" w:eastAsia="en-US"/>
        </w:rPr>
      </w:pPr>
      <w:r>
        <w:rPr>
          <w:noProof/>
          <w:lang w:val="en-US" w:eastAsia="en-US"/>
        </w:rPr>
        <w:drawing>
          <wp:anchor distT="0" distB="0" distL="114300" distR="114300" simplePos="0" relativeHeight="251674624" behindDoc="0" locked="0" layoutInCell="1" allowOverlap="1" wp14:anchorId="2AF11197" wp14:editId="7398C59D">
            <wp:simplePos x="0" y="0"/>
            <wp:positionH relativeFrom="column">
              <wp:posOffset>2548255</wp:posOffset>
            </wp:positionH>
            <wp:positionV relativeFrom="paragraph">
              <wp:posOffset>9525</wp:posOffset>
            </wp:positionV>
            <wp:extent cx="828675" cy="880110"/>
            <wp:effectExtent l="0" t="0" r="9525" b="0"/>
            <wp:wrapNone/>
            <wp:docPr id="6" name="Εικόνα 4"/>
            <wp:cNvGraphicFramePr/>
            <a:graphic xmlns:a="http://schemas.openxmlformats.org/drawingml/2006/main">
              <a:graphicData uri="http://schemas.openxmlformats.org/drawingml/2006/picture">
                <pic:pic xmlns:pic="http://schemas.openxmlformats.org/drawingml/2006/picture">
                  <pic:nvPicPr>
                    <pic:cNvPr id="6" name="Εικόνα 4"/>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28675" cy="880110"/>
                    </a:xfrm>
                    <a:prstGeom prst="rect">
                      <a:avLst/>
                    </a:prstGeom>
                    <a:noFill/>
                    <a:ln w="9525">
                      <a:noFill/>
                      <a:miter lim="800000"/>
                      <a:headEnd/>
                      <a:tailEnd/>
                    </a:ln>
                  </pic:spPr>
                </pic:pic>
              </a:graphicData>
            </a:graphic>
          </wp:anchor>
        </w:drawing>
      </w:r>
      <w:r>
        <w:rPr>
          <w:noProof/>
        </w:rPr>
        <mc:AlternateContent>
          <mc:Choice Requires="wps">
            <w:drawing>
              <wp:anchor distT="0" distB="0" distL="114297" distR="114297" simplePos="0" relativeHeight="251673600" behindDoc="0" locked="0" layoutInCell="1" allowOverlap="1" wp14:anchorId="3F3F339A" wp14:editId="2C023949">
                <wp:simplePos x="0" y="0"/>
                <wp:positionH relativeFrom="column">
                  <wp:posOffset>4384040</wp:posOffset>
                </wp:positionH>
                <wp:positionV relativeFrom="paragraph">
                  <wp:posOffset>10160</wp:posOffset>
                </wp:positionV>
                <wp:extent cx="0" cy="6534150"/>
                <wp:effectExtent l="1905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534150"/>
                        </a:xfrm>
                        <a:prstGeom prst="line">
                          <a:avLst/>
                        </a:prstGeom>
                        <a:ln w="28575">
                          <a:solidFill>
                            <a:schemeClr val="accent3">
                              <a:lumMod val="60000"/>
                              <a:lumOff val="40000"/>
                            </a:schemeClr>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C45B7F" id="Straight Connector 2" o:spid="_x0000_s1026" style="position:absolute;z-index:25167360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from="345.2pt,.8pt" to="345.2pt,5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" strokecolor="#c2d69b [1942]" strokeweight="2.25pt">
                <o:lock v:ext="edit" shapetype="f"/>
              </v:line>
            </w:pict>
          </mc:Fallback>
        </mc:AlternateContent>
      </w:r>
    </w:p>
    <w:p w14:paraId="62AD1B16" w14:textId="6ADE4336" w:rsidR="00726977" w:rsidRDefault="00726977">
      <w:pPr>
        <w:rPr>
          <w:rFonts w:ascii="CIDFont+F2" w:eastAsiaTheme="minorHAnsi" w:hAnsi="CIDFont+F2" w:cs="CIDFont+F2"/>
          <w:b/>
          <w:color w:val="0070C0"/>
          <w:sz w:val="28"/>
          <w:szCs w:val="24"/>
          <w:lang w:val="en-US" w:eastAsia="en-US"/>
        </w:rPr>
      </w:pPr>
    </w:p>
    <w:p w14:paraId="25F4FAE7" w14:textId="77777777" w:rsidR="00194996" w:rsidRDefault="00194996" w:rsidP="00BF7B89">
      <w:pPr>
        <w:rPr>
          <w:rFonts w:ascii="CIDFont+F2" w:eastAsiaTheme="minorHAnsi" w:hAnsi="CIDFont+F2" w:cs="CIDFont+F2"/>
          <w:b/>
          <w:color w:val="0070C0"/>
          <w:sz w:val="28"/>
          <w:szCs w:val="24"/>
          <w:lang w:val="en-US" w:eastAsia="en-US"/>
        </w:rPr>
      </w:pPr>
    </w:p>
    <w:p w14:paraId="341C8A42" w14:textId="7666ED2A" w:rsidR="00726977" w:rsidRDefault="00726977">
      <w:pPr>
        <w:rPr>
          <w:rFonts w:ascii="CIDFont+F2" w:eastAsiaTheme="minorHAnsi" w:hAnsi="CIDFont+F2" w:cs="CIDFont+F2"/>
          <w:b/>
          <w:color w:val="000000"/>
          <w:sz w:val="28"/>
          <w:szCs w:val="24"/>
          <w:lang w:val="en-US" w:eastAsia="en-US"/>
        </w:rPr>
      </w:pPr>
    </w:p>
    <w:p w14:paraId="45F0CC2F" w14:textId="77777777" w:rsidR="003439EB" w:rsidRPr="00AD224D" w:rsidRDefault="003439EB" w:rsidP="00F259E1">
      <w:pPr>
        <w:autoSpaceDE w:val="0"/>
        <w:autoSpaceDN w:val="0"/>
        <w:adjustRightInd w:val="0"/>
        <w:spacing w:after="0" w:line="240" w:lineRule="auto"/>
        <w:ind w:left="2127" w:right="4705" w:hanging="284"/>
        <w:jc w:val="right"/>
        <w:rPr>
          <w:rFonts w:ascii="CIDFont+F1" w:eastAsiaTheme="minorHAnsi" w:hAnsi="CIDFont+F1" w:cs="CIDFont+F1"/>
          <w:b/>
          <w:color w:val="244061" w:themeColor="accent1" w:themeShade="80"/>
          <w:sz w:val="34"/>
          <w:szCs w:val="24"/>
          <w:lang w:val="en-US" w:eastAsia="en-US"/>
        </w:rPr>
      </w:pPr>
      <w:r w:rsidRPr="00AD224D">
        <w:rPr>
          <w:rFonts w:ascii="CIDFont+F1" w:eastAsiaTheme="minorHAnsi" w:hAnsi="CIDFont+F1" w:cs="CIDFont+F1"/>
          <w:b/>
          <w:color w:val="244061" w:themeColor="accent1" w:themeShade="80"/>
          <w:sz w:val="34"/>
          <w:szCs w:val="24"/>
          <w:lang w:val="en-US" w:eastAsia="en-US"/>
        </w:rPr>
        <w:t>HELLENIC REPUBLIC</w:t>
      </w:r>
    </w:p>
    <w:p w14:paraId="41D6087B" w14:textId="77777777" w:rsidR="003439EB" w:rsidRDefault="003439EB" w:rsidP="00F259E1">
      <w:pPr>
        <w:autoSpaceDE w:val="0"/>
        <w:autoSpaceDN w:val="0"/>
        <w:adjustRightInd w:val="0"/>
        <w:spacing w:after="0" w:line="240" w:lineRule="auto"/>
        <w:ind w:left="2127" w:right="4705" w:hanging="284"/>
        <w:jc w:val="right"/>
        <w:rPr>
          <w:rFonts w:ascii="CIDFont+F1" w:eastAsiaTheme="minorHAnsi" w:hAnsi="CIDFont+F1" w:cs="CIDFont+F1"/>
          <w:color w:val="000000"/>
          <w:sz w:val="24"/>
          <w:szCs w:val="24"/>
          <w:lang w:val="en-US" w:eastAsia="en-US"/>
        </w:rPr>
      </w:pPr>
    </w:p>
    <w:p w14:paraId="4B10359E" w14:textId="3D087A1E" w:rsidR="00425456" w:rsidRDefault="003439EB" w:rsidP="00F259E1">
      <w:pPr>
        <w:autoSpaceDE w:val="0"/>
        <w:autoSpaceDN w:val="0"/>
        <w:adjustRightInd w:val="0"/>
        <w:spacing w:after="0" w:line="240" w:lineRule="auto"/>
        <w:ind w:left="2127" w:right="4705" w:hanging="284"/>
        <w:jc w:val="right"/>
        <w:rPr>
          <w:rFonts w:ascii="CIDFont+F1" w:eastAsiaTheme="minorHAnsi" w:hAnsi="CIDFont+F1" w:cs="CIDFont+F1"/>
          <w:b/>
          <w:color w:val="4F81BD" w:themeColor="accent1"/>
          <w:sz w:val="32"/>
          <w:szCs w:val="24"/>
          <w:lang w:val="en-US" w:eastAsia="en-US"/>
        </w:rPr>
      </w:pPr>
      <w:r w:rsidRPr="00AD224D">
        <w:rPr>
          <w:rFonts w:ascii="CIDFont+F1" w:eastAsiaTheme="minorHAnsi" w:hAnsi="CIDFont+F1" w:cs="CIDFont+F1"/>
          <w:b/>
          <w:color w:val="4F81BD" w:themeColor="accent1"/>
          <w:sz w:val="32"/>
          <w:szCs w:val="24"/>
          <w:lang w:val="en-US" w:eastAsia="en-US"/>
        </w:rPr>
        <w:t>Ministry of</w:t>
      </w:r>
      <w:r w:rsidR="00425456">
        <w:rPr>
          <w:rFonts w:ascii="CIDFont+F1" w:eastAsiaTheme="minorHAnsi" w:hAnsi="CIDFont+F1" w:cs="CIDFont+F1"/>
          <w:b/>
          <w:color w:val="4F81BD" w:themeColor="accent1"/>
          <w:sz w:val="32"/>
          <w:szCs w:val="24"/>
          <w:lang w:val="en-US" w:eastAsia="en-US"/>
        </w:rPr>
        <w:t xml:space="preserve"> </w:t>
      </w:r>
      <w:r w:rsidR="005F5147" w:rsidRPr="00AD224D">
        <w:rPr>
          <w:rFonts w:ascii="CIDFont+F1" w:eastAsiaTheme="minorHAnsi" w:hAnsi="CIDFont+F1" w:cs="CIDFont+F1"/>
          <w:b/>
          <w:color w:val="4F81BD" w:themeColor="accent1"/>
          <w:sz w:val="32"/>
          <w:szCs w:val="24"/>
          <w:lang w:val="en-US" w:eastAsia="en-US"/>
        </w:rPr>
        <w:t xml:space="preserve">Economy </w:t>
      </w:r>
    </w:p>
    <w:p w14:paraId="47E5CD8F" w14:textId="40FC2641" w:rsidR="003439EB" w:rsidRPr="00AD224D" w:rsidRDefault="005F5147" w:rsidP="00F259E1">
      <w:pPr>
        <w:autoSpaceDE w:val="0"/>
        <w:autoSpaceDN w:val="0"/>
        <w:adjustRightInd w:val="0"/>
        <w:spacing w:after="0" w:line="240" w:lineRule="auto"/>
        <w:ind w:left="2127" w:right="4705" w:hanging="284"/>
        <w:jc w:val="right"/>
        <w:rPr>
          <w:rFonts w:ascii="CIDFont+F1" w:eastAsiaTheme="minorHAnsi" w:hAnsi="CIDFont+F1" w:cs="CIDFont+F1"/>
          <w:b/>
          <w:color w:val="4F81BD" w:themeColor="accent1"/>
          <w:sz w:val="32"/>
          <w:szCs w:val="24"/>
          <w:lang w:val="en-US" w:eastAsia="en-US"/>
        </w:rPr>
      </w:pPr>
      <w:r w:rsidRPr="00AD224D">
        <w:rPr>
          <w:rFonts w:ascii="CIDFont+F1" w:eastAsiaTheme="minorHAnsi" w:hAnsi="CIDFont+F1" w:cs="CIDFont+F1"/>
          <w:b/>
          <w:color w:val="4F81BD" w:themeColor="accent1"/>
          <w:sz w:val="32"/>
          <w:szCs w:val="24"/>
          <w:lang w:val="en-US" w:eastAsia="en-US"/>
        </w:rPr>
        <w:t xml:space="preserve">and </w:t>
      </w:r>
      <w:r w:rsidR="003439EB" w:rsidRPr="00AD224D">
        <w:rPr>
          <w:rFonts w:ascii="CIDFont+F1" w:eastAsiaTheme="minorHAnsi" w:hAnsi="CIDFont+F1" w:cs="CIDFont+F1"/>
          <w:b/>
          <w:color w:val="4F81BD" w:themeColor="accent1"/>
          <w:sz w:val="32"/>
          <w:szCs w:val="24"/>
          <w:lang w:val="en-US" w:eastAsia="en-US"/>
        </w:rPr>
        <w:t>Finance</w:t>
      </w:r>
    </w:p>
    <w:p w14:paraId="560BB4A6" w14:textId="543EB41C" w:rsidR="00416EEB" w:rsidRPr="003439EB" w:rsidRDefault="00416EEB" w:rsidP="00F259E1">
      <w:pPr>
        <w:autoSpaceDE w:val="0"/>
        <w:autoSpaceDN w:val="0"/>
        <w:adjustRightInd w:val="0"/>
        <w:spacing w:after="0" w:line="240" w:lineRule="auto"/>
        <w:ind w:left="2127" w:right="4705" w:hanging="284"/>
        <w:jc w:val="right"/>
        <w:rPr>
          <w:rFonts w:ascii="CIDFont+F1" w:eastAsiaTheme="minorHAnsi" w:hAnsi="CIDFont+F1" w:cs="CIDFont+F1"/>
          <w:b/>
          <w:color w:val="000000"/>
          <w:sz w:val="26"/>
          <w:szCs w:val="24"/>
          <w:lang w:val="en-US" w:eastAsia="en-US"/>
        </w:rPr>
      </w:pPr>
    </w:p>
    <w:p w14:paraId="1A1E2C02" w14:textId="6826C5BF" w:rsidR="00E02C32" w:rsidRDefault="00E02C32" w:rsidP="00F259E1">
      <w:pPr>
        <w:autoSpaceDE w:val="0"/>
        <w:autoSpaceDN w:val="0"/>
        <w:adjustRightInd w:val="0"/>
        <w:spacing w:after="0" w:line="240" w:lineRule="auto"/>
        <w:ind w:left="2127" w:right="4705" w:hanging="284"/>
        <w:jc w:val="right"/>
        <w:rPr>
          <w:rFonts w:ascii="CIDFont+F1" w:eastAsiaTheme="minorHAnsi" w:hAnsi="CIDFont+F1" w:cs="CIDFont+F1"/>
          <w:color w:val="000000"/>
          <w:sz w:val="24"/>
          <w:szCs w:val="24"/>
          <w:lang w:val="en-US" w:eastAsia="en-US"/>
        </w:rPr>
      </w:pPr>
    </w:p>
    <w:p w14:paraId="128B0B31" w14:textId="7E9A56B0" w:rsidR="00E02C32" w:rsidRPr="00AD224D" w:rsidRDefault="00E02C32" w:rsidP="00F259E1">
      <w:pPr>
        <w:autoSpaceDE w:val="0"/>
        <w:autoSpaceDN w:val="0"/>
        <w:adjustRightInd w:val="0"/>
        <w:spacing w:after="0" w:line="240" w:lineRule="auto"/>
        <w:ind w:left="2127" w:right="4705" w:hanging="284"/>
        <w:jc w:val="right"/>
        <w:rPr>
          <w:rFonts w:eastAsiaTheme="minorHAnsi" w:cs="CIDFont+F1"/>
          <w:b/>
          <w:color w:val="4F81BD" w:themeColor="accent1"/>
          <w:sz w:val="24"/>
          <w:szCs w:val="24"/>
          <w:lang w:val="en-US" w:eastAsia="en-US"/>
        </w:rPr>
      </w:pPr>
      <w:r w:rsidRPr="00AD224D">
        <w:rPr>
          <w:rFonts w:eastAsiaTheme="minorHAnsi" w:cs="CIDFont+F1"/>
          <w:b/>
          <w:color w:val="4F81BD" w:themeColor="accent1"/>
          <w:sz w:val="24"/>
          <w:szCs w:val="24"/>
          <w:lang w:val="en-US" w:eastAsia="en-US"/>
        </w:rPr>
        <w:t>General Accounting Office</w:t>
      </w:r>
    </w:p>
    <w:p w14:paraId="04D8583B" w14:textId="20C310C4" w:rsidR="00FB36F6" w:rsidRDefault="00FB36F6" w:rsidP="00F259E1">
      <w:pPr>
        <w:autoSpaceDE w:val="0"/>
        <w:autoSpaceDN w:val="0"/>
        <w:adjustRightInd w:val="0"/>
        <w:spacing w:after="0" w:line="240" w:lineRule="auto"/>
        <w:ind w:left="2127" w:right="4705" w:hanging="284"/>
        <w:jc w:val="right"/>
        <w:rPr>
          <w:rFonts w:eastAsiaTheme="minorHAnsi" w:cs="CIDFont+F1"/>
          <w:color w:val="000000"/>
          <w:sz w:val="24"/>
          <w:szCs w:val="24"/>
          <w:lang w:val="en-US" w:eastAsia="en-US"/>
        </w:rPr>
      </w:pPr>
      <w:r>
        <w:rPr>
          <w:rFonts w:eastAsiaTheme="minorHAnsi" w:cs="CIDFont+F1"/>
          <w:noProof/>
          <w:color w:val="000000"/>
          <w:sz w:val="24"/>
          <w:szCs w:val="24"/>
          <w:lang w:val="en-US" w:eastAsia="en-US"/>
        </w:rPr>
        <w:drawing>
          <wp:anchor distT="0" distB="0" distL="114300" distR="114300" simplePos="0" relativeHeight="251685888" behindDoc="0" locked="0" layoutInCell="1" allowOverlap="1" wp14:anchorId="19B6B243" wp14:editId="576D9C1B">
            <wp:simplePos x="0" y="0"/>
            <wp:positionH relativeFrom="column">
              <wp:posOffset>1551940</wp:posOffset>
            </wp:positionH>
            <wp:positionV relativeFrom="paragraph">
              <wp:posOffset>192405</wp:posOffset>
            </wp:positionV>
            <wp:extent cx="2059940" cy="1514475"/>
            <wp:effectExtent l="0" t="0" r="0" b="9525"/>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etch_1_cyan_black.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59940" cy="1514475"/>
                    </a:xfrm>
                    <a:prstGeom prst="rect">
                      <a:avLst/>
                    </a:prstGeom>
                  </pic:spPr>
                </pic:pic>
              </a:graphicData>
            </a:graphic>
          </wp:anchor>
        </w:drawing>
      </w:r>
    </w:p>
    <w:p w14:paraId="1E8606A6" w14:textId="55CB1A31" w:rsidR="00FB36F6" w:rsidRDefault="00FB36F6" w:rsidP="00F259E1">
      <w:pPr>
        <w:autoSpaceDE w:val="0"/>
        <w:autoSpaceDN w:val="0"/>
        <w:adjustRightInd w:val="0"/>
        <w:spacing w:after="0" w:line="240" w:lineRule="auto"/>
        <w:ind w:left="2127" w:right="4705" w:hanging="284"/>
        <w:jc w:val="right"/>
        <w:rPr>
          <w:rFonts w:eastAsiaTheme="minorHAnsi" w:cs="CIDFont+F1"/>
          <w:color w:val="000000"/>
          <w:sz w:val="24"/>
          <w:szCs w:val="24"/>
          <w:lang w:val="en-US" w:eastAsia="en-US"/>
        </w:rPr>
      </w:pPr>
    </w:p>
    <w:p w14:paraId="7B390EB2" w14:textId="7ABD7738" w:rsidR="00E02C32" w:rsidRDefault="007C0D7F" w:rsidP="00F259E1">
      <w:pPr>
        <w:autoSpaceDE w:val="0"/>
        <w:autoSpaceDN w:val="0"/>
        <w:adjustRightInd w:val="0"/>
        <w:spacing w:after="0" w:line="240" w:lineRule="auto"/>
        <w:ind w:left="2127" w:right="4705" w:hanging="284"/>
        <w:jc w:val="right"/>
        <w:rPr>
          <w:rFonts w:eastAsiaTheme="minorHAnsi" w:cs="CIDFont+F1"/>
          <w:color w:val="000000"/>
          <w:sz w:val="24"/>
          <w:szCs w:val="24"/>
          <w:lang w:val="en-US" w:eastAsia="en-US"/>
        </w:rPr>
      </w:pPr>
      <w:r>
        <w:rPr>
          <w:rFonts w:eastAsiaTheme="minorHAnsi" w:cs="CIDFont+F1"/>
          <w:color w:val="000000"/>
          <w:sz w:val="24"/>
          <w:szCs w:val="24"/>
          <w:lang w:val="en-US" w:eastAsia="en-US"/>
        </w:rPr>
        <w:t xml:space="preserve">37 </w:t>
      </w:r>
      <w:proofErr w:type="spellStart"/>
      <w:r w:rsidR="00E02C32">
        <w:rPr>
          <w:rFonts w:eastAsiaTheme="minorHAnsi" w:cs="CIDFont+F1"/>
          <w:color w:val="000000"/>
          <w:sz w:val="24"/>
          <w:szCs w:val="24"/>
          <w:lang w:val="en-US" w:eastAsia="en-US"/>
        </w:rPr>
        <w:t>Panepistimiou</w:t>
      </w:r>
      <w:proofErr w:type="spellEnd"/>
      <w:r w:rsidR="00E02C32">
        <w:rPr>
          <w:rFonts w:eastAsiaTheme="minorHAnsi" w:cs="CIDFont+F1"/>
          <w:color w:val="000000"/>
          <w:sz w:val="24"/>
          <w:szCs w:val="24"/>
          <w:lang w:val="en-US" w:eastAsia="en-US"/>
        </w:rPr>
        <w:t xml:space="preserve"> </w:t>
      </w:r>
      <w:r>
        <w:rPr>
          <w:rFonts w:eastAsiaTheme="minorHAnsi" w:cs="CIDFont+F1"/>
          <w:color w:val="000000"/>
          <w:sz w:val="24"/>
          <w:szCs w:val="24"/>
          <w:lang w:val="en-US" w:eastAsia="en-US"/>
        </w:rPr>
        <w:t>St.</w:t>
      </w:r>
    </w:p>
    <w:p w14:paraId="56F5AFD5" w14:textId="77777777" w:rsidR="00E02C32" w:rsidRDefault="00E02C32" w:rsidP="00F259E1">
      <w:pPr>
        <w:autoSpaceDE w:val="0"/>
        <w:autoSpaceDN w:val="0"/>
        <w:adjustRightInd w:val="0"/>
        <w:spacing w:after="0" w:line="240" w:lineRule="auto"/>
        <w:ind w:left="2127" w:right="4705" w:hanging="284"/>
        <w:jc w:val="right"/>
        <w:rPr>
          <w:rFonts w:eastAsiaTheme="minorHAnsi" w:cs="CIDFont+F1"/>
          <w:color w:val="000000"/>
          <w:sz w:val="24"/>
          <w:szCs w:val="24"/>
          <w:lang w:val="en-US" w:eastAsia="en-US"/>
        </w:rPr>
      </w:pPr>
      <w:r>
        <w:rPr>
          <w:rFonts w:eastAsiaTheme="minorHAnsi" w:cs="CIDFont+F1"/>
          <w:color w:val="000000"/>
          <w:sz w:val="24"/>
          <w:szCs w:val="24"/>
          <w:lang w:val="en-US" w:eastAsia="en-US"/>
        </w:rPr>
        <w:t>10564 Athens</w:t>
      </w:r>
    </w:p>
    <w:p w14:paraId="2A67713F" w14:textId="77777777" w:rsidR="00E02C32" w:rsidRPr="00E02C32" w:rsidRDefault="00E02C32" w:rsidP="00F259E1">
      <w:pPr>
        <w:autoSpaceDE w:val="0"/>
        <w:autoSpaceDN w:val="0"/>
        <w:adjustRightInd w:val="0"/>
        <w:spacing w:after="0" w:line="240" w:lineRule="auto"/>
        <w:ind w:left="2127" w:right="4705" w:hanging="284"/>
        <w:jc w:val="right"/>
        <w:rPr>
          <w:rFonts w:eastAsiaTheme="minorHAnsi" w:cs="CIDFont+F1"/>
          <w:color w:val="000000"/>
          <w:sz w:val="24"/>
          <w:szCs w:val="24"/>
          <w:lang w:val="en-US" w:eastAsia="en-US"/>
        </w:rPr>
      </w:pPr>
    </w:p>
    <w:p w14:paraId="5D7042D2" w14:textId="77777777" w:rsidR="00261F6F" w:rsidRDefault="00261F6F" w:rsidP="00F259E1">
      <w:pPr>
        <w:autoSpaceDE w:val="0"/>
        <w:autoSpaceDN w:val="0"/>
        <w:adjustRightInd w:val="0"/>
        <w:spacing w:after="0" w:line="240" w:lineRule="auto"/>
        <w:ind w:left="2127" w:right="4705" w:hanging="284"/>
        <w:jc w:val="right"/>
        <w:rPr>
          <w:rFonts w:ascii="CIDFont+F1" w:eastAsiaTheme="minorHAnsi" w:hAnsi="CIDFont+F1" w:cs="CIDFont+F1"/>
          <w:color w:val="000000"/>
          <w:sz w:val="24"/>
          <w:szCs w:val="24"/>
          <w:lang w:val="en-US" w:eastAsia="en-US"/>
        </w:rPr>
      </w:pPr>
    </w:p>
    <w:p w14:paraId="36C05053" w14:textId="77777777" w:rsidR="003439EB" w:rsidRDefault="003439EB" w:rsidP="00F259E1">
      <w:pPr>
        <w:autoSpaceDE w:val="0"/>
        <w:autoSpaceDN w:val="0"/>
        <w:adjustRightInd w:val="0"/>
        <w:spacing w:after="0" w:line="240" w:lineRule="auto"/>
        <w:ind w:left="2127" w:right="4705" w:hanging="284"/>
        <w:jc w:val="right"/>
        <w:rPr>
          <w:rFonts w:eastAsiaTheme="majorEastAsia" w:cstheme="majorBidi"/>
          <w:color w:val="339966"/>
          <w:sz w:val="52"/>
          <w:lang w:val="en-US"/>
        </w:rPr>
      </w:pPr>
    </w:p>
    <w:p w14:paraId="0AD6586C" w14:textId="77777777" w:rsidR="00194996" w:rsidRPr="00391774" w:rsidRDefault="00194996" w:rsidP="00F259E1">
      <w:pPr>
        <w:ind w:left="2127" w:right="4705" w:hanging="284"/>
        <w:jc w:val="right"/>
        <w:rPr>
          <w:rFonts w:eastAsiaTheme="majorEastAsia" w:cstheme="majorBidi"/>
          <w:color w:val="C2D69B" w:themeColor="accent3" w:themeTint="99"/>
          <w:sz w:val="52"/>
          <w:lang w:val="en-US"/>
        </w:rPr>
      </w:pPr>
      <w:r w:rsidRPr="00391774">
        <w:rPr>
          <w:rFonts w:eastAsiaTheme="majorEastAsia" w:cstheme="majorBidi"/>
          <w:color w:val="C2D69B" w:themeColor="accent3" w:themeTint="99"/>
          <w:sz w:val="52"/>
          <w:lang w:val="en-US"/>
        </w:rPr>
        <w:t>minfin</w:t>
      </w:r>
      <w:r w:rsidR="007D34E0" w:rsidRPr="00391774">
        <w:rPr>
          <w:rFonts w:eastAsiaTheme="majorEastAsia" w:cstheme="majorBidi"/>
          <w:color w:val="C2D69B" w:themeColor="accent3" w:themeTint="99"/>
          <w:sz w:val="52"/>
          <w:lang w:val="en-US"/>
        </w:rPr>
        <w:t>.gov</w:t>
      </w:r>
      <w:r w:rsidRPr="00391774">
        <w:rPr>
          <w:rFonts w:eastAsiaTheme="majorEastAsia" w:cstheme="majorBidi"/>
          <w:color w:val="C2D69B" w:themeColor="accent3" w:themeTint="99"/>
          <w:sz w:val="52"/>
          <w:lang w:val="en-US"/>
        </w:rPr>
        <w:t xml:space="preserve">.gr/ </w:t>
      </w:r>
    </w:p>
    <w:sectPr w:rsidR="00194996" w:rsidRPr="00391774" w:rsidSect="00F259E1">
      <w:footerReference w:type="first" r:id="rId25"/>
      <w:pgSz w:w="11906" w:h="16838"/>
      <w:pgMar w:top="1304" w:right="0" w:bottom="1191" w:left="1304" w:header="709" w:footer="709" w:gutter="567"/>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9595665" w16cex:dateUtc="2026-04-28T16:4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CEC52B" w14:textId="77777777" w:rsidR="008126C9" w:rsidRDefault="008126C9" w:rsidP="00404883">
      <w:pPr>
        <w:spacing w:after="0" w:line="240" w:lineRule="auto"/>
      </w:pPr>
      <w:r>
        <w:separator/>
      </w:r>
    </w:p>
  </w:endnote>
  <w:endnote w:type="continuationSeparator" w:id="0">
    <w:p w14:paraId="31E22808" w14:textId="77777777" w:rsidR="008126C9" w:rsidRDefault="008126C9" w:rsidP="004048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6FF" w:usb1="420024FF" w:usb2="02000000" w:usb3="00000000" w:csb0="0000019F" w:csb1="00000000"/>
  </w:font>
  <w:font w:name="Noto Sans Symbols">
    <w:charset w:val="00"/>
    <w:family w:val="auto"/>
    <w:pitch w:val="default"/>
  </w:font>
  <w:font w:name="Calibri">
    <w:panose1 w:val="020F0502020204030204"/>
    <w:charset w:val="A1"/>
    <w:family w:val="swiss"/>
    <w:pitch w:val="variable"/>
    <w:sig w:usb0="E4002EFF" w:usb1="C200247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Lato Black">
    <w:charset w:val="00"/>
    <w:family w:val="swiss"/>
    <w:pitch w:val="variable"/>
    <w:sig w:usb0="E10002FF" w:usb1="5000ECFF" w:usb2="00000021" w:usb3="00000000" w:csb0="0000019F" w:csb1="00000000"/>
  </w:font>
  <w:font w:name="Tahoma">
    <w:panose1 w:val="020B0604030504040204"/>
    <w:charset w:val="A1"/>
    <w:family w:val="swiss"/>
    <w:pitch w:val="variable"/>
    <w:sig w:usb0="E1002EFF" w:usb1="C000605B" w:usb2="00000029" w:usb3="00000000" w:csb0="000101FF" w:csb1="00000000"/>
  </w:font>
  <w:font w:name="font266">
    <w:charset w:val="A1"/>
    <w:family w:val="auto"/>
    <w:pitch w:val="variable"/>
  </w:font>
  <w:font w:name="Helvetica Neue">
    <w:altName w:val="Times New Roman"/>
    <w:charset w:val="00"/>
    <w:family w:val="auto"/>
    <w:pitch w:val="default"/>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A1"/>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IDFont+F2">
    <w:altName w:val="Calibri"/>
    <w:panose1 w:val="00000000000000000000"/>
    <w:charset w:val="A1"/>
    <w:family w:val="auto"/>
    <w:notTrueType/>
    <w:pitch w:val="default"/>
    <w:sig w:usb0="00000081" w:usb1="00000000" w:usb2="00000000" w:usb3="00000000" w:csb0="00000008" w:csb1="00000000"/>
  </w:font>
  <w:font w:name="CIDFont+F1">
    <w:altName w:val="Calibri"/>
    <w:panose1 w:val="00000000000000000000"/>
    <w:charset w:val="A1"/>
    <w:family w:val="auto"/>
    <w:notTrueType/>
    <w:pitch w:val="default"/>
    <w:sig w:usb0="00000081" w:usb1="00000000" w:usb2="00000000" w:usb3="00000000" w:csb0="00000008"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C5A61" w14:textId="77777777" w:rsidR="008126C9" w:rsidRPr="00572427" w:rsidRDefault="008126C9" w:rsidP="00B96671">
    <w:pPr>
      <w:pStyle w:val="Footer"/>
      <w:spacing w:before="240"/>
      <w:rPr>
        <w:b/>
        <w:color w:val="0070C0"/>
        <w:sz w:val="20"/>
        <w:lang w:val="en-US"/>
      </w:rPr>
    </w:pPr>
    <w:r w:rsidRPr="00B37774">
      <w:rPr>
        <w:color w:val="0070C0"/>
        <w:sz w:val="22"/>
        <w:lang w:val="en-US"/>
      </w:rPr>
      <w:fldChar w:fldCharType="begin"/>
    </w:r>
    <w:r w:rsidRPr="00B37774">
      <w:rPr>
        <w:color w:val="0070C0"/>
        <w:sz w:val="22"/>
        <w:lang w:val="en-US"/>
      </w:rPr>
      <w:instrText xml:space="preserve"> PAGE   \* MERGEFORMAT </w:instrText>
    </w:r>
    <w:r w:rsidRPr="00B37774">
      <w:rPr>
        <w:color w:val="0070C0"/>
        <w:sz w:val="22"/>
        <w:lang w:val="en-US"/>
      </w:rPr>
      <w:fldChar w:fldCharType="separate"/>
    </w:r>
    <w:r>
      <w:rPr>
        <w:noProof/>
        <w:color w:val="0070C0"/>
        <w:sz w:val="22"/>
        <w:lang w:val="en-US"/>
      </w:rPr>
      <w:t>4</w:t>
    </w:r>
    <w:r w:rsidRPr="00B37774">
      <w:rPr>
        <w:color w:val="0070C0"/>
        <w:sz w:val="22"/>
        <w:lang w:val="en-US"/>
      </w:rPr>
      <w:fldChar w:fldCharType="end"/>
    </w:r>
    <w:r>
      <w:rPr>
        <w:color w:val="0070C0"/>
        <w:sz w:val="22"/>
        <w:lang w:val="en-US"/>
      </w:rPr>
      <w:t xml:space="preserve"> </w:t>
    </w:r>
    <w:sdt>
      <w:sdtPr>
        <w:rPr>
          <w:color w:val="0070C0"/>
          <w:sz w:val="36"/>
          <w:lang w:val="en-US"/>
        </w:rPr>
        <w:id w:val="280239314"/>
        <w:docPartObj>
          <w:docPartGallery w:val="Page Numbers (Bottom of Page)"/>
          <w:docPartUnique/>
        </w:docPartObj>
      </w:sdtPr>
      <w:sdtEndPr>
        <w:rPr>
          <w:b/>
        </w:rPr>
      </w:sdtEndPr>
      <w:sdtContent>
        <w:r w:rsidRPr="00037399">
          <w:rPr>
            <w:b/>
            <w:color w:val="FF3300"/>
            <w:sz w:val="40"/>
            <w:lang w:val="en-US"/>
          </w:rPr>
          <w:t>|</w:t>
        </w:r>
      </w:sdtContent>
    </w:sdt>
    <w:r w:rsidRPr="00572427">
      <w:rPr>
        <w:color w:val="0070C0"/>
        <w:sz w:val="22"/>
        <w:lang w:val="en-US"/>
      </w:rPr>
      <w:t xml:space="preserve"> </w:t>
    </w:r>
    <w:r>
      <w:rPr>
        <w:color w:val="0070C0"/>
        <w:sz w:val="22"/>
        <w:lang w:val="en-US"/>
      </w:rPr>
      <w:t xml:space="preserve">    </w:t>
    </w:r>
    <w:r>
      <w:rPr>
        <w:color w:val="0070C0"/>
        <w:sz w:val="22"/>
        <w:lang w:val="en-US"/>
      </w:rPr>
      <w:tab/>
    </w:r>
    <w:r>
      <w:rPr>
        <w:color w:val="0070C0"/>
        <w:sz w:val="22"/>
        <w:lang w:val="en-US"/>
      </w:rPr>
      <w:tab/>
      <w:t xml:space="preserve">              </w:t>
    </w:r>
    <w:r>
      <w:rPr>
        <w:b/>
        <w:color w:val="0070C0"/>
        <w:sz w:val="20"/>
        <w:lang w:val="en-US"/>
      </w:rPr>
      <w:t>Gr</w:t>
    </w:r>
    <w:r w:rsidRPr="00DD5BD3">
      <w:rPr>
        <w:b/>
        <w:color w:val="0070C0"/>
        <w:sz w:val="20"/>
        <w:lang w:val="en-US"/>
      </w:rPr>
      <w:t xml:space="preserve">eece </w:t>
    </w:r>
    <w:r w:rsidRPr="00037399">
      <w:rPr>
        <w:b/>
        <w:color w:val="FF3300"/>
        <w:sz w:val="22"/>
        <w:lang w:val="en-US"/>
      </w:rPr>
      <w:t>|</w:t>
    </w:r>
    <w:r w:rsidRPr="00DD5BD3">
      <w:rPr>
        <w:b/>
        <w:color w:val="0070C0"/>
        <w:sz w:val="20"/>
        <w:lang w:val="en-US"/>
      </w:rPr>
      <w:t xml:space="preserve"> </w:t>
    </w:r>
    <w:r w:rsidRPr="00037399">
      <w:rPr>
        <w:b/>
        <w:color w:val="0070C0"/>
        <w:sz w:val="20"/>
        <w:lang w:val="en-US"/>
      </w:rPr>
      <w:t>Annual Progress Report</w:t>
    </w:r>
    <w:r>
      <w:rPr>
        <w:b/>
        <w:color w:val="0070C0"/>
        <w:sz w:val="20"/>
        <w:lang w:val="en-US"/>
      </w:rPr>
      <w:t xml:space="preserve"> </w:t>
    </w:r>
    <w:r w:rsidRPr="00037399">
      <w:rPr>
        <w:b/>
        <w:color w:val="FF3300"/>
        <w:sz w:val="20"/>
        <w:lang w:val="en-US"/>
      </w:rPr>
      <w:t xml:space="preserve">2025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9D35C" w14:textId="77777777" w:rsidR="008126C9" w:rsidRPr="006A0FB3" w:rsidRDefault="008126C9" w:rsidP="006A0FB3">
    <w:pPr>
      <w:pStyle w:val="Footer"/>
      <w:spacing w:before="240"/>
      <w:jc w:val="right"/>
      <w:rPr>
        <w:b/>
        <w:color w:val="0070C0"/>
        <w:sz w:val="20"/>
        <w:lang w:val="en-US"/>
      </w:rPr>
    </w:pPr>
    <w:r>
      <w:rPr>
        <w:b/>
        <w:color w:val="0070C0"/>
        <w:sz w:val="20"/>
        <w:lang w:val="en-US"/>
      </w:rPr>
      <w:t>Gr</w:t>
    </w:r>
    <w:r w:rsidRPr="00DD5BD3">
      <w:rPr>
        <w:b/>
        <w:color w:val="0070C0"/>
        <w:sz w:val="20"/>
        <w:lang w:val="en-US"/>
      </w:rPr>
      <w:t xml:space="preserve">eece </w:t>
    </w:r>
    <w:r w:rsidRPr="00037399">
      <w:rPr>
        <w:b/>
        <w:color w:val="FF3300"/>
        <w:sz w:val="22"/>
        <w:lang w:val="en-US"/>
      </w:rPr>
      <w:t>|</w:t>
    </w:r>
    <w:r w:rsidRPr="00DD5BD3">
      <w:rPr>
        <w:b/>
        <w:color w:val="0070C0"/>
        <w:sz w:val="20"/>
        <w:lang w:val="en-US"/>
      </w:rPr>
      <w:t xml:space="preserve"> </w:t>
    </w:r>
    <w:bookmarkStart w:id="1" w:name="_Hlk175849240"/>
    <w:r>
      <w:rPr>
        <w:b/>
        <w:color w:val="0070C0"/>
        <w:sz w:val="20"/>
        <w:lang w:val="en-US"/>
      </w:rPr>
      <w:t xml:space="preserve">Annual Progress Report </w:t>
    </w:r>
    <w:r w:rsidRPr="00037399">
      <w:rPr>
        <w:b/>
        <w:color w:val="FF3300"/>
        <w:sz w:val="20"/>
        <w:lang w:val="en-US"/>
      </w:rPr>
      <w:t>2025</w:t>
    </w:r>
    <w:bookmarkEnd w:id="1"/>
    <w:r w:rsidRPr="00037399">
      <w:rPr>
        <w:b/>
        <w:color w:val="FF3300"/>
        <w:sz w:val="20"/>
        <w:lang w:val="en-US"/>
      </w:rPr>
      <w:t xml:space="preserve"> </w:t>
    </w:r>
    <w:r>
      <w:rPr>
        <w:b/>
        <w:color w:val="7030A0"/>
        <w:sz w:val="20"/>
        <w:lang w:val="en-US"/>
      </w:rPr>
      <w:tab/>
    </w:r>
    <w:r>
      <w:rPr>
        <w:b/>
        <w:color w:val="7030A0"/>
        <w:sz w:val="20"/>
        <w:lang w:val="en-US"/>
      </w:rPr>
      <w:tab/>
      <w:t xml:space="preserve">       </w:t>
    </w:r>
    <w:sdt>
      <w:sdtPr>
        <w:rPr>
          <w:color w:val="0070C0"/>
          <w:sz w:val="36"/>
          <w:lang w:val="en-US"/>
        </w:rPr>
        <w:id w:val="-1415323490"/>
        <w:docPartObj>
          <w:docPartGallery w:val="Page Numbers (Bottom of Page)"/>
          <w:docPartUnique/>
        </w:docPartObj>
      </w:sdtPr>
      <w:sdtEndPr>
        <w:rPr>
          <w:b/>
        </w:rPr>
      </w:sdtEndPr>
      <w:sdtContent>
        <w:r w:rsidRPr="00037399">
          <w:rPr>
            <w:b/>
            <w:color w:val="FF3300"/>
            <w:sz w:val="40"/>
            <w:lang w:val="en-US"/>
          </w:rPr>
          <w:t>|</w:t>
        </w:r>
      </w:sdtContent>
    </w:sdt>
    <w:r w:rsidRPr="00572427">
      <w:rPr>
        <w:color w:val="0070C0"/>
        <w:sz w:val="22"/>
        <w:lang w:val="en-US"/>
      </w:rPr>
      <w:t xml:space="preserve"> </w:t>
    </w:r>
    <w:r w:rsidRPr="00B37774">
      <w:rPr>
        <w:color w:val="0070C0"/>
        <w:sz w:val="22"/>
        <w:lang w:val="en-US"/>
      </w:rPr>
      <w:fldChar w:fldCharType="begin"/>
    </w:r>
    <w:r w:rsidRPr="00B37774">
      <w:rPr>
        <w:color w:val="0070C0"/>
        <w:sz w:val="22"/>
        <w:lang w:val="en-US"/>
      </w:rPr>
      <w:instrText xml:space="preserve"> PAGE   \* MERGEFORMAT </w:instrText>
    </w:r>
    <w:r w:rsidRPr="00B37774">
      <w:rPr>
        <w:color w:val="0070C0"/>
        <w:sz w:val="22"/>
        <w:lang w:val="en-US"/>
      </w:rPr>
      <w:fldChar w:fldCharType="separate"/>
    </w:r>
    <w:r w:rsidRPr="00F0563A">
      <w:rPr>
        <w:noProof/>
        <w:color w:val="0070C0"/>
        <w:lang w:val="en-US"/>
      </w:rPr>
      <w:t>5</w:t>
    </w:r>
    <w:r w:rsidRPr="00B37774">
      <w:rPr>
        <w:color w:val="0070C0"/>
        <w:sz w:val="22"/>
        <w:lang w:val="en-US"/>
      </w:rPr>
      <w:fldChar w:fldCharType="end"/>
    </w:r>
    <w:r>
      <w:rPr>
        <w:color w:val="0070C0"/>
        <w:sz w:val="22"/>
        <w:lang w:val="en-US"/>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F1488C" w14:textId="77777777" w:rsidR="0064630F" w:rsidRPr="007F6B40" w:rsidRDefault="0064630F" w:rsidP="005E1A8E">
    <w:pPr>
      <w:pStyle w:val="Footer"/>
      <w:spacing w:before="240"/>
      <w:rPr>
        <w:b/>
        <w:color w:val="0070C0"/>
        <w:sz w:val="20"/>
      </w:rPr>
    </w:pPr>
    <w:r w:rsidRPr="00B37774">
      <w:rPr>
        <w:color w:val="0070C0"/>
        <w:sz w:val="22"/>
        <w:lang w:val="en-US"/>
      </w:rPr>
      <w:fldChar w:fldCharType="begin"/>
    </w:r>
    <w:r w:rsidRPr="00B37774">
      <w:rPr>
        <w:color w:val="0070C0"/>
        <w:sz w:val="22"/>
        <w:lang w:val="en-US"/>
      </w:rPr>
      <w:instrText xml:space="preserve"> PAGE   \* MERGEFORMAT </w:instrText>
    </w:r>
    <w:r w:rsidRPr="00B37774">
      <w:rPr>
        <w:color w:val="0070C0"/>
        <w:sz w:val="22"/>
        <w:lang w:val="en-US"/>
      </w:rPr>
      <w:fldChar w:fldCharType="separate"/>
    </w:r>
    <w:r>
      <w:rPr>
        <w:noProof/>
        <w:color w:val="0070C0"/>
        <w:sz w:val="22"/>
        <w:lang w:val="en-US"/>
      </w:rPr>
      <w:t>10</w:t>
    </w:r>
    <w:r w:rsidRPr="00B37774">
      <w:rPr>
        <w:color w:val="0070C0"/>
        <w:sz w:val="22"/>
        <w:lang w:val="en-US"/>
      </w:rPr>
      <w:fldChar w:fldCharType="end"/>
    </w:r>
    <w:r>
      <w:rPr>
        <w:color w:val="0070C0"/>
        <w:sz w:val="22"/>
        <w:lang w:val="en-US"/>
      </w:rPr>
      <w:t xml:space="preserve"> </w:t>
    </w:r>
    <w:sdt>
      <w:sdtPr>
        <w:rPr>
          <w:color w:val="0070C0"/>
          <w:sz w:val="36"/>
          <w:lang w:val="en-US"/>
        </w:rPr>
        <w:id w:val="-647830380"/>
        <w:docPartObj>
          <w:docPartGallery w:val="Page Numbers (Bottom of Page)"/>
          <w:docPartUnique/>
        </w:docPartObj>
      </w:sdtPr>
      <w:sdtEndPr>
        <w:rPr>
          <w:b/>
        </w:rPr>
      </w:sdtEndPr>
      <w:sdtContent>
        <w:r w:rsidRPr="007F6B40">
          <w:rPr>
            <w:b/>
            <w:color w:val="92D050"/>
            <w:sz w:val="40"/>
            <w:lang w:val="en-US"/>
          </w:rPr>
          <w:t>|</w:t>
        </w:r>
      </w:sdtContent>
    </w:sdt>
    <w:r w:rsidRPr="00572427">
      <w:rPr>
        <w:color w:val="0070C0"/>
        <w:sz w:val="22"/>
        <w:lang w:val="en-US"/>
      </w:rPr>
      <w:t xml:space="preserve"> </w:t>
    </w:r>
    <w:r>
      <w:rPr>
        <w:color w:val="0070C0"/>
        <w:sz w:val="22"/>
        <w:lang w:val="en-US"/>
      </w:rPr>
      <w:t xml:space="preserve">    </w:t>
    </w:r>
    <w:r>
      <w:rPr>
        <w:color w:val="0070C0"/>
        <w:sz w:val="22"/>
        <w:lang w:val="en-US"/>
      </w:rPr>
      <w:tab/>
    </w:r>
    <w:r>
      <w:rPr>
        <w:color w:val="0070C0"/>
        <w:sz w:val="22"/>
        <w:lang w:val="en-US"/>
      </w:rPr>
      <w:tab/>
      <w:t xml:space="preserve">              </w:t>
    </w:r>
    <w:r>
      <w:rPr>
        <w:b/>
        <w:color w:val="0070C0"/>
        <w:sz w:val="20"/>
        <w:lang w:val="en-US"/>
      </w:rPr>
      <w:t>Gr</w:t>
    </w:r>
    <w:r w:rsidRPr="00DD5BD3">
      <w:rPr>
        <w:b/>
        <w:color w:val="0070C0"/>
        <w:sz w:val="20"/>
        <w:lang w:val="en-US"/>
      </w:rPr>
      <w:t xml:space="preserve">eece </w:t>
    </w:r>
    <w:r w:rsidRPr="007F6B40">
      <w:rPr>
        <w:b/>
        <w:color w:val="92D050"/>
        <w:sz w:val="22"/>
        <w:lang w:val="en-US"/>
      </w:rPr>
      <w:t>|</w:t>
    </w:r>
    <w:r w:rsidRPr="00DD5BD3">
      <w:rPr>
        <w:b/>
        <w:color w:val="0070C0"/>
        <w:sz w:val="20"/>
        <w:lang w:val="en-US"/>
      </w:rPr>
      <w:t xml:space="preserve"> </w:t>
    </w:r>
    <w:r w:rsidRPr="00037399">
      <w:rPr>
        <w:b/>
        <w:color w:val="0070C0"/>
        <w:sz w:val="20"/>
        <w:lang w:val="en-US"/>
      </w:rPr>
      <w:t>Annual Progress Report</w:t>
    </w:r>
    <w:r>
      <w:rPr>
        <w:b/>
        <w:color w:val="0070C0"/>
        <w:sz w:val="20"/>
        <w:lang w:val="en-US"/>
      </w:rPr>
      <w:t xml:space="preserve"> </w:t>
    </w:r>
    <w:r w:rsidRPr="007F6B40">
      <w:rPr>
        <w:b/>
        <w:color w:val="92D050"/>
        <w:sz w:val="22"/>
        <w:lang w:val="en-US"/>
      </w:rPr>
      <w:t>202</w:t>
    </w:r>
    <w:r w:rsidRPr="007F6B40">
      <w:rPr>
        <w:b/>
        <w:color w:val="92D050"/>
        <w:sz w:val="22"/>
      </w:rPr>
      <w:t>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D85C4" w14:textId="77777777" w:rsidR="0064630F" w:rsidRPr="00B9705B" w:rsidRDefault="0064630F" w:rsidP="007F6B40">
    <w:pPr>
      <w:pStyle w:val="Footer"/>
      <w:spacing w:before="240"/>
      <w:jc w:val="right"/>
      <w:rPr>
        <w:b/>
        <w:color w:val="0070C0"/>
        <w:sz w:val="20"/>
        <w:lang w:val="en-US"/>
      </w:rPr>
    </w:pPr>
    <w:r>
      <w:rPr>
        <w:b/>
        <w:color w:val="0070C0"/>
        <w:sz w:val="20"/>
        <w:lang w:val="en-US"/>
      </w:rPr>
      <w:t>Gr</w:t>
    </w:r>
    <w:r w:rsidRPr="00DD5BD3">
      <w:rPr>
        <w:b/>
        <w:color w:val="0070C0"/>
        <w:sz w:val="20"/>
        <w:lang w:val="en-US"/>
      </w:rPr>
      <w:t xml:space="preserve">eece </w:t>
    </w:r>
    <w:r w:rsidRPr="007F6B40">
      <w:rPr>
        <w:b/>
        <w:color w:val="92D050"/>
        <w:sz w:val="22"/>
        <w:lang w:val="en-US"/>
      </w:rPr>
      <w:t>|</w:t>
    </w:r>
    <w:r w:rsidRPr="00DD5BD3">
      <w:rPr>
        <w:b/>
        <w:color w:val="0070C0"/>
        <w:sz w:val="20"/>
        <w:lang w:val="en-US"/>
      </w:rPr>
      <w:t xml:space="preserve"> </w:t>
    </w:r>
    <w:r>
      <w:rPr>
        <w:b/>
        <w:color w:val="0070C0"/>
        <w:sz w:val="20"/>
        <w:lang w:val="en-US"/>
      </w:rPr>
      <w:t xml:space="preserve">Annual Progress Report </w:t>
    </w:r>
    <w:r w:rsidRPr="007F6B40">
      <w:rPr>
        <w:b/>
        <w:color w:val="92D050"/>
        <w:sz w:val="22"/>
        <w:lang w:val="en-US"/>
      </w:rPr>
      <w:t>202</w:t>
    </w:r>
    <w:r w:rsidRPr="007F6B40">
      <w:rPr>
        <w:b/>
        <w:color w:val="92D050"/>
        <w:sz w:val="22"/>
      </w:rPr>
      <w:t>6</w:t>
    </w:r>
    <w:r w:rsidRPr="007F6B40">
      <w:rPr>
        <w:b/>
        <w:color w:val="92D050"/>
        <w:sz w:val="22"/>
        <w:lang w:val="en-US"/>
      </w:rPr>
      <w:t xml:space="preserve"> </w:t>
    </w:r>
    <w:r>
      <w:rPr>
        <w:b/>
        <w:color w:val="7030A0"/>
        <w:sz w:val="20"/>
        <w:lang w:val="en-US"/>
      </w:rPr>
      <w:tab/>
    </w:r>
    <w:r>
      <w:rPr>
        <w:b/>
        <w:color w:val="7030A0"/>
        <w:sz w:val="20"/>
        <w:lang w:val="en-US"/>
      </w:rPr>
      <w:tab/>
      <w:t xml:space="preserve">            </w:t>
    </w:r>
    <w:sdt>
      <w:sdtPr>
        <w:rPr>
          <w:color w:val="0070C0"/>
          <w:sz w:val="36"/>
          <w:lang w:val="en-US"/>
        </w:rPr>
        <w:id w:val="1974019148"/>
        <w:docPartObj>
          <w:docPartGallery w:val="Page Numbers (Bottom of Page)"/>
          <w:docPartUnique/>
        </w:docPartObj>
      </w:sdtPr>
      <w:sdtEndPr>
        <w:rPr>
          <w:b/>
        </w:rPr>
      </w:sdtEndPr>
      <w:sdtContent>
        <w:r w:rsidRPr="007F6B40">
          <w:rPr>
            <w:b/>
            <w:color w:val="92D050"/>
            <w:sz w:val="40"/>
            <w:lang w:val="en-US"/>
          </w:rPr>
          <w:t>|</w:t>
        </w:r>
      </w:sdtContent>
    </w:sdt>
    <w:r w:rsidRPr="00572427">
      <w:rPr>
        <w:color w:val="0070C0"/>
        <w:sz w:val="22"/>
        <w:lang w:val="en-US"/>
      </w:rPr>
      <w:t xml:space="preserve"> </w:t>
    </w:r>
    <w:r w:rsidRPr="00B37774">
      <w:rPr>
        <w:color w:val="0070C0"/>
        <w:sz w:val="22"/>
        <w:lang w:val="en-US"/>
      </w:rPr>
      <w:fldChar w:fldCharType="begin"/>
    </w:r>
    <w:r w:rsidRPr="00B37774">
      <w:rPr>
        <w:color w:val="0070C0"/>
        <w:sz w:val="22"/>
        <w:lang w:val="en-US"/>
      </w:rPr>
      <w:instrText xml:space="preserve"> PAGE   \* MERGEFORMAT </w:instrText>
    </w:r>
    <w:r w:rsidRPr="00B37774">
      <w:rPr>
        <w:color w:val="0070C0"/>
        <w:sz w:val="22"/>
        <w:lang w:val="en-US"/>
      </w:rPr>
      <w:fldChar w:fldCharType="separate"/>
    </w:r>
    <w:r w:rsidRPr="00C25489">
      <w:rPr>
        <w:noProof/>
        <w:color w:val="0070C0"/>
        <w:lang w:val="en-US"/>
      </w:rPr>
      <w:t>11</w:t>
    </w:r>
    <w:r w:rsidRPr="00B37774">
      <w:rPr>
        <w:color w:val="0070C0"/>
        <w:sz w:val="22"/>
        <w:lang w:val="en-US"/>
      </w:rPr>
      <w:fldChar w:fldCharType="end"/>
    </w:r>
    <w:r>
      <w:rPr>
        <w:color w:val="0070C0"/>
        <w:sz w:val="22"/>
        <w:lang w:val="en-US"/>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3CC4E" w14:textId="331887DC" w:rsidR="008126C9" w:rsidRPr="00B70F95" w:rsidRDefault="008126C9" w:rsidP="00B70F9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88503" w14:textId="0CD65980" w:rsidR="008126C9" w:rsidRPr="00B70F95" w:rsidRDefault="008126C9" w:rsidP="00B70F9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541A3" w14:textId="15D5397C" w:rsidR="008126C9" w:rsidRPr="00B70F95" w:rsidRDefault="008126C9" w:rsidP="00B70F9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76120" w14:textId="6285ECA7" w:rsidR="008126C9" w:rsidRPr="00D02539" w:rsidRDefault="008126C9" w:rsidP="00D025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495CDC" w14:textId="77777777" w:rsidR="008126C9" w:rsidRDefault="008126C9" w:rsidP="00404883">
      <w:pPr>
        <w:spacing w:after="0" w:line="240" w:lineRule="auto"/>
      </w:pPr>
      <w:r>
        <w:separator/>
      </w:r>
    </w:p>
  </w:footnote>
  <w:footnote w:type="continuationSeparator" w:id="0">
    <w:p w14:paraId="562C3594" w14:textId="77777777" w:rsidR="008126C9" w:rsidRDefault="008126C9" w:rsidP="00404883">
      <w:pPr>
        <w:spacing w:after="0" w:line="240" w:lineRule="auto"/>
      </w:pPr>
      <w:r>
        <w:continuationSeparator/>
      </w:r>
    </w:p>
  </w:footnote>
  <w:footnote w:id="1">
    <w:p w14:paraId="6E3DF057" w14:textId="77777777" w:rsidR="0064630F" w:rsidRPr="00861977" w:rsidRDefault="0064630F">
      <w:pPr>
        <w:pStyle w:val="FootnoteText"/>
        <w:rPr>
          <w:lang w:val="en-US"/>
        </w:rPr>
      </w:pPr>
      <w:r>
        <w:rPr>
          <w:rStyle w:val="FootnoteReference"/>
        </w:rPr>
        <w:footnoteRef/>
      </w:r>
      <w:r>
        <w:t xml:space="preserve"> </w:t>
      </w:r>
      <w:hyperlink r:id="rId1" w:history="1">
        <w:r w:rsidRPr="00451CC2">
          <w:rPr>
            <w:rStyle w:val="Hyperlink"/>
            <w:rFonts w:ascii="Calibri" w:eastAsia="Calibri" w:hAnsi="Calibri" w:cs="Calibri"/>
            <w:sz w:val="24"/>
            <w:szCs w:val="24"/>
            <w:lang w:val="en-US"/>
          </w:rPr>
          <w:t>https://ose.gr/organismos/%CF%83%CF%8D%CE%BC%CE%B2%CE%B1%CF%83%CE%B7-%CE%BF%CF%83%CE%B5-%CE%B5%CE%BB-%CE%B4%CE%B7%CE%BC%CE%BF%CF%83%CE%AF%CE%BF%CF%85/</w:t>
        </w:r>
      </w:hyperlink>
    </w:p>
  </w:footnote>
  <w:footnote w:id="2">
    <w:p w14:paraId="6A1AEF10" w14:textId="77777777" w:rsidR="0064630F" w:rsidRPr="00BD17D4" w:rsidRDefault="0064630F" w:rsidP="00D02539">
      <w:pPr>
        <w:pStyle w:val="FootnoteText"/>
        <w:rPr>
          <w:rFonts w:ascii="Times New Roman" w:hAnsi="Times New Roman" w:cs="Times New Roman"/>
          <w:sz w:val="18"/>
          <w:szCs w:val="18"/>
          <w:lang w:val="en-US"/>
        </w:rPr>
      </w:pPr>
      <w:r w:rsidRPr="00BD17D4">
        <w:rPr>
          <w:rStyle w:val="FootnoteReference"/>
          <w:rFonts w:ascii="Times New Roman" w:hAnsi="Times New Roman" w:cs="Times New Roman"/>
          <w:sz w:val="18"/>
          <w:szCs w:val="18"/>
        </w:rPr>
        <w:footnoteRef/>
      </w:r>
      <w:r w:rsidRPr="00BD17D4">
        <w:rPr>
          <w:rFonts w:ascii="Times New Roman" w:hAnsi="Times New Roman" w:cs="Times New Roman"/>
          <w:sz w:val="18"/>
          <w:szCs w:val="18"/>
          <w:lang w:val="en-US"/>
        </w:rPr>
        <w:t>. A comprehensive analysis of macroeconomic and budgetary developments of the Greek economy will be included in the forthcoming HFISC bi-annual report.</w:t>
      </w:r>
    </w:p>
  </w:footnote>
  <w:footnote w:id="3">
    <w:p w14:paraId="26522BE7" w14:textId="77777777" w:rsidR="0064630F" w:rsidRPr="002D050B" w:rsidRDefault="0064630F" w:rsidP="00D02539">
      <w:pPr>
        <w:pStyle w:val="FootnoteText"/>
        <w:rPr>
          <w:rFonts w:ascii="Times New Roman" w:hAnsi="Times New Roman" w:cs="Times New Roman"/>
          <w:sz w:val="18"/>
          <w:szCs w:val="18"/>
          <w:lang w:val="en-US"/>
        </w:rPr>
      </w:pPr>
      <w:r w:rsidRPr="00BD17D4">
        <w:rPr>
          <w:rStyle w:val="FootnoteReference"/>
          <w:rFonts w:ascii="Times New Roman" w:hAnsi="Times New Roman" w:cs="Times New Roman"/>
          <w:sz w:val="18"/>
          <w:szCs w:val="18"/>
        </w:rPr>
        <w:footnoteRef/>
      </w:r>
      <w:r w:rsidRPr="00BD17D4">
        <w:rPr>
          <w:rFonts w:ascii="Times New Roman" w:hAnsi="Times New Roman" w:cs="Times New Roman"/>
          <w:sz w:val="18"/>
          <w:szCs w:val="18"/>
          <w:lang w:val="en-US"/>
        </w:rPr>
        <w:t xml:space="preserve">. </w:t>
      </w:r>
      <w:r>
        <w:rPr>
          <w:rFonts w:ascii="Times New Roman" w:hAnsi="Times New Roman" w:cs="Times New Roman"/>
          <w:sz w:val="18"/>
          <w:szCs w:val="18"/>
          <w:lang w:val="en-US"/>
        </w:rPr>
        <w:t>The n</w:t>
      </w:r>
      <w:r w:rsidRPr="00BD17D4">
        <w:rPr>
          <w:rFonts w:ascii="Times New Roman" w:hAnsi="Times New Roman" w:cs="Times New Roman"/>
          <w:sz w:val="18"/>
          <w:szCs w:val="18"/>
          <w:lang w:val="en-US"/>
        </w:rPr>
        <w:t xml:space="preserve">ew </w:t>
      </w:r>
      <w:r w:rsidRPr="00BD17D4">
        <w:rPr>
          <w:rFonts w:ascii="Times New Roman" w:hAnsi="Times New Roman" w:cs="Times New Roman"/>
          <w:sz w:val="18"/>
          <w:szCs w:val="18"/>
          <w:lang w:val="en-GB"/>
        </w:rPr>
        <w:t>Economic Governance</w:t>
      </w:r>
      <w:r w:rsidRPr="00BD17D4">
        <w:rPr>
          <w:rFonts w:ascii="Times New Roman" w:hAnsi="Times New Roman" w:cs="Times New Roman"/>
          <w:sz w:val="18"/>
          <w:szCs w:val="18"/>
          <w:lang w:val="en-US"/>
        </w:rPr>
        <w:t xml:space="preserve"> framework entered into force on April 30</w:t>
      </w:r>
      <w:r w:rsidRPr="00BD17D4">
        <w:rPr>
          <w:rFonts w:ascii="Times New Roman" w:hAnsi="Times New Roman" w:cs="Times New Roman"/>
          <w:sz w:val="18"/>
          <w:szCs w:val="18"/>
          <w:vertAlign w:val="superscript"/>
          <w:lang w:val="en-US"/>
        </w:rPr>
        <w:t>th</w:t>
      </w:r>
      <w:r w:rsidRPr="00BD17D4">
        <w:rPr>
          <w:rFonts w:ascii="Times New Roman" w:hAnsi="Times New Roman" w:cs="Times New Roman"/>
          <w:sz w:val="18"/>
          <w:szCs w:val="18"/>
          <w:lang w:val="en-US"/>
        </w:rPr>
        <w:t>, 2024</w:t>
      </w:r>
      <w:r>
        <w:rPr>
          <w:rFonts w:ascii="Times New Roman" w:hAnsi="Times New Roman" w:cs="Times New Roman"/>
          <w:sz w:val="18"/>
          <w:szCs w:val="18"/>
          <w:lang w:val="en-US"/>
        </w:rPr>
        <w:t xml:space="preserve">: </w:t>
      </w:r>
      <w:r w:rsidRPr="00BD17D4">
        <w:rPr>
          <w:rFonts w:ascii="Times New Roman" w:hAnsi="Times New Roman" w:cs="Times New Roman"/>
          <w:sz w:val="18"/>
          <w:szCs w:val="18"/>
          <w:lang w:val="en-US"/>
        </w:rPr>
        <w:t xml:space="preserve">Regulation (EU) 2024/1263 of the European Parliament and of the Council of 29 April 2024 on the effective coordination of economic policies and on multilateral budgetary surveillance and repealing Council Regulation (EC) No 1466/97 (OJ L 2024/1263), Council Regulation (EU) 2024/1264 of 29 April 2024 amending Regulation (EC) No 1467/97 on speeding up and clarifying the implementation </w:t>
      </w:r>
      <w:r w:rsidRPr="002D050B">
        <w:rPr>
          <w:rFonts w:ascii="Times New Roman" w:hAnsi="Times New Roman" w:cs="Times New Roman"/>
          <w:sz w:val="18"/>
          <w:szCs w:val="18"/>
          <w:lang w:val="en-US"/>
        </w:rPr>
        <w:t xml:space="preserve">of the excessive deficit procedure (OJ L, 2024/1264, 30.4.2024) and Council Directive (EU) 2024/1265 of 29 April 2024 amending Directive 2011/85/EU on requirements for budgetary frameworks of the Member States (OJ L, 2024/1265, 30.4.2024). </w:t>
      </w:r>
    </w:p>
  </w:footnote>
  <w:footnote w:id="4">
    <w:p w14:paraId="396B16C2" w14:textId="77777777" w:rsidR="0064630F" w:rsidRPr="002D050B" w:rsidRDefault="0064630F" w:rsidP="00D02539">
      <w:pPr>
        <w:pStyle w:val="FootnoteText"/>
        <w:rPr>
          <w:rFonts w:ascii="Times New Roman" w:hAnsi="Times New Roman" w:cs="Times New Roman"/>
          <w:sz w:val="18"/>
          <w:szCs w:val="18"/>
          <w:lang w:val="en-US"/>
        </w:rPr>
      </w:pPr>
      <w:r w:rsidRPr="002D050B">
        <w:rPr>
          <w:rStyle w:val="FootnoteReference"/>
          <w:rFonts w:ascii="Times New Roman" w:hAnsi="Times New Roman" w:cs="Times New Roman"/>
          <w:sz w:val="18"/>
          <w:szCs w:val="18"/>
        </w:rPr>
        <w:footnoteRef/>
      </w:r>
      <w:r w:rsidRPr="002D050B">
        <w:rPr>
          <w:rFonts w:ascii="Times New Roman" w:hAnsi="Times New Roman" w:cs="Times New Roman"/>
          <w:sz w:val="18"/>
          <w:szCs w:val="18"/>
          <w:lang w:val="en-US"/>
        </w:rPr>
        <w:t xml:space="preserve">. </w:t>
      </w:r>
      <w:hyperlink r:id="rId2" w:history="1">
        <w:r w:rsidRPr="002D050B">
          <w:rPr>
            <w:rStyle w:val="Hyperlink"/>
            <w:rFonts w:ascii="Times New Roman" w:hAnsi="Times New Roman" w:cs="Times New Roman"/>
            <w:sz w:val="18"/>
            <w:szCs w:val="18"/>
            <w:lang w:val="en-US"/>
          </w:rPr>
          <w:t>OJ L 2024/1263</w:t>
        </w:r>
      </w:hyperlink>
      <w:r w:rsidRPr="002D050B">
        <w:rPr>
          <w:rStyle w:val="Hyperlink"/>
          <w:rFonts w:ascii="Times New Roman" w:hAnsi="Times New Roman" w:cs="Times New Roman"/>
          <w:sz w:val="18"/>
          <w:szCs w:val="18"/>
          <w:lang w:val="en-US"/>
        </w:rPr>
        <w:t>, 10.2.2025</w:t>
      </w:r>
      <w:r>
        <w:rPr>
          <w:rStyle w:val="Hyperlink"/>
          <w:rFonts w:ascii="Times New Roman" w:hAnsi="Times New Roman" w:cs="Times New Roman"/>
          <w:sz w:val="18"/>
          <w:szCs w:val="18"/>
          <w:lang w:val="en-US"/>
        </w:rPr>
        <w:t>.</w:t>
      </w:r>
    </w:p>
  </w:footnote>
  <w:footnote w:id="5">
    <w:p w14:paraId="5C54E226" w14:textId="77777777" w:rsidR="0064630F" w:rsidRPr="002D050B" w:rsidRDefault="0064630F" w:rsidP="00D02539">
      <w:pPr>
        <w:pStyle w:val="FootnoteText"/>
        <w:rPr>
          <w:lang w:val="en-US"/>
        </w:rPr>
      </w:pPr>
      <w:r w:rsidRPr="002D050B">
        <w:rPr>
          <w:rStyle w:val="FootnoteReference"/>
          <w:rFonts w:ascii="Times New Roman" w:hAnsi="Times New Roman" w:cs="Times New Roman"/>
          <w:sz w:val="18"/>
          <w:szCs w:val="18"/>
        </w:rPr>
        <w:footnoteRef/>
      </w:r>
      <w:r>
        <w:rPr>
          <w:rFonts w:ascii="Times New Roman" w:hAnsi="Times New Roman" w:cs="Times New Roman"/>
          <w:sz w:val="18"/>
          <w:szCs w:val="18"/>
          <w:lang w:val="en-US"/>
        </w:rPr>
        <w:t>.</w:t>
      </w:r>
      <w:r w:rsidRPr="002D050B">
        <w:rPr>
          <w:rFonts w:ascii="Times New Roman" w:hAnsi="Times New Roman" w:cs="Times New Roman"/>
          <w:sz w:val="18"/>
          <w:szCs w:val="18"/>
          <w:lang w:val="en-US"/>
        </w:rPr>
        <w:t xml:space="preserve"> </w:t>
      </w:r>
      <w:hyperlink r:id="rId3" w:history="1">
        <w:r w:rsidRPr="002D050B">
          <w:rPr>
            <w:rStyle w:val="Hyperlink"/>
            <w:rFonts w:ascii="Times New Roman" w:hAnsi="Times New Roman" w:cs="Times New Roman"/>
            <w:sz w:val="18"/>
            <w:szCs w:val="18"/>
            <w:lang w:val="en-US"/>
          </w:rPr>
          <w:t>OJ C, C/2025/3965, 20.08.2025</w:t>
        </w:r>
      </w:hyperlink>
      <w:r>
        <w:rPr>
          <w:rFonts w:ascii="Times New Roman" w:hAnsi="Times New Roman" w:cs="Times New Roman"/>
          <w:sz w:val="18"/>
          <w:szCs w:val="18"/>
          <w:lang w:val="en-US"/>
        </w:rPr>
        <w:t>.</w:t>
      </w:r>
    </w:p>
  </w:footnote>
  <w:footnote w:id="6">
    <w:p w14:paraId="3F74A532" w14:textId="77777777" w:rsidR="0064630F" w:rsidRPr="00E06A36" w:rsidRDefault="0064630F" w:rsidP="00D02539">
      <w:pPr>
        <w:pStyle w:val="footnotedescription"/>
        <w:spacing w:line="259" w:lineRule="auto"/>
        <w:rPr>
          <w:rFonts w:ascii="Times New Roman" w:hAnsi="Times New Roman" w:cs="Times New Roman"/>
          <w:szCs w:val="18"/>
          <w:lang w:val="en-US"/>
        </w:rPr>
      </w:pPr>
      <w:r w:rsidRPr="00E06A36">
        <w:rPr>
          <w:rStyle w:val="footnotemark"/>
          <w:rFonts w:ascii="Times New Roman" w:hAnsi="Times New Roman" w:cs="Times New Roman"/>
          <w:szCs w:val="18"/>
        </w:rPr>
        <w:footnoteRef/>
      </w:r>
      <w:r w:rsidRPr="00E06A36">
        <w:rPr>
          <w:rFonts w:ascii="Times New Roman" w:hAnsi="Times New Roman" w:cs="Times New Roman"/>
          <w:szCs w:val="18"/>
          <w:lang w:val="en-US"/>
        </w:rPr>
        <w:t xml:space="preserve">. Hellenic Statistical Authority, press releases 06/03/2026, </w:t>
      </w:r>
      <w:hyperlink r:id="rId4" w:history="1">
        <w:r w:rsidRPr="00E06A36">
          <w:rPr>
            <w:rStyle w:val="Hyperlink"/>
            <w:rFonts w:ascii="Times New Roman" w:hAnsi="Times New Roman" w:cs="Times New Roman"/>
            <w:szCs w:val="18"/>
            <w:lang w:val="en-US"/>
          </w:rPr>
          <w:t>Quarterly National Accounts (provisional data) - Annual National Accounts (estimates)</w:t>
        </w:r>
      </w:hyperlink>
      <w:r w:rsidRPr="00E06A36">
        <w:rPr>
          <w:rFonts w:ascii="Times New Roman" w:hAnsi="Times New Roman" w:cs="Times New Roman"/>
          <w:szCs w:val="18"/>
          <w:lang w:val="en-US"/>
        </w:rPr>
        <w:t xml:space="preserve"> and 22/04/2026, </w:t>
      </w:r>
      <w:hyperlink r:id="rId5" w:history="1">
        <w:r w:rsidRPr="00E06A36">
          <w:rPr>
            <w:rStyle w:val="Hyperlink"/>
            <w:rFonts w:ascii="Times New Roman" w:hAnsi="Times New Roman" w:cs="Times New Roman"/>
            <w:szCs w:val="18"/>
            <w:lang w:val="en-US"/>
          </w:rPr>
          <w:t>Fiscal Data (1st notification).</w:t>
        </w:r>
      </w:hyperlink>
    </w:p>
  </w:footnote>
  <w:footnote w:id="7">
    <w:p w14:paraId="78F23D63" w14:textId="77777777" w:rsidR="0064630F" w:rsidRPr="00E06A36" w:rsidRDefault="0064630F" w:rsidP="00D02539">
      <w:pPr>
        <w:pStyle w:val="FootnoteText"/>
        <w:rPr>
          <w:rFonts w:ascii="Times New Roman" w:hAnsi="Times New Roman" w:cs="Times New Roman"/>
          <w:sz w:val="18"/>
          <w:szCs w:val="18"/>
          <w:lang w:val="en-US"/>
        </w:rPr>
      </w:pPr>
      <w:r w:rsidRPr="00E06A36">
        <w:rPr>
          <w:rStyle w:val="FootnoteReference"/>
          <w:rFonts w:ascii="Times New Roman" w:hAnsi="Times New Roman" w:cs="Times New Roman"/>
          <w:sz w:val="18"/>
          <w:szCs w:val="18"/>
        </w:rPr>
        <w:footnoteRef/>
      </w:r>
      <w:r w:rsidRPr="00E06A36">
        <w:rPr>
          <w:rFonts w:ascii="Times New Roman" w:hAnsi="Times New Roman" w:cs="Times New Roman"/>
          <w:sz w:val="18"/>
          <w:szCs w:val="18"/>
          <w:lang w:val="en-US"/>
        </w:rPr>
        <w:t xml:space="preserve">. </w:t>
      </w:r>
      <w:hyperlink r:id="rId6" w:history="1">
        <w:r w:rsidRPr="00ED496A">
          <w:rPr>
            <w:rStyle w:val="Hyperlink"/>
            <w:rFonts w:ascii="Times New Roman" w:hAnsi="Times New Roman" w:cs="Times New Roman"/>
            <w:sz w:val="18"/>
            <w:szCs w:val="18"/>
            <w:lang w:val="en-US"/>
          </w:rPr>
          <w:t>Draft Bugetary Plan 2026, Ministry of Finance, October 2025</w:t>
        </w:r>
      </w:hyperlink>
      <w:r>
        <w:rPr>
          <w:rFonts w:ascii="Times New Roman" w:hAnsi="Times New Roman" w:cs="Times New Roman"/>
          <w:sz w:val="18"/>
          <w:szCs w:val="18"/>
          <w:lang w:val="en-US"/>
        </w:rPr>
        <w:t>.</w:t>
      </w:r>
    </w:p>
  </w:footnote>
  <w:footnote w:id="8">
    <w:p w14:paraId="0029F116" w14:textId="77777777" w:rsidR="0064630F" w:rsidRPr="00BD17D4" w:rsidRDefault="0064630F" w:rsidP="00D02539">
      <w:pPr>
        <w:pStyle w:val="footnotedescription"/>
        <w:spacing w:line="259" w:lineRule="auto"/>
        <w:rPr>
          <w:rFonts w:ascii="Times New Roman" w:hAnsi="Times New Roman" w:cs="Times New Roman"/>
          <w:szCs w:val="18"/>
          <w:lang w:val="en-US"/>
        </w:rPr>
      </w:pPr>
      <w:r w:rsidRPr="00E06A36">
        <w:rPr>
          <w:rStyle w:val="footnotemark"/>
          <w:rFonts w:ascii="Times New Roman" w:hAnsi="Times New Roman" w:cs="Times New Roman"/>
          <w:szCs w:val="18"/>
        </w:rPr>
        <w:footnoteRef/>
      </w:r>
      <w:r w:rsidRPr="00E06A36">
        <w:rPr>
          <w:rFonts w:ascii="Times New Roman" w:hAnsi="Times New Roman" w:cs="Times New Roman"/>
          <w:szCs w:val="18"/>
          <w:lang w:val="en-US"/>
        </w:rPr>
        <w:t xml:space="preserve">. </w:t>
      </w:r>
      <w:r w:rsidR="000B61F1">
        <w:fldChar w:fldCharType="begin"/>
      </w:r>
      <w:r w:rsidR="000B61F1" w:rsidRPr="00C24F2C">
        <w:rPr>
          <w:lang w:val="en-US"/>
        </w:rPr>
        <w:instrText xml:space="preserve"> HYPERLINK "https://minfin.gov.gr/wp-content/uploads/2025/11/%CE%95%CE%B9%CF%83%CE%B7%CE%B3%CE%B7%CF%84%CE%B9%CE%BA%CE%AE-%CE%95%CE%BA%CE%B8%CE%B5%CF%83%CE%B7-%CE%A0%CF%81%CE%BF%CF%8B%CF%80%CE%BF%CE%BB%CE%BF%CE%B3%CE%B9%CF%83%CE%BC%CE%BF%CF%8D-2026.pdf" </w:instrText>
      </w:r>
      <w:r w:rsidR="000B61F1">
        <w:fldChar w:fldCharType="separate"/>
      </w:r>
      <w:r w:rsidRPr="00E06A36">
        <w:rPr>
          <w:rStyle w:val="Hyperlink"/>
          <w:rFonts w:ascii="Times New Roman" w:hAnsi="Times New Roman" w:cs="Times New Roman"/>
          <w:szCs w:val="18"/>
          <w:lang w:val="en-US"/>
        </w:rPr>
        <w:t>State Budget 2026 (In Greek) – Ministry of Economy and Finance</w:t>
      </w:r>
      <w:r w:rsidR="000B61F1">
        <w:rPr>
          <w:rStyle w:val="Hyperlink"/>
          <w:rFonts w:ascii="Times New Roman" w:hAnsi="Times New Roman" w:cs="Times New Roman"/>
          <w:szCs w:val="18"/>
          <w:lang w:val="en-US"/>
        </w:rPr>
        <w:fldChar w:fldCharType="end"/>
      </w:r>
      <w:r>
        <w:rPr>
          <w:rStyle w:val="Hyperlink"/>
          <w:rFonts w:ascii="Times New Roman" w:hAnsi="Times New Roman" w:cs="Times New Roman"/>
          <w:szCs w:val="18"/>
          <w:lang w:val="en-US"/>
        </w:rPr>
        <w:t>, November 2025.</w:t>
      </w:r>
    </w:p>
  </w:footnote>
  <w:footnote w:id="9">
    <w:p w14:paraId="64127EAE" w14:textId="77777777" w:rsidR="0064630F" w:rsidRPr="00BD17D4" w:rsidRDefault="0064630F" w:rsidP="00D02539">
      <w:pPr>
        <w:pStyle w:val="footnotedescription"/>
        <w:ind w:right="2529"/>
        <w:rPr>
          <w:rFonts w:ascii="Times New Roman" w:hAnsi="Times New Roman" w:cs="Times New Roman"/>
          <w:szCs w:val="18"/>
          <w:lang w:val="en-US"/>
        </w:rPr>
      </w:pPr>
      <w:r w:rsidRPr="00BD17D4">
        <w:rPr>
          <w:rStyle w:val="footnotemark"/>
          <w:rFonts w:ascii="Times New Roman" w:hAnsi="Times New Roman" w:cs="Times New Roman"/>
          <w:szCs w:val="18"/>
        </w:rPr>
        <w:footnoteRef/>
      </w:r>
      <w:r w:rsidRPr="00BD17D4">
        <w:rPr>
          <w:rFonts w:ascii="Times New Roman" w:hAnsi="Times New Roman" w:cs="Times New Roman"/>
          <w:szCs w:val="18"/>
          <w:lang w:val="en-US"/>
        </w:rPr>
        <w:t xml:space="preserve">. </w:t>
      </w:r>
      <w:r w:rsidR="000B61F1">
        <w:fldChar w:fldCharType="begin"/>
      </w:r>
      <w:r w:rsidR="000B61F1" w:rsidRPr="00C24F2C">
        <w:rPr>
          <w:lang w:val="en-US"/>
        </w:rPr>
        <w:instrText xml:space="preserve"> HYPERLINK "https://minfin.gov.gr/wp-content/uploads/2024/10/EN_Greece_MTFSP_2025_28_final-1.pdf" </w:instrText>
      </w:r>
      <w:r w:rsidR="000B61F1">
        <w:fldChar w:fldCharType="separate"/>
      </w:r>
      <w:r w:rsidRPr="00BD17D4">
        <w:rPr>
          <w:rStyle w:val="Hyperlink"/>
          <w:rFonts w:ascii="Times New Roman" w:hAnsi="Times New Roman" w:cs="Times New Roman"/>
          <w:szCs w:val="18"/>
          <w:lang w:val="en-US"/>
        </w:rPr>
        <w:t>Medium-Term Fiscal-Structural Plan 2025-2028</w:t>
      </w:r>
      <w:r w:rsidR="000B61F1">
        <w:rPr>
          <w:rStyle w:val="Hyperlink"/>
          <w:rFonts w:ascii="Times New Roman" w:hAnsi="Times New Roman" w:cs="Times New Roman"/>
          <w:szCs w:val="18"/>
          <w:lang w:val="en-US"/>
        </w:rPr>
        <w:fldChar w:fldCharType="end"/>
      </w:r>
      <w:r>
        <w:rPr>
          <w:rStyle w:val="Hyperlink"/>
          <w:rFonts w:ascii="Times New Roman" w:hAnsi="Times New Roman" w:cs="Times New Roman"/>
          <w:szCs w:val="18"/>
          <w:lang w:val="en-US"/>
        </w:rPr>
        <w:t>, Ministry of Finance, October 2024.</w:t>
      </w:r>
    </w:p>
  </w:footnote>
  <w:footnote w:id="10">
    <w:p w14:paraId="3492C110" w14:textId="77777777" w:rsidR="0064630F" w:rsidRPr="00BD17D4" w:rsidRDefault="0064630F" w:rsidP="00D02539">
      <w:pPr>
        <w:pStyle w:val="FootnoteText"/>
        <w:rPr>
          <w:rFonts w:ascii="Times New Roman" w:hAnsi="Times New Roman" w:cs="Times New Roman"/>
          <w:sz w:val="18"/>
          <w:szCs w:val="18"/>
          <w:lang w:val="en-US"/>
        </w:rPr>
      </w:pPr>
      <w:r w:rsidRPr="00BD17D4">
        <w:rPr>
          <w:rStyle w:val="FootnoteReference"/>
          <w:rFonts w:ascii="Times New Roman" w:hAnsi="Times New Roman" w:cs="Times New Roman"/>
          <w:sz w:val="18"/>
          <w:szCs w:val="18"/>
        </w:rPr>
        <w:footnoteRef/>
      </w:r>
      <w:r w:rsidRPr="00BD17D4">
        <w:rPr>
          <w:rFonts w:ascii="Times New Roman" w:hAnsi="Times New Roman" w:cs="Times New Roman"/>
          <w:sz w:val="18"/>
          <w:szCs w:val="18"/>
          <w:lang w:val="en-US"/>
        </w:rPr>
        <w:t xml:space="preserve">. </w:t>
      </w:r>
      <w:r w:rsidR="000B61F1">
        <w:fldChar w:fldCharType="begin"/>
      </w:r>
      <w:r w:rsidR="000B61F1" w:rsidRPr="00C24F2C">
        <w:rPr>
          <w:lang w:val="en-US"/>
        </w:rPr>
        <w:instrText xml:space="preserve"> HYPERLINK "https://economy-finance.ec.europa.eu/economic-forecast-and-surveys/economic-forecasts/autumn-2025-economic-forecast-shows-continued-growth-despite-challenging-environment_en" </w:instrText>
      </w:r>
      <w:r w:rsidR="000B61F1">
        <w:fldChar w:fldCharType="separate"/>
      </w:r>
      <w:r w:rsidRPr="00406CB4">
        <w:rPr>
          <w:rStyle w:val="Hyperlink"/>
          <w:rFonts w:ascii="Times New Roman" w:hAnsi="Times New Roman" w:cs="Times New Roman"/>
          <w:sz w:val="18"/>
          <w:szCs w:val="18"/>
          <w:lang w:val="en-US"/>
        </w:rPr>
        <w:t>European Commission, 2025 Autumn Economic Forecast for Greece</w:t>
      </w:r>
      <w:r w:rsidR="000B61F1">
        <w:rPr>
          <w:rStyle w:val="Hyperlink"/>
          <w:rFonts w:ascii="Times New Roman" w:hAnsi="Times New Roman" w:cs="Times New Roman"/>
          <w:sz w:val="18"/>
          <w:szCs w:val="18"/>
          <w:lang w:val="en-US"/>
        </w:rPr>
        <w:fldChar w:fldCharType="end"/>
      </w:r>
      <w:r>
        <w:rPr>
          <w:rStyle w:val="Hyperlink"/>
          <w:rFonts w:ascii="Times New Roman" w:hAnsi="Times New Roman" w:cs="Times New Roman"/>
          <w:sz w:val="18"/>
          <w:szCs w:val="18"/>
          <w:lang w:val="en-US"/>
        </w:rPr>
        <w:t>, November 2025.</w:t>
      </w:r>
    </w:p>
  </w:footnote>
  <w:footnote w:id="11">
    <w:p w14:paraId="7D056198" w14:textId="77777777" w:rsidR="0064630F" w:rsidRPr="00285EF3" w:rsidRDefault="0064630F" w:rsidP="00D02539">
      <w:pPr>
        <w:pStyle w:val="FootnoteText"/>
        <w:rPr>
          <w:rFonts w:ascii="Times New Roman" w:hAnsi="Times New Roman" w:cs="Times New Roman"/>
          <w:lang w:val="en-US"/>
        </w:rPr>
      </w:pPr>
      <w:r w:rsidRPr="00AB48B0">
        <w:rPr>
          <w:rStyle w:val="FootnoteReference"/>
          <w:rFonts w:ascii="Times New Roman" w:hAnsi="Times New Roman" w:cs="Times New Roman"/>
          <w:sz w:val="18"/>
          <w:szCs w:val="18"/>
        </w:rPr>
        <w:footnoteRef/>
      </w:r>
      <w:r w:rsidRPr="00AB48B0">
        <w:rPr>
          <w:rFonts w:ascii="Times New Roman" w:hAnsi="Times New Roman" w:cs="Times New Roman"/>
          <w:sz w:val="18"/>
          <w:szCs w:val="18"/>
          <w:lang w:val="en-US"/>
        </w:rPr>
        <w:t>. According with the Article 2 par. 2 of Regulation (EC) 1467/1997:</w:t>
      </w:r>
      <w:r w:rsidRPr="00AB48B0">
        <w:rPr>
          <w:rFonts w:ascii="Times New Roman" w:hAnsi="Times New Roman" w:cs="Times New Roman"/>
          <w:color w:val="000000"/>
          <w:sz w:val="18"/>
          <w:szCs w:val="18"/>
          <w:lang w:val="en-US"/>
        </w:rPr>
        <w:t xml:space="preserve"> </w:t>
      </w:r>
      <w:r w:rsidRPr="00AB48B0">
        <w:rPr>
          <w:rFonts w:ascii="Times New Roman" w:hAnsi="Times New Roman" w:cs="Times New Roman"/>
          <w:sz w:val="18"/>
          <w:szCs w:val="18"/>
          <w:lang w:val="en-US"/>
        </w:rPr>
        <w:t>“The Commission shall prepare a report in accordance with Article 126(3) TFEU where…</w:t>
      </w:r>
      <w:r w:rsidRPr="00AB48B0">
        <w:rPr>
          <w:rFonts w:ascii="Times New Roman" w:hAnsi="Times New Roman" w:cs="Times New Roman"/>
          <w:color w:val="000000"/>
          <w:sz w:val="18"/>
          <w:szCs w:val="18"/>
          <w:lang w:val="en-US"/>
        </w:rPr>
        <w:t xml:space="preserve"> </w:t>
      </w:r>
      <w:r w:rsidRPr="00AB48B0">
        <w:rPr>
          <w:rFonts w:ascii="Times New Roman" w:hAnsi="Times New Roman" w:cs="Times New Roman"/>
          <w:sz w:val="18"/>
          <w:szCs w:val="18"/>
          <w:lang w:val="en-US"/>
        </w:rPr>
        <w:t>the deviations recorded in the control account of the Member State exceed: (a) either 0.3 percentage points of GDP annually, (b) or 0.6 percentage</w:t>
      </w:r>
      <w:r w:rsidRPr="00285EF3">
        <w:rPr>
          <w:rFonts w:ascii="Times New Roman" w:hAnsi="Times New Roman" w:cs="Times New Roman"/>
          <w:sz w:val="18"/>
          <w:szCs w:val="18"/>
          <w:lang w:val="en-US"/>
        </w:rPr>
        <w:t xml:space="preserve"> points of GDP cumulatively.”</w:t>
      </w:r>
      <w:r>
        <w:rPr>
          <w:rFonts w:ascii="Times New Roman" w:hAnsi="Times New Roman" w:cs="Times New Roman"/>
          <w:sz w:val="18"/>
          <w:szCs w:val="18"/>
          <w:lang w:val="en-US"/>
        </w:rPr>
        <w:t xml:space="preserve"> </w:t>
      </w:r>
      <w:r w:rsidRPr="00AB48B0">
        <w:rPr>
          <w:rFonts w:ascii="Times New Roman" w:hAnsi="Times New Roman" w:cs="Times New Roman"/>
          <w:sz w:val="18"/>
          <w:szCs w:val="18"/>
          <w:lang w:val="en-US"/>
        </w:rPr>
        <w:t xml:space="preserve">Following the activation of the national escape clause, these </w:t>
      </w:r>
      <w:r>
        <w:rPr>
          <w:rFonts w:ascii="Times New Roman" w:hAnsi="Times New Roman" w:cs="Times New Roman"/>
          <w:sz w:val="18"/>
          <w:szCs w:val="18"/>
          <w:lang w:val="en-US"/>
        </w:rPr>
        <w:t>thresholds became more flexible.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B4521"/>
    <w:multiLevelType w:val="hybridMultilevel"/>
    <w:tmpl w:val="92DC6BA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19B432F"/>
    <w:multiLevelType w:val="hybridMultilevel"/>
    <w:tmpl w:val="5588AE04"/>
    <w:lvl w:ilvl="0" w:tplc="04080017">
      <w:start w:val="1"/>
      <w:numFmt w:val="lowerLetter"/>
      <w:lvlText w:val="%1)"/>
      <w:lvlJc w:val="left"/>
      <w:pPr>
        <w:ind w:left="567"/>
      </w:pPr>
      <w:rPr>
        <w:b w:val="0"/>
        <w:i w:val="0"/>
        <w:strike w:val="0"/>
        <w:dstrike w:val="0"/>
        <w:color w:val="000000"/>
        <w:sz w:val="22"/>
        <w:szCs w:val="22"/>
        <w:u w:val="none" w:color="000000"/>
        <w:bdr w:val="none" w:sz="0" w:space="0" w:color="auto"/>
        <w:shd w:val="clear" w:color="auto" w:fill="auto"/>
        <w:vertAlign w:val="baseline"/>
      </w:rPr>
    </w:lvl>
    <w:lvl w:ilvl="1" w:tplc="90BAB354">
      <w:start w:val="1"/>
      <w:numFmt w:val="lowerLetter"/>
      <w:lvlText w:val="%2"/>
      <w:lvlJc w:val="left"/>
      <w:pPr>
        <w:ind w:left="128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2" w:tplc="1D022DD8">
      <w:start w:val="1"/>
      <w:numFmt w:val="lowerRoman"/>
      <w:lvlText w:val="%3"/>
      <w:lvlJc w:val="left"/>
      <w:pPr>
        <w:ind w:left="200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3" w:tplc="2E98F008">
      <w:start w:val="1"/>
      <w:numFmt w:val="decimal"/>
      <w:lvlText w:val="%4"/>
      <w:lvlJc w:val="left"/>
      <w:pPr>
        <w:ind w:left="27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4" w:tplc="0F00D8F6">
      <w:start w:val="1"/>
      <w:numFmt w:val="lowerLetter"/>
      <w:lvlText w:val="%5"/>
      <w:lvlJc w:val="left"/>
      <w:pPr>
        <w:ind w:left="344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5" w:tplc="F16ECEA8">
      <w:start w:val="1"/>
      <w:numFmt w:val="lowerRoman"/>
      <w:lvlText w:val="%6"/>
      <w:lvlJc w:val="left"/>
      <w:pPr>
        <w:ind w:left="416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6" w:tplc="892ABAE0">
      <w:start w:val="1"/>
      <w:numFmt w:val="decimal"/>
      <w:lvlText w:val="%7"/>
      <w:lvlJc w:val="left"/>
      <w:pPr>
        <w:ind w:left="488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7" w:tplc="9E302972">
      <w:start w:val="1"/>
      <w:numFmt w:val="lowerLetter"/>
      <w:lvlText w:val="%8"/>
      <w:lvlJc w:val="left"/>
      <w:pPr>
        <w:ind w:left="560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lvl w:ilvl="8" w:tplc="3D4AC9B8">
      <w:start w:val="1"/>
      <w:numFmt w:val="lowerRoman"/>
      <w:lvlText w:val="%9"/>
      <w:lvlJc w:val="left"/>
      <w:pPr>
        <w:ind w:left="6327"/>
      </w:pPr>
      <w:rPr>
        <w:rFonts w:ascii="Cambria" w:eastAsia="Cambria" w:hAnsi="Cambria" w:cs="Cambria"/>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7B84C95"/>
    <w:multiLevelType w:val="hybridMultilevel"/>
    <w:tmpl w:val="75AE135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 w15:restartNumberingAfterBreak="0">
    <w:nsid w:val="08BC3CEE"/>
    <w:multiLevelType w:val="hybridMultilevel"/>
    <w:tmpl w:val="78B2BFC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4" w15:restartNumberingAfterBreak="0">
    <w:nsid w:val="0A786078"/>
    <w:multiLevelType w:val="hybridMultilevel"/>
    <w:tmpl w:val="3948E5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FEB5F2E"/>
    <w:multiLevelType w:val="hybridMultilevel"/>
    <w:tmpl w:val="413025B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6" w15:restartNumberingAfterBreak="0">
    <w:nsid w:val="109304CE"/>
    <w:multiLevelType w:val="hybridMultilevel"/>
    <w:tmpl w:val="2A7669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15:restartNumberingAfterBreak="0">
    <w:nsid w:val="12422B5B"/>
    <w:multiLevelType w:val="hybridMultilevel"/>
    <w:tmpl w:val="1346CF4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8" w15:restartNumberingAfterBreak="0">
    <w:nsid w:val="14105CA9"/>
    <w:multiLevelType w:val="hybridMultilevel"/>
    <w:tmpl w:val="B5A6144C"/>
    <w:lvl w:ilvl="0" w:tplc="928C7FB0">
      <w:start w:val="1"/>
      <w:numFmt w:val="decimal"/>
      <w:pStyle w:val="ParagraphNumbering"/>
      <w:lvlText w:val="%1.     "/>
      <w:lvlJc w:val="left"/>
      <w:pPr>
        <w:tabs>
          <w:tab w:val="num" w:pos="720"/>
        </w:tabs>
        <w:ind w:left="0" w:firstLine="0"/>
      </w:pPr>
      <w:rPr>
        <w:rFonts w:hint="default"/>
        <w:color w:val="auto"/>
        <w:sz w:val="24"/>
      </w:rPr>
    </w:lvl>
    <w:lvl w:ilvl="1" w:tplc="04090019">
      <w:start w:val="1"/>
      <w:numFmt w:val="lowerLetter"/>
      <w:lvlText w:val="%2."/>
      <w:lvlJc w:val="left"/>
      <w:pPr>
        <w:tabs>
          <w:tab w:val="num" w:pos="-65"/>
        </w:tabs>
        <w:ind w:left="-65" w:hanging="360"/>
      </w:pPr>
    </w:lvl>
    <w:lvl w:ilvl="2" w:tplc="0409001B" w:tentative="1">
      <w:start w:val="1"/>
      <w:numFmt w:val="lowerRoman"/>
      <w:lvlText w:val="%3."/>
      <w:lvlJc w:val="right"/>
      <w:pPr>
        <w:tabs>
          <w:tab w:val="num" w:pos="742"/>
        </w:tabs>
        <w:ind w:left="742" w:hanging="180"/>
      </w:pPr>
    </w:lvl>
    <w:lvl w:ilvl="3" w:tplc="0409000F" w:tentative="1">
      <w:start w:val="1"/>
      <w:numFmt w:val="decimal"/>
      <w:lvlText w:val="%4."/>
      <w:lvlJc w:val="left"/>
      <w:pPr>
        <w:tabs>
          <w:tab w:val="num" w:pos="1462"/>
        </w:tabs>
        <w:ind w:left="1462" w:hanging="360"/>
      </w:pPr>
    </w:lvl>
    <w:lvl w:ilvl="4" w:tplc="04090019" w:tentative="1">
      <w:start w:val="1"/>
      <w:numFmt w:val="lowerLetter"/>
      <w:lvlText w:val="%5."/>
      <w:lvlJc w:val="left"/>
      <w:pPr>
        <w:tabs>
          <w:tab w:val="num" w:pos="2182"/>
        </w:tabs>
        <w:ind w:left="2182" w:hanging="360"/>
      </w:pPr>
    </w:lvl>
    <w:lvl w:ilvl="5" w:tplc="0409001B" w:tentative="1">
      <w:start w:val="1"/>
      <w:numFmt w:val="lowerRoman"/>
      <w:lvlText w:val="%6."/>
      <w:lvlJc w:val="right"/>
      <w:pPr>
        <w:tabs>
          <w:tab w:val="num" w:pos="2902"/>
        </w:tabs>
        <w:ind w:left="2902" w:hanging="180"/>
      </w:pPr>
    </w:lvl>
    <w:lvl w:ilvl="6" w:tplc="0409000F" w:tentative="1">
      <w:start w:val="1"/>
      <w:numFmt w:val="decimal"/>
      <w:lvlText w:val="%7."/>
      <w:lvlJc w:val="left"/>
      <w:pPr>
        <w:tabs>
          <w:tab w:val="num" w:pos="3622"/>
        </w:tabs>
        <w:ind w:left="3622" w:hanging="360"/>
      </w:pPr>
    </w:lvl>
    <w:lvl w:ilvl="7" w:tplc="04090019" w:tentative="1">
      <w:start w:val="1"/>
      <w:numFmt w:val="lowerLetter"/>
      <w:lvlText w:val="%8."/>
      <w:lvlJc w:val="left"/>
      <w:pPr>
        <w:tabs>
          <w:tab w:val="num" w:pos="4342"/>
        </w:tabs>
        <w:ind w:left="4342" w:hanging="360"/>
      </w:pPr>
    </w:lvl>
    <w:lvl w:ilvl="8" w:tplc="0409001B" w:tentative="1">
      <w:start w:val="1"/>
      <w:numFmt w:val="lowerRoman"/>
      <w:lvlText w:val="%9."/>
      <w:lvlJc w:val="right"/>
      <w:pPr>
        <w:tabs>
          <w:tab w:val="num" w:pos="5062"/>
        </w:tabs>
        <w:ind w:left="5062" w:hanging="180"/>
      </w:pPr>
    </w:lvl>
  </w:abstractNum>
  <w:abstractNum w:abstractNumId="9" w15:restartNumberingAfterBreak="0">
    <w:nsid w:val="15DB2D53"/>
    <w:multiLevelType w:val="hybridMultilevel"/>
    <w:tmpl w:val="0CA46C5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0" w15:restartNumberingAfterBreak="0">
    <w:nsid w:val="1631042B"/>
    <w:multiLevelType w:val="hybridMultilevel"/>
    <w:tmpl w:val="1D4C4DD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1" w15:restartNumberingAfterBreak="0">
    <w:nsid w:val="1EF97678"/>
    <w:multiLevelType w:val="hybridMultilevel"/>
    <w:tmpl w:val="352652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1F7501E8"/>
    <w:multiLevelType w:val="hybridMultilevel"/>
    <w:tmpl w:val="99B676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1FD972E3"/>
    <w:multiLevelType w:val="hybridMultilevel"/>
    <w:tmpl w:val="7E726E86"/>
    <w:lvl w:ilvl="0" w:tplc="1AC8ED48">
      <w:start w:val="1"/>
      <w:numFmt w:val="decimal"/>
      <w:lvlText w:val="%1."/>
      <w:lvlJc w:val="left"/>
      <w:pPr>
        <w:ind w:left="465" w:hanging="360"/>
      </w:pPr>
      <w:rPr>
        <w:rFonts w:hint="default"/>
        <w:sz w:val="23"/>
      </w:rPr>
    </w:lvl>
    <w:lvl w:ilvl="1" w:tplc="04080019" w:tentative="1">
      <w:start w:val="1"/>
      <w:numFmt w:val="lowerLetter"/>
      <w:lvlText w:val="%2."/>
      <w:lvlJc w:val="left"/>
      <w:pPr>
        <w:ind w:left="1185" w:hanging="360"/>
      </w:pPr>
    </w:lvl>
    <w:lvl w:ilvl="2" w:tplc="0408001B" w:tentative="1">
      <w:start w:val="1"/>
      <w:numFmt w:val="lowerRoman"/>
      <w:lvlText w:val="%3."/>
      <w:lvlJc w:val="right"/>
      <w:pPr>
        <w:ind w:left="1905" w:hanging="180"/>
      </w:pPr>
    </w:lvl>
    <w:lvl w:ilvl="3" w:tplc="0408000F" w:tentative="1">
      <w:start w:val="1"/>
      <w:numFmt w:val="decimal"/>
      <w:lvlText w:val="%4."/>
      <w:lvlJc w:val="left"/>
      <w:pPr>
        <w:ind w:left="2625" w:hanging="360"/>
      </w:pPr>
    </w:lvl>
    <w:lvl w:ilvl="4" w:tplc="04080019" w:tentative="1">
      <w:start w:val="1"/>
      <w:numFmt w:val="lowerLetter"/>
      <w:lvlText w:val="%5."/>
      <w:lvlJc w:val="left"/>
      <w:pPr>
        <w:ind w:left="3345" w:hanging="360"/>
      </w:pPr>
    </w:lvl>
    <w:lvl w:ilvl="5" w:tplc="0408001B" w:tentative="1">
      <w:start w:val="1"/>
      <w:numFmt w:val="lowerRoman"/>
      <w:lvlText w:val="%6."/>
      <w:lvlJc w:val="right"/>
      <w:pPr>
        <w:ind w:left="4065" w:hanging="180"/>
      </w:pPr>
    </w:lvl>
    <w:lvl w:ilvl="6" w:tplc="0408000F" w:tentative="1">
      <w:start w:val="1"/>
      <w:numFmt w:val="decimal"/>
      <w:lvlText w:val="%7."/>
      <w:lvlJc w:val="left"/>
      <w:pPr>
        <w:ind w:left="4785" w:hanging="360"/>
      </w:pPr>
    </w:lvl>
    <w:lvl w:ilvl="7" w:tplc="04080019" w:tentative="1">
      <w:start w:val="1"/>
      <w:numFmt w:val="lowerLetter"/>
      <w:lvlText w:val="%8."/>
      <w:lvlJc w:val="left"/>
      <w:pPr>
        <w:ind w:left="5505" w:hanging="360"/>
      </w:pPr>
    </w:lvl>
    <w:lvl w:ilvl="8" w:tplc="0408001B" w:tentative="1">
      <w:start w:val="1"/>
      <w:numFmt w:val="lowerRoman"/>
      <w:lvlText w:val="%9."/>
      <w:lvlJc w:val="right"/>
      <w:pPr>
        <w:ind w:left="6225" w:hanging="180"/>
      </w:pPr>
    </w:lvl>
  </w:abstractNum>
  <w:abstractNum w:abstractNumId="14" w15:restartNumberingAfterBreak="0">
    <w:nsid w:val="258B7571"/>
    <w:multiLevelType w:val="multilevel"/>
    <w:tmpl w:val="96C68FB8"/>
    <w:lvl w:ilvl="0">
      <w:start w:val="1"/>
      <w:numFmt w:val="upperRoman"/>
      <w:lvlText w:val="%1."/>
      <w:lvlJc w:val="right"/>
      <w:pPr>
        <w:ind w:left="1440" w:hanging="360"/>
      </w:pPr>
      <w:rPr>
        <w:u w:val="none"/>
      </w:rPr>
    </w:lvl>
    <w:lvl w:ilvl="1">
      <w:start w:val="1"/>
      <w:numFmt w:val="upperLetter"/>
      <w:lvlText w:val="%2."/>
      <w:lvlJc w:val="lef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decimal"/>
      <w:lvlText w:val="(%5)"/>
      <w:lvlJc w:val="left"/>
      <w:pPr>
        <w:ind w:left="4320" w:hanging="360"/>
      </w:pPr>
      <w:rPr>
        <w:u w:val="none"/>
      </w:rPr>
    </w:lvl>
    <w:lvl w:ilvl="5">
      <w:start w:val="1"/>
      <w:numFmt w:val="lowerLetter"/>
      <w:lvlText w:val="(%6)"/>
      <w:lvlJc w:val="left"/>
      <w:pPr>
        <w:ind w:left="5040" w:hanging="360"/>
      </w:pPr>
      <w:rPr>
        <w:u w:val="none"/>
      </w:rPr>
    </w:lvl>
    <w:lvl w:ilvl="6">
      <w:start w:val="1"/>
      <w:numFmt w:val="lowerRoman"/>
      <w:lvlText w:val="(%7)"/>
      <w:lvlJc w:val="righ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15:restartNumberingAfterBreak="0">
    <w:nsid w:val="2A1B03C5"/>
    <w:multiLevelType w:val="hybridMultilevel"/>
    <w:tmpl w:val="AC2C95A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6" w15:restartNumberingAfterBreak="0">
    <w:nsid w:val="2CC6555D"/>
    <w:multiLevelType w:val="hybridMultilevel"/>
    <w:tmpl w:val="0DCCB9B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7" w15:restartNumberingAfterBreak="0">
    <w:nsid w:val="2D4E4538"/>
    <w:multiLevelType w:val="hybridMultilevel"/>
    <w:tmpl w:val="66927F7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8" w15:restartNumberingAfterBreak="0">
    <w:nsid w:val="32D84B1B"/>
    <w:multiLevelType w:val="multilevel"/>
    <w:tmpl w:val="FFF0360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8CC3AB9"/>
    <w:multiLevelType w:val="hybridMultilevel"/>
    <w:tmpl w:val="2D3A789E"/>
    <w:lvl w:ilvl="0" w:tplc="9E1C334A">
      <w:numFmt w:val="bullet"/>
      <w:lvlText w:val="-"/>
      <w:lvlJc w:val="left"/>
      <w:pPr>
        <w:ind w:left="1515" w:hanging="360"/>
      </w:pPr>
      <w:rPr>
        <w:rFonts w:ascii="Cambria" w:eastAsiaTheme="majorEastAsia" w:hAnsi="Cambria" w:cstheme="majorBidi" w:hint="default"/>
      </w:rPr>
    </w:lvl>
    <w:lvl w:ilvl="1" w:tplc="04080003" w:tentative="1">
      <w:start w:val="1"/>
      <w:numFmt w:val="bullet"/>
      <w:lvlText w:val="o"/>
      <w:lvlJc w:val="left"/>
      <w:pPr>
        <w:ind w:left="2235" w:hanging="360"/>
      </w:pPr>
      <w:rPr>
        <w:rFonts w:ascii="Courier New" w:hAnsi="Courier New" w:cs="Courier New" w:hint="default"/>
      </w:rPr>
    </w:lvl>
    <w:lvl w:ilvl="2" w:tplc="04080005" w:tentative="1">
      <w:start w:val="1"/>
      <w:numFmt w:val="bullet"/>
      <w:lvlText w:val=""/>
      <w:lvlJc w:val="left"/>
      <w:pPr>
        <w:ind w:left="2955" w:hanging="360"/>
      </w:pPr>
      <w:rPr>
        <w:rFonts w:ascii="Wingdings" w:hAnsi="Wingdings" w:hint="default"/>
      </w:rPr>
    </w:lvl>
    <w:lvl w:ilvl="3" w:tplc="04080001" w:tentative="1">
      <w:start w:val="1"/>
      <w:numFmt w:val="bullet"/>
      <w:lvlText w:val=""/>
      <w:lvlJc w:val="left"/>
      <w:pPr>
        <w:ind w:left="3675" w:hanging="360"/>
      </w:pPr>
      <w:rPr>
        <w:rFonts w:ascii="Symbol" w:hAnsi="Symbol" w:hint="default"/>
      </w:rPr>
    </w:lvl>
    <w:lvl w:ilvl="4" w:tplc="04080003" w:tentative="1">
      <w:start w:val="1"/>
      <w:numFmt w:val="bullet"/>
      <w:lvlText w:val="o"/>
      <w:lvlJc w:val="left"/>
      <w:pPr>
        <w:ind w:left="4395" w:hanging="360"/>
      </w:pPr>
      <w:rPr>
        <w:rFonts w:ascii="Courier New" w:hAnsi="Courier New" w:cs="Courier New" w:hint="default"/>
      </w:rPr>
    </w:lvl>
    <w:lvl w:ilvl="5" w:tplc="04080005" w:tentative="1">
      <w:start w:val="1"/>
      <w:numFmt w:val="bullet"/>
      <w:lvlText w:val=""/>
      <w:lvlJc w:val="left"/>
      <w:pPr>
        <w:ind w:left="5115" w:hanging="360"/>
      </w:pPr>
      <w:rPr>
        <w:rFonts w:ascii="Wingdings" w:hAnsi="Wingdings" w:hint="default"/>
      </w:rPr>
    </w:lvl>
    <w:lvl w:ilvl="6" w:tplc="04080001" w:tentative="1">
      <w:start w:val="1"/>
      <w:numFmt w:val="bullet"/>
      <w:lvlText w:val=""/>
      <w:lvlJc w:val="left"/>
      <w:pPr>
        <w:ind w:left="5835" w:hanging="360"/>
      </w:pPr>
      <w:rPr>
        <w:rFonts w:ascii="Symbol" w:hAnsi="Symbol" w:hint="default"/>
      </w:rPr>
    </w:lvl>
    <w:lvl w:ilvl="7" w:tplc="04080003" w:tentative="1">
      <w:start w:val="1"/>
      <w:numFmt w:val="bullet"/>
      <w:lvlText w:val="o"/>
      <w:lvlJc w:val="left"/>
      <w:pPr>
        <w:ind w:left="6555" w:hanging="360"/>
      </w:pPr>
      <w:rPr>
        <w:rFonts w:ascii="Courier New" w:hAnsi="Courier New" w:cs="Courier New" w:hint="default"/>
      </w:rPr>
    </w:lvl>
    <w:lvl w:ilvl="8" w:tplc="04080005" w:tentative="1">
      <w:start w:val="1"/>
      <w:numFmt w:val="bullet"/>
      <w:lvlText w:val=""/>
      <w:lvlJc w:val="left"/>
      <w:pPr>
        <w:ind w:left="7275" w:hanging="360"/>
      </w:pPr>
      <w:rPr>
        <w:rFonts w:ascii="Wingdings" w:hAnsi="Wingdings" w:hint="default"/>
      </w:rPr>
    </w:lvl>
  </w:abstractNum>
  <w:abstractNum w:abstractNumId="20" w15:restartNumberingAfterBreak="0">
    <w:nsid w:val="3A895B9D"/>
    <w:multiLevelType w:val="hybridMultilevel"/>
    <w:tmpl w:val="6A0A83B4"/>
    <w:lvl w:ilvl="0" w:tplc="9A285B56">
      <w:numFmt w:val="bullet"/>
      <w:lvlText w:val="-"/>
      <w:lvlJc w:val="left"/>
      <w:pPr>
        <w:ind w:left="1080" w:hanging="360"/>
      </w:pPr>
      <w:rPr>
        <w:rFonts w:ascii="Cambria" w:eastAsiaTheme="majorEastAsia" w:hAnsi="Cambria" w:cstheme="majorBid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1" w15:restartNumberingAfterBreak="0">
    <w:nsid w:val="42190577"/>
    <w:multiLevelType w:val="multilevel"/>
    <w:tmpl w:val="AA1431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4EE1969"/>
    <w:multiLevelType w:val="hybridMultilevel"/>
    <w:tmpl w:val="15DCD8C8"/>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49561F43"/>
    <w:multiLevelType w:val="hybridMultilevel"/>
    <w:tmpl w:val="157A4AD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4AD05AB3"/>
    <w:multiLevelType w:val="hybridMultilevel"/>
    <w:tmpl w:val="AD4A782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5" w15:restartNumberingAfterBreak="0">
    <w:nsid w:val="50A17453"/>
    <w:multiLevelType w:val="hybridMultilevel"/>
    <w:tmpl w:val="B858B89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56F65685"/>
    <w:multiLevelType w:val="hybridMultilevel"/>
    <w:tmpl w:val="F696854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15:restartNumberingAfterBreak="0">
    <w:nsid w:val="5797143B"/>
    <w:multiLevelType w:val="hybridMultilevel"/>
    <w:tmpl w:val="DAE668EE"/>
    <w:lvl w:ilvl="0" w:tplc="C5E6B2A4">
      <w:numFmt w:val="bullet"/>
      <w:lvlText w:val="-"/>
      <w:lvlJc w:val="left"/>
      <w:pPr>
        <w:ind w:left="720" w:hanging="360"/>
      </w:pPr>
      <w:rPr>
        <w:rFonts w:ascii="Cambria" w:eastAsiaTheme="majorEastAsia" w:hAnsi="Cambria" w:cstheme="maj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57A92BBB"/>
    <w:multiLevelType w:val="hybridMultilevel"/>
    <w:tmpl w:val="AFA6E15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9" w15:restartNumberingAfterBreak="0">
    <w:nsid w:val="588C4774"/>
    <w:multiLevelType w:val="multilevel"/>
    <w:tmpl w:val="F9BE6F5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 w15:restartNumberingAfterBreak="0">
    <w:nsid w:val="59491343"/>
    <w:multiLevelType w:val="hybridMultilevel"/>
    <w:tmpl w:val="2BC45546"/>
    <w:lvl w:ilvl="0" w:tplc="0896DECE">
      <w:start w:val="1"/>
      <w:numFmt w:val="bullet"/>
      <w:lvlText w:val=""/>
      <w:lvlJc w:val="left"/>
      <w:pPr>
        <w:ind w:left="720" w:hanging="360"/>
      </w:pPr>
      <w:rPr>
        <w:rFonts w:ascii="Symbol" w:eastAsiaTheme="minorEastAsia" w:hAnsi="Symbol"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5DD329D5"/>
    <w:multiLevelType w:val="hybridMultilevel"/>
    <w:tmpl w:val="2F16D4F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5EDC746D"/>
    <w:multiLevelType w:val="hybridMultilevel"/>
    <w:tmpl w:val="858E133A"/>
    <w:lvl w:ilvl="0" w:tplc="0C9E6032">
      <w:start w:val="1"/>
      <w:numFmt w:val="decimal"/>
      <w:lvlText w:val="%1."/>
      <w:lvlJc w:val="left"/>
      <w:pPr>
        <w:ind w:left="720" w:hanging="360"/>
      </w:pPr>
      <w:rPr>
        <w:b/>
        <w:color w:val="365F91" w:themeColor="accent1" w:themeShade="BF"/>
      </w:rPr>
    </w:lvl>
    <w:lvl w:ilvl="1" w:tplc="04080019">
      <w:start w:val="1"/>
      <w:numFmt w:val="lowerLetter"/>
      <w:lvlText w:val="%2."/>
      <w:lvlJc w:val="left"/>
      <w:pPr>
        <w:ind w:left="1440" w:hanging="360"/>
      </w:pPr>
    </w:lvl>
    <w:lvl w:ilvl="2" w:tplc="0408001B">
      <w:start w:val="1"/>
      <w:numFmt w:val="lowerRoman"/>
      <w:lvlText w:val="%3."/>
      <w:lvlJc w:val="right"/>
      <w:pPr>
        <w:ind w:left="2160" w:hanging="180"/>
      </w:pPr>
    </w:lvl>
    <w:lvl w:ilvl="3" w:tplc="0408000F">
      <w:start w:val="1"/>
      <w:numFmt w:val="decimal"/>
      <w:lvlText w:val="%4."/>
      <w:lvlJc w:val="left"/>
      <w:pPr>
        <w:ind w:left="2880" w:hanging="360"/>
      </w:pPr>
    </w:lvl>
    <w:lvl w:ilvl="4" w:tplc="04080019">
      <w:start w:val="1"/>
      <w:numFmt w:val="lowerLetter"/>
      <w:lvlText w:val="%5."/>
      <w:lvlJc w:val="left"/>
      <w:pPr>
        <w:ind w:left="3600" w:hanging="360"/>
      </w:pPr>
    </w:lvl>
    <w:lvl w:ilvl="5" w:tplc="0408001B">
      <w:start w:val="1"/>
      <w:numFmt w:val="lowerRoman"/>
      <w:lvlText w:val="%6."/>
      <w:lvlJc w:val="right"/>
      <w:pPr>
        <w:ind w:left="4320" w:hanging="180"/>
      </w:pPr>
    </w:lvl>
    <w:lvl w:ilvl="6" w:tplc="0408000F">
      <w:start w:val="1"/>
      <w:numFmt w:val="decimal"/>
      <w:lvlText w:val="%7."/>
      <w:lvlJc w:val="left"/>
      <w:pPr>
        <w:ind w:left="5040" w:hanging="360"/>
      </w:pPr>
    </w:lvl>
    <w:lvl w:ilvl="7" w:tplc="04080019">
      <w:start w:val="1"/>
      <w:numFmt w:val="lowerLetter"/>
      <w:lvlText w:val="%8."/>
      <w:lvlJc w:val="left"/>
      <w:pPr>
        <w:ind w:left="5760" w:hanging="360"/>
      </w:pPr>
    </w:lvl>
    <w:lvl w:ilvl="8" w:tplc="0408001B">
      <w:start w:val="1"/>
      <w:numFmt w:val="lowerRoman"/>
      <w:lvlText w:val="%9."/>
      <w:lvlJc w:val="right"/>
      <w:pPr>
        <w:ind w:left="6480" w:hanging="180"/>
      </w:pPr>
    </w:lvl>
  </w:abstractNum>
  <w:abstractNum w:abstractNumId="33" w15:restartNumberingAfterBreak="0">
    <w:nsid w:val="61B63E2A"/>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4C23874"/>
    <w:multiLevelType w:val="hybridMultilevel"/>
    <w:tmpl w:val="CC6604D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5" w15:restartNumberingAfterBreak="0">
    <w:nsid w:val="68CF2414"/>
    <w:multiLevelType w:val="multilevel"/>
    <w:tmpl w:val="870A1B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9257417"/>
    <w:multiLevelType w:val="hybridMultilevel"/>
    <w:tmpl w:val="DBC25DA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7" w15:restartNumberingAfterBreak="0">
    <w:nsid w:val="6A4E0A70"/>
    <w:multiLevelType w:val="hybridMultilevel"/>
    <w:tmpl w:val="2C14484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38" w15:restartNumberingAfterBreak="0">
    <w:nsid w:val="6AE6445F"/>
    <w:multiLevelType w:val="hybridMultilevel"/>
    <w:tmpl w:val="6310B4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6CDB6574"/>
    <w:multiLevelType w:val="hybridMultilevel"/>
    <w:tmpl w:val="C316A1F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15:restartNumberingAfterBreak="0">
    <w:nsid w:val="6D133925"/>
    <w:multiLevelType w:val="multilevel"/>
    <w:tmpl w:val="D59C82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35E2226"/>
    <w:multiLevelType w:val="hybridMultilevel"/>
    <w:tmpl w:val="783AC7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15:restartNumberingAfterBreak="0">
    <w:nsid w:val="766671FC"/>
    <w:multiLevelType w:val="hybridMultilevel"/>
    <w:tmpl w:val="53A0B08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43" w15:restartNumberingAfterBreak="0">
    <w:nsid w:val="79587DA5"/>
    <w:multiLevelType w:val="hybridMultilevel"/>
    <w:tmpl w:val="DB80399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44" w15:restartNumberingAfterBreak="0">
    <w:nsid w:val="7B5A0422"/>
    <w:multiLevelType w:val="hybridMultilevel"/>
    <w:tmpl w:val="72325BA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45" w15:restartNumberingAfterBreak="0">
    <w:nsid w:val="7BAA749B"/>
    <w:multiLevelType w:val="hybridMultilevel"/>
    <w:tmpl w:val="5E20794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15:restartNumberingAfterBreak="0">
    <w:nsid w:val="7D7B275D"/>
    <w:multiLevelType w:val="hybridMultilevel"/>
    <w:tmpl w:val="9BEE6E4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47" w15:restartNumberingAfterBreak="0">
    <w:nsid w:val="7EB66144"/>
    <w:multiLevelType w:val="multilevel"/>
    <w:tmpl w:val="7974D61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8"/>
  </w:num>
  <w:num w:numId="2">
    <w:abstractNumId w:val="47"/>
  </w:num>
  <w:num w:numId="3">
    <w:abstractNumId w:val="13"/>
  </w:num>
  <w:num w:numId="4">
    <w:abstractNumId w:val="6"/>
  </w:num>
  <w:num w:numId="5">
    <w:abstractNumId w:val="39"/>
  </w:num>
  <w:num w:numId="6">
    <w:abstractNumId w:val="23"/>
  </w:num>
  <w:num w:numId="7">
    <w:abstractNumId w:val="1"/>
  </w:num>
  <w:num w:numId="8">
    <w:abstractNumId w:val="27"/>
  </w:num>
  <w:num w:numId="9">
    <w:abstractNumId w:val="20"/>
  </w:num>
  <w:num w:numId="10">
    <w:abstractNumId w:val="19"/>
  </w:num>
  <w:num w:numId="1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num>
  <w:num w:numId="13">
    <w:abstractNumId w:val="9"/>
  </w:num>
  <w:num w:numId="14">
    <w:abstractNumId w:val="43"/>
  </w:num>
  <w:num w:numId="15">
    <w:abstractNumId w:val="15"/>
  </w:num>
  <w:num w:numId="16">
    <w:abstractNumId w:val="3"/>
  </w:num>
  <w:num w:numId="17">
    <w:abstractNumId w:val="34"/>
  </w:num>
  <w:num w:numId="18">
    <w:abstractNumId w:val="42"/>
  </w:num>
  <w:num w:numId="19">
    <w:abstractNumId w:val="46"/>
  </w:num>
  <w:num w:numId="20">
    <w:abstractNumId w:val="28"/>
  </w:num>
  <w:num w:numId="21">
    <w:abstractNumId w:val="16"/>
  </w:num>
  <w:num w:numId="22">
    <w:abstractNumId w:val="2"/>
  </w:num>
  <w:num w:numId="23">
    <w:abstractNumId w:val="5"/>
  </w:num>
  <w:num w:numId="24">
    <w:abstractNumId w:val="17"/>
  </w:num>
  <w:num w:numId="25">
    <w:abstractNumId w:val="36"/>
  </w:num>
  <w:num w:numId="26">
    <w:abstractNumId w:val="10"/>
  </w:num>
  <w:num w:numId="27">
    <w:abstractNumId w:val="37"/>
  </w:num>
  <w:num w:numId="28">
    <w:abstractNumId w:val="7"/>
  </w:num>
  <w:num w:numId="29">
    <w:abstractNumId w:val="44"/>
  </w:num>
  <w:num w:numId="30">
    <w:abstractNumId w:val="2"/>
  </w:num>
  <w:num w:numId="31">
    <w:abstractNumId w:val="0"/>
  </w:num>
  <w:num w:numId="32">
    <w:abstractNumId w:val="12"/>
  </w:num>
  <w:num w:numId="33">
    <w:abstractNumId w:val="31"/>
  </w:num>
  <w:num w:numId="34">
    <w:abstractNumId w:val="11"/>
  </w:num>
  <w:num w:numId="35">
    <w:abstractNumId w:val="26"/>
  </w:num>
  <w:num w:numId="36">
    <w:abstractNumId w:val="4"/>
  </w:num>
  <w:num w:numId="37">
    <w:abstractNumId w:val="41"/>
  </w:num>
  <w:num w:numId="38">
    <w:abstractNumId w:val="38"/>
  </w:num>
  <w:num w:numId="39">
    <w:abstractNumId w:val="33"/>
  </w:num>
  <w:num w:numId="40">
    <w:abstractNumId w:val="24"/>
  </w:num>
  <w:num w:numId="41">
    <w:abstractNumId w:val="40"/>
  </w:num>
  <w:num w:numId="42">
    <w:abstractNumId w:val="14"/>
  </w:num>
  <w:num w:numId="43">
    <w:abstractNumId w:val="35"/>
  </w:num>
  <w:num w:numId="44">
    <w:abstractNumId w:val="25"/>
  </w:num>
  <w:num w:numId="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
  </w:num>
  <w:num w:numId="48">
    <w:abstractNumId w:val="29"/>
  </w:num>
  <w:num w:numId="49">
    <w:abstractNumId w:val="22"/>
  </w:num>
  <w:num w:numId="50">
    <w:abstractNumId w:val="4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grammar="clean"/>
  <w:defaultTabStop w:val="720"/>
  <w:consecutiveHyphenLimit w:val="2"/>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1E9C"/>
    <w:rsid w:val="00000450"/>
    <w:rsid w:val="00000F2A"/>
    <w:rsid w:val="0000104F"/>
    <w:rsid w:val="0000106D"/>
    <w:rsid w:val="0000146C"/>
    <w:rsid w:val="00001E52"/>
    <w:rsid w:val="00003114"/>
    <w:rsid w:val="000031F4"/>
    <w:rsid w:val="000038E6"/>
    <w:rsid w:val="00003CD6"/>
    <w:rsid w:val="00003DD8"/>
    <w:rsid w:val="00004255"/>
    <w:rsid w:val="00004CC0"/>
    <w:rsid w:val="00005600"/>
    <w:rsid w:val="00005763"/>
    <w:rsid w:val="00005B08"/>
    <w:rsid w:val="000061BC"/>
    <w:rsid w:val="0000650D"/>
    <w:rsid w:val="00006CDA"/>
    <w:rsid w:val="00006E35"/>
    <w:rsid w:val="0000727B"/>
    <w:rsid w:val="0000733D"/>
    <w:rsid w:val="0000793E"/>
    <w:rsid w:val="000102D3"/>
    <w:rsid w:val="0001063D"/>
    <w:rsid w:val="00010664"/>
    <w:rsid w:val="00011D41"/>
    <w:rsid w:val="00011E6B"/>
    <w:rsid w:val="00012020"/>
    <w:rsid w:val="0001229A"/>
    <w:rsid w:val="000122F7"/>
    <w:rsid w:val="00012570"/>
    <w:rsid w:val="00012B15"/>
    <w:rsid w:val="00012C76"/>
    <w:rsid w:val="000144E0"/>
    <w:rsid w:val="00014537"/>
    <w:rsid w:val="00014DEF"/>
    <w:rsid w:val="00015143"/>
    <w:rsid w:val="0001588C"/>
    <w:rsid w:val="000159D3"/>
    <w:rsid w:val="00015CFA"/>
    <w:rsid w:val="00016280"/>
    <w:rsid w:val="00016590"/>
    <w:rsid w:val="00016E29"/>
    <w:rsid w:val="00017F7B"/>
    <w:rsid w:val="000200BA"/>
    <w:rsid w:val="000201A6"/>
    <w:rsid w:val="00020DC5"/>
    <w:rsid w:val="00021814"/>
    <w:rsid w:val="000223C8"/>
    <w:rsid w:val="00022C5F"/>
    <w:rsid w:val="00022E7C"/>
    <w:rsid w:val="000239AC"/>
    <w:rsid w:val="000245D5"/>
    <w:rsid w:val="00025B34"/>
    <w:rsid w:val="00026936"/>
    <w:rsid w:val="00026C1E"/>
    <w:rsid w:val="00027100"/>
    <w:rsid w:val="00027548"/>
    <w:rsid w:val="000276EC"/>
    <w:rsid w:val="000279AF"/>
    <w:rsid w:val="000279DD"/>
    <w:rsid w:val="00027A01"/>
    <w:rsid w:val="00027C4E"/>
    <w:rsid w:val="00027C8F"/>
    <w:rsid w:val="00030744"/>
    <w:rsid w:val="00030F62"/>
    <w:rsid w:val="00033CDA"/>
    <w:rsid w:val="00033CF3"/>
    <w:rsid w:val="00033E6D"/>
    <w:rsid w:val="00034ADE"/>
    <w:rsid w:val="00034B34"/>
    <w:rsid w:val="000354F3"/>
    <w:rsid w:val="00035B18"/>
    <w:rsid w:val="00036A4E"/>
    <w:rsid w:val="00036F9D"/>
    <w:rsid w:val="00037399"/>
    <w:rsid w:val="00040F57"/>
    <w:rsid w:val="0004210C"/>
    <w:rsid w:val="000424BD"/>
    <w:rsid w:val="0004255B"/>
    <w:rsid w:val="00043BBC"/>
    <w:rsid w:val="00043D85"/>
    <w:rsid w:val="00044888"/>
    <w:rsid w:val="000449BE"/>
    <w:rsid w:val="00044A4C"/>
    <w:rsid w:val="00044C7A"/>
    <w:rsid w:val="0004523E"/>
    <w:rsid w:val="0004544D"/>
    <w:rsid w:val="00045B90"/>
    <w:rsid w:val="000467D1"/>
    <w:rsid w:val="00046D16"/>
    <w:rsid w:val="0004752E"/>
    <w:rsid w:val="000479C2"/>
    <w:rsid w:val="00050382"/>
    <w:rsid w:val="000508B1"/>
    <w:rsid w:val="00051FA0"/>
    <w:rsid w:val="00052131"/>
    <w:rsid w:val="000523C8"/>
    <w:rsid w:val="0005295F"/>
    <w:rsid w:val="000529C7"/>
    <w:rsid w:val="000529FD"/>
    <w:rsid w:val="00052A98"/>
    <w:rsid w:val="00052FD5"/>
    <w:rsid w:val="00053523"/>
    <w:rsid w:val="00053683"/>
    <w:rsid w:val="00055604"/>
    <w:rsid w:val="00055719"/>
    <w:rsid w:val="00056060"/>
    <w:rsid w:val="00056219"/>
    <w:rsid w:val="000603CE"/>
    <w:rsid w:val="000606CB"/>
    <w:rsid w:val="000610DA"/>
    <w:rsid w:val="0006191C"/>
    <w:rsid w:val="00061A3A"/>
    <w:rsid w:val="00061A3C"/>
    <w:rsid w:val="00061F53"/>
    <w:rsid w:val="000620B1"/>
    <w:rsid w:val="000628A1"/>
    <w:rsid w:val="00062F6F"/>
    <w:rsid w:val="00063041"/>
    <w:rsid w:val="000630EC"/>
    <w:rsid w:val="00063239"/>
    <w:rsid w:val="000640C0"/>
    <w:rsid w:val="000656F2"/>
    <w:rsid w:val="00065C54"/>
    <w:rsid w:val="00065DD3"/>
    <w:rsid w:val="0006674D"/>
    <w:rsid w:val="000668FC"/>
    <w:rsid w:val="00066B8C"/>
    <w:rsid w:val="000670F8"/>
    <w:rsid w:val="00070AE7"/>
    <w:rsid w:val="00071B92"/>
    <w:rsid w:val="0007264A"/>
    <w:rsid w:val="00074945"/>
    <w:rsid w:val="00074CCD"/>
    <w:rsid w:val="00075000"/>
    <w:rsid w:val="00075184"/>
    <w:rsid w:val="0007579C"/>
    <w:rsid w:val="000760E5"/>
    <w:rsid w:val="0007642C"/>
    <w:rsid w:val="00076A5C"/>
    <w:rsid w:val="00080652"/>
    <w:rsid w:val="00080B55"/>
    <w:rsid w:val="00080D3B"/>
    <w:rsid w:val="000814CD"/>
    <w:rsid w:val="000816D6"/>
    <w:rsid w:val="000816F9"/>
    <w:rsid w:val="00081E07"/>
    <w:rsid w:val="00082AC9"/>
    <w:rsid w:val="00082EF3"/>
    <w:rsid w:val="000831F5"/>
    <w:rsid w:val="000840CA"/>
    <w:rsid w:val="0008472B"/>
    <w:rsid w:val="00085042"/>
    <w:rsid w:val="000853D5"/>
    <w:rsid w:val="00085C3F"/>
    <w:rsid w:val="00087539"/>
    <w:rsid w:val="00087ACB"/>
    <w:rsid w:val="00087F63"/>
    <w:rsid w:val="00090219"/>
    <w:rsid w:val="00090643"/>
    <w:rsid w:val="00090DCC"/>
    <w:rsid w:val="000924C7"/>
    <w:rsid w:val="000924DC"/>
    <w:rsid w:val="0009290A"/>
    <w:rsid w:val="00092BFB"/>
    <w:rsid w:val="00092F2D"/>
    <w:rsid w:val="000933CC"/>
    <w:rsid w:val="000944D0"/>
    <w:rsid w:val="0009549D"/>
    <w:rsid w:val="00096265"/>
    <w:rsid w:val="00096482"/>
    <w:rsid w:val="00096C1A"/>
    <w:rsid w:val="00096D9E"/>
    <w:rsid w:val="00096DA7"/>
    <w:rsid w:val="00097D13"/>
    <w:rsid w:val="000A0370"/>
    <w:rsid w:val="000A092D"/>
    <w:rsid w:val="000A0F66"/>
    <w:rsid w:val="000A1385"/>
    <w:rsid w:val="000A1D08"/>
    <w:rsid w:val="000A1E89"/>
    <w:rsid w:val="000A1F38"/>
    <w:rsid w:val="000A2044"/>
    <w:rsid w:val="000A230A"/>
    <w:rsid w:val="000A2698"/>
    <w:rsid w:val="000A3191"/>
    <w:rsid w:val="000A3D5D"/>
    <w:rsid w:val="000A3E70"/>
    <w:rsid w:val="000A3ED7"/>
    <w:rsid w:val="000A41FC"/>
    <w:rsid w:val="000A4CEB"/>
    <w:rsid w:val="000A60AD"/>
    <w:rsid w:val="000A62F2"/>
    <w:rsid w:val="000A6808"/>
    <w:rsid w:val="000A6C2A"/>
    <w:rsid w:val="000A6E79"/>
    <w:rsid w:val="000A7E04"/>
    <w:rsid w:val="000B04B1"/>
    <w:rsid w:val="000B1B71"/>
    <w:rsid w:val="000B1D6A"/>
    <w:rsid w:val="000B21CE"/>
    <w:rsid w:val="000B2B38"/>
    <w:rsid w:val="000B3205"/>
    <w:rsid w:val="000B3B8A"/>
    <w:rsid w:val="000B3BD0"/>
    <w:rsid w:val="000B45E7"/>
    <w:rsid w:val="000B489F"/>
    <w:rsid w:val="000B4E2D"/>
    <w:rsid w:val="000B4EA4"/>
    <w:rsid w:val="000B5D09"/>
    <w:rsid w:val="000B61F1"/>
    <w:rsid w:val="000B6683"/>
    <w:rsid w:val="000B66E7"/>
    <w:rsid w:val="000B67BB"/>
    <w:rsid w:val="000B6930"/>
    <w:rsid w:val="000B6998"/>
    <w:rsid w:val="000B6A3E"/>
    <w:rsid w:val="000B726E"/>
    <w:rsid w:val="000B78F8"/>
    <w:rsid w:val="000B799E"/>
    <w:rsid w:val="000C01AB"/>
    <w:rsid w:val="000C1032"/>
    <w:rsid w:val="000C1279"/>
    <w:rsid w:val="000C1F20"/>
    <w:rsid w:val="000C2F2E"/>
    <w:rsid w:val="000C3832"/>
    <w:rsid w:val="000C38A6"/>
    <w:rsid w:val="000C392F"/>
    <w:rsid w:val="000C3A14"/>
    <w:rsid w:val="000C3D4B"/>
    <w:rsid w:val="000C3F55"/>
    <w:rsid w:val="000C4191"/>
    <w:rsid w:val="000C42FC"/>
    <w:rsid w:val="000C4554"/>
    <w:rsid w:val="000C49C8"/>
    <w:rsid w:val="000C5C7D"/>
    <w:rsid w:val="000C5CFD"/>
    <w:rsid w:val="000C5DF5"/>
    <w:rsid w:val="000C67F1"/>
    <w:rsid w:val="000C68DC"/>
    <w:rsid w:val="000C6C73"/>
    <w:rsid w:val="000C7D7C"/>
    <w:rsid w:val="000C7DDA"/>
    <w:rsid w:val="000D0394"/>
    <w:rsid w:val="000D284D"/>
    <w:rsid w:val="000D28EC"/>
    <w:rsid w:val="000D2F84"/>
    <w:rsid w:val="000D45AC"/>
    <w:rsid w:val="000D4878"/>
    <w:rsid w:val="000D4DE6"/>
    <w:rsid w:val="000D5338"/>
    <w:rsid w:val="000D5366"/>
    <w:rsid w:val="000D5AE3"/>
    <w:rsid w:val="000D61B3"/>
    <w:rsid w:val="000D62A1"/>
    <w:rsid w:val="000D75A7"/>
    <w:rsid w:val="000D7836"/>
    <w:rsid w:val="000E0868"/>
    <w:rsid w:val="000E0CA6"/>
    <w:rsid w:val="000E2110"/>
    <w:rsid w:val="000E29B9"/>
    <w:rsid w:val="000E2DD8"/>
    <w:rsid w:val="000E30D9"/>
    <w:rsid w:val="000E3416"/>
    <w:rsid w:val="000E41B0"/>
    <w:rsid w:val="000E4292"/>
    <w:rsid w:val="000E4D5A"/>
    <w:rsid w:val="000E56E7"/>
    <w:rsid w:val="000E5BAB"/>
    <w:rsid w:val="000E5CE7"/>
    <w:rsid w:val="000E5DA3"/>
    <w:rsid w:val="000E5FC1"/>
    <w:rsid w:val="000F0AFA"/>
    <w:rsid w:val="000F0E04"/>
    <w:rsid w:val="000F1082"/>
    <w:rsid w:val="000F1249"/>
    <w:rsid w:val="000F1BF9"/>
    <w:rsid w:val="000F1D7F"/>
    <w:rsid w:val="000F2399"/>
    <w:rsid w:val="000F297E"/>
    <w:rsid w:val="000F31BA"/>
    <w:rsid w:val="000F36BD"/>
    <w:rsid w:val="000F3F38"/>
    <w:rsid w:val="000F4590"/>
    <w:rsid w:val="000F46FC"/>
    <w:rsid w:val="000F4B39"/>
    <w:rsid w:val="000F58D0"/>
    <w:rsid w:val="000F59DC"/>
    <w:rsid w:val="000F63F4"/>
    <w:rsid w:val="000F6729"/>
    <w:rsid w:val="000F78D0"/>
    <w:rsid w:val="000F79DE"/>
    <w:rsid w:val="00100392"/>
    <w:rsid w:val="0010046C"/>
    <w:rsid w:val="00100696"/>
    <w:rsid w:val="00101223"/>
    <w:rsid w:val="001012CF"/>
    <w:rsid w:val="00101826"/>
    <w:rsid w:val="00101DC1"/>
    <w:rsid w:val="001023A4"/>
    <w:rsid w:val="00102E77"/>
    <w:rsid w:val="0010427F"/>
    <w:rsid w:val="00104497"/>
    <w:rsid w:val="001048A8"/>
    <w:rsid w:val="00104961"/>
    <w:rsid w:val="00104B7F"/>
    <w:rsid w:val="00104D50"/>
    <w:rsid w:val="00104F5C"/>
    <w:rsid w:val="00104F7F"/>
    <w:rsid w:val="001055E3"/>
    <w:rsid w:val="0010680E"/>
    <w:rsid w:val="001100A4"/>
    <w:rsid w:val="00110978"/>
    <w:rsid w:val="0011218B"/>
    <w:rsid w:val="001122BF"/>
    <w:rsid w:val="00112472"/>
    <w:rsid w:val="00112847"/>
    <w:rsid w:val="001128AB"/>
    <w:rsid w:val="001132EE"/>
    <w:rsid w:val="00113A53"/>
    <w:rsid w:val="00113F37"/>
    <w:rsid w:val="0011457C"/>
    <w:rsid w:val="00114B92"/>
    <w:rsid w:val="00114E05"/>
    <w:rsid w:val="00115168"/>
    <w:rsid w:val="00115438"/>
    <w:rsid w:val="00115AD3"/>
    <w:rsid w:val="00116F79"/>
    <w:rsid w:val="0011753C"/>
    <w:rsid w:val="00120469"/>
    <w:rsid w:val="00122E57"/>
    <w:rsid w:val="00122FC8"/>
    <w:rsid w:val="001243FE"/>
    <w:rsid w:val="00125B59"/>
    <w:rsid w:val="00125C1E"/>
    <w:rsid w:val="00125D35"/>
    <w:rsid w:val="00125E8C"/>
    <w:rsid w:val="00125F56"/>
    <w:rsid w:val="00126589"/>
    <w:rsid w:val="00126BE0"/>
    <w:rsid w:val="001270DF"/>
    <w:rsid w:val="00127392"/>
    <w:rsid w:val="00127541"/>
    <w:rsid w:val="00127FC6"/>
    <w:rsid w:val="001300B0"/>
    <w:rsid w:val="00130268"/>
    <w:rsid w:val="0013070E"/>
    <w:rsid w:val="00130E23"/>
    <w:rsid w:val="00130F3B"/>
    <w:rsid w:val="001311AC"/>
    <w:rsid w:val="0013241A"/>
    <w:rsid w:val="00132737"/>
    <w:rsid w:val="00132824"/>
    <w:rsid w:val="00132C15"/>
    <w:rsid w:val="001330ED"/>
    <w:rsid w:val="001332C2"/>
    <w:rsid w:val="001335B5"/>
    <w:rsid w:val="00133604"/>
    <w:rsid w:val="00133F16"/>
    <w:rsid w:val="00133F58"/>
    <w:rsid w:val="00133F7A"/>
    <w:rsid w:val="0013437B"/>
    <w:rsid w:val="001344CF"/>
    <w:rsid w:val="00134543"/>
    <w:rsid w:val="001347A2"/>
    <w:rsid w:val="00134D7C"/>
    <w:rsid w:val="00135F3B"/>
    <w:rsid w:val="00136A52"/>
    <w:rsid w:val="00136CA1"/>
    <w:rsid w:val="00136EE8"/>
    <w:rsid w:val="00140F0A"/>
    <w:rsid w:val="001413D7"/>
    <w:rsid w:val="00141C15"/>
    <w:rsid w:val="00142589"/>
    <w:rsid w:val="0014303F"/>
    <w:rsid w:val="00143C65"/>
    <w:rsid w:val="001456A1"/>
    <w:rsid w:val="00145767"/>
    <w:rsid w:val="00145CAA"/>
    <w:rsid w:val="001461DC"/>
    <w:rsid w:val="00147092"/>
    <w:rsid w:val="00147BB5"/>
    <w:rsid w:val="00147E67"/>
    <w:rsid w:val="00147EFF"/>
    <w:rsid w:val="001501E0"/>
    <w:rsid w:val="0015038E"/>
    <w:rsid w:val="0015059D"/>
    <w:rsid w:val="00150A11"/>
    <w:rsid w:val="00150F18"/>
    <w:rsid w:val="001514B0"/>
    <w:rsid w:val="00151993"/>
    <w:rsid w:val="00151EC9"/>
    <w:rsid w:val="00152164"/>
    <w:rsid w:val="001535A8"/>
    <w:rsid w:val="00153976"/>
    <w:rsid w:val="00153A9D"/>
    <w:rsid w:val="001541D8"/>
    <w:rsid w:val="00154270"/>
    <w:rsid w:val="0015471B"/>
    <w:rsid w:val="0015471C"/>
    <w:rsid w:val="0015518D"/>
    <w:rsid w:val="00155463"/>
    <w:rsid w:val="00155911"/>
    <w:rsid w:val="00156DB9"/>
    <w:rsid w:val="001577A0"/>
    <w:rsid w:val="001600A3"/>
    <w:rsid w:val="00160BE8"/>
    <w:rsid w:val="00160E7E"/>
    <w:rsid w:val="00161CC1"/>
    <w:rsid w:val="00163A56"/>
    <w:rsid w:val="00163A5B"/>
    <w:rsid w:val="00164B54"/>
    <w:rsid w:val="001655ED"/>
    <w:rsid w:val="00165738"/>
    <w:rsid w:val="00166516"/>
    <w:rsid w:val="00166905"/>
    <w:rsid w:val="00170A6B"/>
    <w:rsid w:val="00170BE6"/>
    <w:rsid w:val="001714A3"/>
    <w:rsid w:val="00171688"/>
    <w:rsid w:val="00171F1F"/>
    <w:rsid w:val="001722D9"/>
    <w:rsid w:val="0017270D"/>
    <w:rsid w:val="00172DBF"/>
    <w:rsid w:val="00172EA1"/>
    <w:rsid w:val="0017434F"/>
    <w:rsid w:val="00174993"/>
    <w:rsid w:val="0017563C"/>
    <w:rsid w:val="00175921"/>
    <w:rsid w:val="00175CB1"/>
    <w:rsid w:val="00176BC8"/>
    <w:rsid w:val="00176EF8"/>
    <w:rsid w:val="0017759E"/>
    <w:rsid w:val="00180644"/>
    <w:rsid w:val="00181AC7"/>
    <w:rsid w:val="00181D12"/>
    <w:rsid w:val="00182653"/>
    <w:rsid w:val="00183068"/>
    <w:rsid w:val="001839AC"/>
    <w:rsid w:val="00183CAD"/>
    <w:rsid w:val="00183D58"/>
    <w:rsid w:val="00184059"/>
    <w:rsid w:val="00184E78"/>
    <w:rsid w:val="001853B6"/>
    <w:rsid w:val="00185C04"/>
    <w:rsid w:val="00185DB9"/>
    <w:rsid w:val="00185E54"/>
    <w:rsid w:val="00186650"/>
    <w:rsid w:val="00186B5C"/>
    <w:rsid w:val="00187098"/>
    <w:rsid w:val="0018717A"/>
    <w:rsid w:val="00187D4F"/>
    <w:rsid w:val="0019020B"/>
    <w:rsid w:val="00190D75"/>
    <w:rsid w:val="00191EE6"/>
    <w:rsid w:val="00192054"/>
    <w:rsid w:val="00192500"/>
    <w:rsid w:val="001929D8"/>
    <w:rsid w:val="00192CD8"/>
    <w:rsid w:val="001932CA"/>
    <w:rsid w:val="00193AA4"/>
    <w:rsid w:val="00193E6C"/>
    <w:rsid w:val="00194311"/>
    <w:rsid w:val="0019495A"/>
    <w:rsid w:val="00194996"/>
    <w:rsid w:val="00194A77"/>
    <w:rsid w:val="00194C0D"/>
    <w:rsid w:val="00195018"/>
    <w:rsid w:val="00195328"/>
    <w:rsid w:val="00195AD6"/>
    <w:rsid w:val="001960CF"/>
    <w:rsid w:val="00196C9C"/>
    <w:rsid w:val="001A0A7A"/>
    <w:rsid w:val="001A0BC7"/>
    <w:rsid w:val="001A11F3"/>
    <w:rsid w:val="001A22E0"/>
    <w:rsid w:val="001A2351"/>
    <w:rsid w:val="001A2C6B"/>
    <w:rsid w:val="001A2CC0"/>
    <w:rsid w:val="001A4659"/>
    <w:rsid w:val="001A48AB"/>
    <w:rsid w:val="001A4A22"/>
    <w:rsid w:val="001A4AE4"/>
    <w:rsid w:val="001A4BC7"/>
    <w:rsid w:val="001A4CCA"/>
    <w:rsid w:val="001A4E05"/>
    <w:rsid w:val="001A4E34"/>
    <w:rsid w:val="001A5049"/>
    <w:rsid w:val="001A52C4"/>
    <w:rsid w:val="001A5B12"/>
    <w:rsid w:val="001A670E"/>
    <w:rsid w:val="001A70E2"/>
    <w:rsid w:val="001A736F"/>
    <w:rsid w:val="001A7FFB"/>
    <w:rsid w:val="001B1217"/>
    <w:rsid w:val="001B1225"/>
    <w:rsid w:val="001B156B"/>
    <w:rsid w:val="001B17B3"/>
    <w:rsid w:val="001B1C2D"/>
    <w:rsid w:val="001B25BA"/>
    <w:rsid w:val="001B33B9"/>
    <w:rsid w:val="001B38A9"/>
    <w:rsid w:val="001B3A24"/>
    <w:rsid w:val="001B40BD"/>
    <w:rsid w:val="001B5067"/>
    <w:rsid w:val="001B6AF1"/>
    <w:rsid w:val="001B6F14"/>
    <w:rsid w:val="001B7EEC"/>
    <w:rsid w:val="001C00B0"/>
    <w:rsid w:val="001C078B"/>
    <w:rsid w:val="001C07E5"/>
    <w:rsid w:val="001C0BA6"/>
    <w:rsid w:val="001C0EE0"/>
    <w:rsid w:val="001C111F"/>
    <w:rsid w:val="001C2226"/>
    <w:rsid w:val="001C2256"/>
    <w:rsid w:val="001C297B"/>
    <w:rsid w:val="001C32FF"/>
    <w:rsid w:val="001C372D"/>
    <w:rsid w:val="001C39F7"/>
    <w:rsid w:val="001C3FFD"/>
    <w:rsid w:val="001C4145"/>
    <w:rsid w:val="001C459B"/>
    <w:rsid w:val="001C49AA"/>
    <w:rsid w:val="001C57F5"/>
    <w:rsid w:val="001C66B8"/>
    <w:rsid w:val="001C6A5E"/>
    <w:rsid w:val="001C70B2"/>
    <w:rsid w:val="001C722A"/>
    <w:rsid w:val="001C7822"/>
    <w:rsid w:val="001C7B3C"/>
    <w:rsid w:val="001C7DBC"/>
    <w:rsid w:val="001C7F26"/>
    <w:rsid w:val="001D0009"/>
    <w:rsid w:val="001D0605"/>
    <w:rsid w:val="001D09B7"/>
    <w:rsid w:val="001D0A7C"/>
    <w:rsid w:val="001D0CE1"/>
    <w:rsid w:val="001D1188"/>
    <w:rsid w:val="001D1661"/>
    <w:rsid w:val="001D1A6D"/>
    <w:rsid w:val="001D21A0"/>
    <w:rsid w:val="001D275E"/>
    <w:rsid w:val="001D2838"/>
    <w:rsid w:val="001D3405"/>
    <w:rsid w:val="001D372E"/>
    <w:rsid w:val="001D396A"/>
    <w:rsid w:val="001D3F00"/>
    <w:rsid w:val="001D449D"/>
    <w:rsid w:val="001D4827"/>
    <w:rsid w:val="001D4D90"/>
    <w:rsid w:val="001D7E74"/>
    <w:rsid w:val="001E071E"/>
    <w:rsid w:val="001E09C6"/>
    <w:rsid w:val="001E0E69"/>
    <w:rsid w:val="001E1222"/>
    <w:rsid w:val="001E2097"/>
    <w:rsid w:val="001E2255"/>
    <w:rsid w:val="001E22AB"/>
    <w:rsid w:val="001E24F6"/>
    <w:rsid w:val="001E2E16"/>
    <w:rsid w:val="001E3F8E"/>
    <w:rsid w:val="001E400D"/>
    <w:rsid w:val="001E5080"/>
    <w:rsid w:val="001E51D4"/>
    <w:rsid w:val="001E5214"/>
    <w:rsid w:val="001E6A70"/>
    <w:rsid w:val="001E7A37"/>
    <w:rsid w:val="001F00FC"/>
    <w:rsid w:val="001F0669"/>
    <w:rsid w:val="001F0D2D"/>
    <w:rsid w:val="001F1002"/>
    <w:rsid w:val="001F1176"/>
    <w:rsid w:val="001F12A9"/>
    <w:rsid w:val="001F1315"/>
    <w:rsid w:val="001F1676"/>
    <w:rsid w:val="001F1D94"/>
    <w:rsid w:val="001F1EA6"/>
    <w:rsid w:val="001F20DE"/>
    <w:rsid w:val="001F2177"/>
    <w:rsid w:val="001F2246"/>
    <w:rsid w:val="001F2E9A"/>
    <w:rsid w:val="001F3318"/>
    <w:rsid w:val="001F36BF"/>
    <w:rsid w:val="001F4103"/>
    <w:rsid w:val="001F4316"/>
    <w:rsid w:val="001F449F"/>
    <w:rsid w:val="001F4BAD"/>
    <w:rsid w:val="001F5182"/>
    <w:rsid w:val="001F5B0D"/>
    <w:rsid w:val="001F5C06"/>
    <w:rsid w:val="001F5D23"/>
    <w:rsid w:val="001F5FFC"/>
    <w:rsid w:val="001F617E"/>
    <w:rsid w:val="001F6295"/>
    <w:rsid w:val="001F63C2"/>
    <w:rsid w:val="001F6B93"/>
    <w:rsid w:val="001F6C73"/>
    <w:rsid w:val="001F72E4"/>
    <w:rsid w:val="001F75B1"/>
    <w:rsid w:val="00200199"/>
    <w:rsid w:val="002001F4"/>
    <w:rsid w:val="002003C6"/>
    <w:rsid w:val="00200841"/>
    <w:rsid w:val="0020195F"/>
    <w:rsid w:val="00201DF1"/>
    <w:rsid w:val="002025E6"/>
    <w:rsid w:val="002025FC"/>
    <w:rsid w:val="00202E44"/>
    <w:rsid w:val="00203051"/>
    <w:rsid w:val="00204798"/>
    <w:rsid w:val="00205065"/>
    <w:rsid w:val="00205140"/>
    <w:rsid w:val="00205527"/>
    <w:rsid w:val="002058C5"/>
    <w:rsid w:val="0020593C"/>
    <w:rsid w:val="00205CDF"/>
    <w:rsid w:val="00206402"/>
    <w:rsid w:val="0020727F"/>
    <w:rsid w:val="00207578"/>
    <w:rsid w:val="00207C4C"/>
    <w:rsid w:val="00207E8C"/>
    <w:rsid w:val="002104DF"/>
    <w:rsid w:val="00211C95"/>
    <w:rsid w:val="00212325"/>
    <w:rsid w:val="002123AF"/>
    <w:rsid w:val="002125FF"/>
    <w:rsid w:val="002127DA"/>
    <w:rsid w:val="00212CF0"/>
    <w:rsid w:val="00213693"/>
    <w:rsid w:val="002136F9"/>
    <w:rsid w:val="00213756"/>
    <w:rsid w:val="0021476B"/>
    <w:rsid w:val="00214DF4"/>
    <w:rsid w:val="0021563B"/>
    <w:rsid w:val="002163BD"/>
    <w:rsid w:val="0021647A"/>
    <w:rsid w:val="00216C95"/>
    <w:rsid w:val="0021730C"/>
    <w:rsid w:val="002175FC"/>
    <w:rsid w:val="00217B31"/>
    <w:rsid w:val="00220171"/>
    <w:rsid w:val="00220A05"/>
    <w:rsid w:val="00220FCE"/>
    <w:rsid w:val="00220FF6"/>
    <w:rsid w:val="0022102A"/>
    <w:rsid w:val="00221866"/>
    <w:rsid w:val="00221D71"/>
    <w:rsid w:val="00221E0F"/>
    <w:rsid w:val="002221BB"/>
    <w:rsid w:val="002225FF"/>
    <w:rsid w:val="00222AE5"/>
    <w:rsid w:val="00222BD4"/>
    <w:rsid w:val="00223099"/>
    <w:rsid w:val="00224B66"/>
    <w:rsid w:val="00224D2B"/>
    <w:rsid w:val="00224D32"/>
    <w:rsid w:val="0022684A"/>
    <w:rsid w:val="00227E1F"/>
    <w:rsid w:val="00227E95"/>
    <w:rsid w:val="0023080E"/>
    <w:rsid w:val="00230AC1"/>
    <w:rsid w:val="00230BBB"/>
    <w:rsid w:val="00230E78"/>
    <w:rsid w:val="0023181B"/>
    <w:rsid w:val="00231B3A"/>
    <w:rsid w:val="0023283D"/>
    <w:rsid w:val="00232ED5"/>
    <w:rsid w:val="00233204"/>
    <w:rsid w:val="00233256"/>
    <w:rsid w:val="00234F53"/>
    <w:rsid w:val="00235171"/>
    <w:rsid w:val="00235E58"/>
    <w:rsid w:val="00235F2C"/>
    <w:rsid w:val="00236752"/>
    <w:rsid w:val="00237098"/>
    <w:rsid w:val="00237D7B"/>
    <w:rsid w:val="002402F8"/>
    <w:rsid w:val="00240320"/>
    <w:rsid w:val="002404ED"/>
    <w:rsid w:val="002406CD"/>
    <w:rsid w:val="00241291"/>
    <w:rsid w:val="00241295"/>
    <w:rsid w:val="002418D1"/>
    <w:rsid w:val="00242F93"/>
    <w:rsid w:val="00243347"/>
    <w:rsid w:val="00243E9A"/>
    <w:rsid w:val="00243FE8"/>
    <w:rsid w:val="00244681"/>
    <w:rsid w:val="00244F0F"/>
    <w:rsid w:val="0024508F"/>
    <w:rsid w:val="0024523D"/>
    <w:rsid w:val="00245282"/>
    <w:rsid w:val="002453CE"/>
    <w:rsid w:val="00245C86"/>
    <w:rsid w:val="00245DAB"/>
    <w:rsid w:val="00246918"/>
    <w:rsid w:val="00246E8E"/>
    <w:rsid w:val="0024703B"/>
    <w:rsid w:val="00247064"/>
    <w:rsid w:val="0024733B"/>
    <w:rsid w:val="002474A9"/>
    <w:rsid w:val="00250295"/>
    <w:rsid w:val="002503D5"/>
    <w:rsid w:val="002509C7"/>
    <w:rsid w:val="00250A62"/>
    <w:rsid w:val="002510B9"/>
    <w:rsid w:val="00251EFE"/>
    <w:rsid w:val="00252844"/>
    <w:rsid w:val="00252A6D"/>
    <w:rsid w:val="00252C96"/>
    <w:rsid w:val="00253241"/>
    <w:rsid w:val="00254561"/>
    <w:rsid w:val="00254658"/>
    <w:rsid w:val="00254726"/>
    <w:rsid w:val="0025508C"/>
    <w:rsid w:val="0025551F"/>
    <w:rsid w:val="002557D8"/>
    <w:rsid w:val="002560A8"/>
    <w:rsid w:val="002570C6"/>
    <w:rsid w:val="00257247"/>
    <w:rsid w:val="00257456"/>
    <w:rsid w:val="00257B31"/>
    <w:rsid w:val="00257EDA"/>
    <w:rsid w:val="002600F3"/>
    <w:rsid w:val="00260DD2"/>
    <w:rsid w:val="0026175E"/>
    <w:rsid w:val="00261F6F"/>
    <w:rsid w:val="002629E9"/>
    <w:rsid w:val="00262AB7"/>
    <w:rsid w:val="002637A0"/>
    <w:rsid w:val="002638D5"/>
    <w:rsid w:val="002639A8"/>
    <w:rsid w:val="00264596"/>
    <w:rsid w:val="00264D40"/>
    <w:rsid w:val="00265667"/>
    <w:rsid w:val="00265904"/>
    <w:rsid w:val="00265EE9"/>
    <w:rsid w:val="00266693"/>
    <w:rsid w:val="00267717"/>
    <w:rsid w:val="00267909"/>
    <w:rsid w:val="00267E88"/>
    <w:rsid w:val="002717BE"/>
    <w:rsid w:val="00271936"/>
    <w:rsid w:val="00272BF1"/>
    <w:rsid w:val="00273A16"/>
    <w:rsid w:val="00273D30"/>
    <w:rsid w:val="0027496B"/>
    <w:rsid w:val="00274F06"/>
    <w:rsid w:val="002754C5"/>
    <w:rsid w:val="0027572A"/>
    <w:rsid w:val="00275E05"/>
    <w:rsid w:val="00276AD0"/>
    <w:rsid w:val="00276DD8"/>
    <w:rsid w:val="00276DE2"/>
    <w:rsid w:val="00276E6A"/>
    <w:rsid w:val="00277754"/>
    <w:rsid w:val="00277A74"/>
    <w:rsid w:val="00280550"/>
    <w:rsid w:val="002809DE"/>
    <w:rsid w:val="00280C27"/>
    <w:rsid w:val="00280D22"/>
    <w:rsid w:val="00280F5D"/>
    <w:rsid w:val="00281903"/>
    <w:rsid w:val="00281B46"/>
    <w:rsid w:val="002825A9"/>
    <w:rsid w:val="00282B45"/>
    <w:rsid w:val="00284A4F"/>
    <w:rsid w:val="00284C1A"/>
    <w:rsid w:val="00285644"/>
    <w:rsid w:val="00285E3A"/>
    <w:rsid w:val="00290461"/>
    <w:rsid w:val="002904F9"/>
    <w:rsid w:val="00290978"/>
    <w:rsid w:val="00290A7A"/>
    <w:rsid w:val="002924D6"/>
    <w:rsid w:val="002928DD"/>
    <w:rsid w:val="00293832"/>
    <w:rsid w:val="002944FC"/>
    <w:rsid w:val="00294FF0"/>
    <w:rsid w:val="00295075"/>
    <w:rsid w:val="00295B24"/>
    <w:rsid w:val="00295E49"/>
    <w:rsid w:val="002968E7"/>
    <w:rsid w:val="00296A93"/>
    <w:rsid w:val="00296C91"/>
    <w:rsid w:val="00296EC2"/>
    <w:rsid w:val="00296F51"/>
    <w:rsid w:val="002972C8"/>
    <w:rsid w:val="002975AD"/>
    <w:rsid w:val="00297988"/>
    <w:rsid w:val="002A0827"/>
    <w:rsid w:val="002A089D"/>
    <w:rsid w:val="002A0E09"/>
    <w:rsid w:val="002A16DF"/>
    <w:rsid w:val="002A2086"/>
    <w:rsid w:val="002A2106"/>
    <w:rsid w:val="002A2712"/>
    <w:rsid w:val="002A37AF"/>
    <w:rsid w:val="002A3E5B"/>
    <w:rsid w:val="002A403C"/>
    <w:rsid w:val="002A430A"/>
    <w:rsid w:val="002A43B8"/>
    <w:rsid w:val="002A49E3"/>
    <w:rsid w:val="002A4ECB"/>
    <w:rsid w:val="002A4FF0"/>
    <w:rsid w:val="002A52BB"/>
    <w:rsid w:val="002A5338"/>
    <w:rsid w:val="002A576F"/>
    <w:rsid w:val="002A58AE"/>
    <w:rsid w:val="002A58BC"/>
    <w:rsid w:val="002A5925"/>
    <w:rsid w:val="002A5CF4"/>
    <w:rsid w:val="002A5EB9"/>
    <w:rsid w:val="002A613E"/>
    <w:rsid w:val="002A66F8"/>
    <w:rsid w:val="002A7857"/>
    <w:rsid w:val="002A7A30"/>
    <w:rsid w:val="002A7FEA"/>
    <w:rsid w:val="002B048A"/>
    <w:rsid w:val="002B04F7"/>
    <w:rsid w:val="002B0691"/>
    <w:rsid w:val="002B09DF"/>
    <w:rsid w:val="002B0D7B"/>
    <w:rsid w:val="002B1310"/>
    <w:rsid w:val="002B13D4"/>
    <w:rsid w:val="002B24CF"/>
    <w:rsid w:val="002B278A"/>
    <w:rsid w:val="002B2F49"/>
    <w:rsid w:val="002B3215"/>
    <w:rsid w:val="002B4D87"/>
    <w:rsid w:val="002B510B"/>
    <w:rsid w:val="002B59BA"/>
    <w:rsid w:val="002B66C6"/>
    <w:rsid w:val="002B6A55"/>
    <w:rsid w:val="002B742F"/>
    <w:rsid w:val="002B7906"/>
    <w:rsid w:val="002B7B9D"/>
    <w:rsid w:val="002B7F1A"/>
    <w:rsid w:val="002C093E"/>
    <w:rsid w:val="002C104D"/>
    <w:rsid w:val="002C12FD"/>
    <w:rsid w:val="002C17A6"/>
    <w:rsid w:val="002C2B20"/>
    <w:rsid w:val="002C2BE5"/>
    <w:rsid w:val="002C3236"/>
    <w:rsid w:val="002C4147"/>
    <w:rsid w:val="002C4671"/>
    <w:rsid w:val="002C4C33"/>
    <w:rsid w:val="002C516A"/>
    <w:rsid w:val="002C5AF7"/>
    <w:rsid w:val="002C5C4C"/>
    <w:rsid w:val="002C6A06"/>
    <w:rsid w:val="002C6BD0"/>
    <w:rsid w:val="002C7FE3"/>
    <w:rsid w:val="002D0EC1"/>
    <w:rsid w:val="002D0FA2"/>
    <w:rsid w:val="002D195D"/>
    <w:rsid w:val="002D1A95"/>
    <w:rsid w:val="002D1C71"/>
    <w:rsid w:val="002D22FE"/>
    <w:rsid w:val="002D26A9"/>
    <w:rsid w:val="002D2941"/>
    <w:rsid w:val="002D2AEC"/>
    <w:rsid w:val="002D2F31"/>
    <w:rsid w:val="002D3233"/>
    <w:rsid w:val="002D397B"/>
    <w:rsid w:val="002D4458"/>
    <w:rsid w:val="002D5119"/>
    <w:rsid w:val="002D5308"/>
    <w:rsid w:val="002D59BA"/>
    <w:rsid w:val="002D5ECE"/>
    <w:rsid w:val="002D5F4A"/>
    <w:rsid w:val="002D6177"/>
    <w:rsid w:val="002D6275"/>
    <w:rsid w:val="002D6D82"/>
    <w:rsid w:val="002D76FE"/>
    <w:rsid w:val="002D79AE"/>
    <w:rsid w:val="002D7C5D"/>
    <w:rsid w:val="002D7D54"/>
    <w:rsid w:val="002E03D1"/>
    <w:rsid w:val="002E0916"/>
    <w:rsid w:val="002E09FB"/>
    <w:rsid w:val="002E13F9"/>
    <w:rsid w:val="002E14D4"/>
    <w:rsid w:val="002E1C81"/>
    <w:rsid w:val="002E2072"/>
    <w:rsid w:val="002E2131"/>
    <w:rsid w:val="002E38AC"/>
    <w:rsid w:val="002E45D3"/>
    <w:rsid w:val="002E5F16"/>
    <w:rsid w:val="002E6E2A"/>
    <w:rsid w:val="002E7048"/>
    <w:rsid w:val="002E7D68"/>
    <w:rsid w:val="002F0422"/>
    <w:rsid w:val="002F0A42"/>
    <w:rsid w:val="002F0E5F"/>
    <w:rsid w:val="002F13B9"/>
    <w:rsid w:val="002F31D0"/>
    <w:rsid w:val="002F3889"/>
    <w:rsid w:val="002F53DC"/>
    <w:rsid w:val="002F5620"/>
    <w:rsid w:val="002F5E3F"/>
    <w:rsid w:val="002F5F11"/>
    <w:rsid w:val="003004A9"/>
    <w:rsid w:val="00300861"/>
    <w:rsid w:val="003008CC"/>
    <w:rsid w:val="0030124C"/>
    <w:rsid w:val="003018DD"/>
    <w:rsid w:val="00301F29"/>
    <w:rsid w:val="0030211C"/>
    <w:rsid w:val="003026E4"/>
    <w:rsid w:val="0030322C"/>
    <w:rsid w:val="003034B5"/>
    <w:rsid w:val="0030385F"/>
    <w:rsid w:val="00304327"/>
    <w:rsid w:val="0030466D"/>
    <w:rsid w:val="0030467D"/>
    <w:rsid w:val="00304E92"/>
    <w:rsid w:val="003050CB"/>
    <w:rsid w:val="00305699"/>
    <w:rsid w:val="003066DB"/>
    <w:rsid w:val="00306BD0"/>
    <w:rsid w:val="003075A6"/>
    <w:rsid w:val="00307669"/>
    <w:rsid w:val="00307B48"/>
    <w:rsid w:val="00310570"/>
    <w:rsid w:val="00310D78"/>
    <w:rsid w:val="0031183E"/>
    <w:rsid w:val="003127F9"/>
    <w:rsid w:val="00312C74"/>
    <w:rsid w:val="003134C5"/>
    <w:rsid w:val="00313FC8"/>
    <w:rsid w:val="00314275"/>
    <w:rsid w:val="003144BF"/>
    <w:rsid w:val="00314BFC"/>
    <w:rsid w:val="00314E94"/>
    <w:rsid w:val="00315355"/>
    <w:rsid w:val="0031547E"/>
    <w:rsid w:val="00315B3E"/>
    <w:rsid w:val="003165F8"/>
    <w:rsid w:val="00316720"/>
    <w:rsid w:val="00316D0B"/>
    <w:rsid w:val="00317264"/>
    <w:rsid w:val="0031739D"/>
    <w:rsid w:val="00317FA9"/>
    <w:rsid w:val="00320D30"/>
    <w:rsid w:val="00322608"/>
    <w:rsid w:val="00322C72"/>
    <w:rsid w:val="00322D2C"/>
    <w:rsid w:val="00323759"/>
    <w:rsid w:val="003237B8"/>
    <w:rsid w:val="003238B8"/>
    <w:rsid w:val="00324830"/>
    <w:rsid w:val="00324F59"/>
    <w:rsid w:val="00324FEE"/>
    <w:rsid w:val="00325AF2"/>
    <w:rsid w:val="003261EF"/>
    <w:rsid w:val="00326448"/>
    <w:rsid w:val="00326AA1"/>
    <w:rsid w:val="00326BEF"/>
    <w:rsid w:val="00327207"/>
    <w:rsid w:val="00327BCB"/>
    <w:rsid w:val="00327CB4"/>
    <w:rsid w:val="00327F37"/>
    <w:rsid w:val="003302DE"/>
    <w:rsid w:val="0033047C"/>
    <w:rsid w:val="003308ED"/>
    <w:rsid w:val="00330A65"/>
    <w:rsid w:val="00330D2E"/>
    <w:rsid w:val="00332077"/>
    <w:rsid w:val="003321B8"/>
    <w:rsid w:val="0033250D"/>
    <w:rsid w:val="00332941"/>
    <w:rsid w:val="00333406"/>
    <w:rsid w:val="00333C05"/>
    <w:rsid w:val="00333D61"/>
    <w:rsid w:val="00333E4E"/>
    <w:rsid w:val="00333F39"/>
    <w:rsid w:val="003363A2"/>
    <w:rsid w:val="0033651F"/>
    <w:rsid w:val="0033717B"/>
    <w:rsid w:val="00337799"/>
    <w:rsid w:val="003404E8"/>
    <w:rsid w:val="00340738"/>
    <w:rsid w:val="0034281C"/>
    <w:rsid w:val="003435D7"/>
    <w:rsid w:val="00343613"/>
    <w:rsid w:val="003439EB"/>
    <w:rsid w:val="003447C2"/>
    <w:rsid w:val="00344BCB"/>
    <w:rsid w:val="0034503B"/>
    <w:rsid w:val="00345436"/>
    <w:rsid w:val="00347393"/>
    <w:rsid w:val="00347F37"/>
    <w:rsid w:val="00350928"/>
    <w:rsid w:val="0035098C"/>
    <w:rsid w:val="00350B08"/>
    <w:rsid w:val="00351A20"/>
    <w:rsid w:val="00351B78"/>
    <w:rsid w:val="00351CF2"/>
    <w:rsid w:val="0035268A"/>
    <w:rsid w:val="00352F48"/>
    <w:rsid w:val="00353061"/>
    <w:rsid w:val="003532ED"/>
    <w:rsid w:val="00353797"/>
    <w:rsid w:val="003539CB"/>
    <w:rsid w:val="00353C6F"/>
    <w:rsid w:val="00353C95"/>
    <w:rsid w:val="00354516"/>
    <w:rsid w:val="003549B2"/>
    <w:rsid w:val="00355DBA"/>
    <w:rsid w:val="00355F5F"/>
    <w:rsid w:val="003566DC"/>
    <w:rsid w:val="003567A9"/>
    <w:rsid w:val="0035692E"/>
    <w:rsid w:val="0035694E"/>
    <w:rsid w:val="00356A72"/>
    <w:rsid w:val="00356F2A"/>
    <w:rsid w:val="00357C4C"/>
    <w:rsid w:val="00357F86"/>
    <w:rsid w:val="00360121"/>
    <w:rsid w:val="0036051A"/>
    <w:rsid w:val="0036051C"/>
    <w:rsid w:val="0036060E"/>
    <w:rsid w:val="00360DBD"/>
    <w:rsid w:val="00360F1B"/>
    <w:rsid w:val="00361C97"/>
    <w:rsid w:val="00362819"/>
    <w:rsid w:val="00362A7A"/>
    <w:rsid w:val="00362F71"/>
    <w:rsid w:val="0036335D"/>
    <w:rsid w:val="00363E48"/>
    <w:rsid w:val="003645B1"/>
    <w:rsid w:val="003649E2"/>
    <w:rsid w:val="00364F0E"/>
    <w:rsid w:val="0036576E"/>
    <w:rsid w:val="00365940"/>
    <w:rsid w:val="00366A52"/>
    <w:rsid w:val="00366D92"/>
    <w:rsid w:val="00367D09"/>
    <w:rsid w:val="00370373"/>
    <w:rsid w:val="00371CBD"/>
    <w:rsid w:val="00372280"/>
    <w:rsid w:val="0037273B"/>
    <w:rsid w:val="0037274D"/>
    <w:rsid w:val="00372F45"/>
    <w:rsid w:val="00373324"/>
    <w:rsid w:val="0037349B"/>
    <w:rsid w:val="003742CE"/>
    <w:rsid w:val="00374661"/>
    <w:rsid w:val="00374B22"/>
    <w:rsid w:val="00374C4F"/>
    <w:rsid w:val="00375191"/>
    <w:rsid w:val="00375AD9"/>
    <w:rsid w:val="00376753"/>
    <w:rsid w:val="00376888"/>
    <w:rsid w:val="003770BC"/>
    <w:rsid w:val="00377A7F"/>
    <w:rsid w:val="00377C9B"/>
    <w:rsid w:val="0038013D"/>
    <w:rsid w:val="00380858"/>
    <w:rsid w:val="003809F1"/>
    <w:rsid w:val="00380B81"/>
    <w:rsid w:val="00380F2A"/>
    <w:rsid w:val="00381771"/>
    <w:rsid w:val="00381C35"/>
    <w:rsid w:val="00381D3F"/>
    <w:rsid w:val="00381EA6"/>
    <w:rsid w:val="0038201C"/>
    <w:rsid w:val="00382D84"/>
    <w:rsid w:val="00382E85"/>
    <w:rsid w:val="00384606"/>
    <w:rsid w:val="00384EEA"/>
    <w:rsid w:val="0038614C"/>
    <w:rsid w:val="00387FA6"/>
    <w:rsid w:val="00390B28"/>
    <w:rsid w:val="00390BCF"/>
    <w:rsid w:val="00390D66"/>
    <w:rsid w:val="00391254"/>
    <w:rsid w:val="0039176F"/>
    <w:rsid w:val="00391774"/>
    <w:rsid w:val="0039209E"/>
    <w:rsid w:val="003925BC"/>
    <w:rsid w:val="003928E8"/>
    <w:rsid w:val="00392D85"/>
    <w:rsid w:val="00392E46"/>
    <w:rsid w:val="0039312F"/>
    <w:rsid w:val="00393363"/>
    <w:rsid w:val="0039345F"/>
    <w:rsid w:val="00393E65"/>
    <w:rsid w:val="00394518"/>
    <w:rsid w:val="00394AAD"/>
    <w:rsid w:val="00394D59"/>
    <w:rsid w:val="00394E4E"/>
    <w:rsid w:val="0039546D"/>
    <w:rsid w:val="00395912"/>
    <w:rsid w:val="00395BD5"/>
    <w:rsid w:val="003965F0"/>
    <w:rsid w:val="003968F4"/>
    <w:rsid w:val="00396B16"/>
    <w:rsid w:val="00396B78"/>
    <w:rsid w:val="00396B79"/>
    <w:rsid w:val="00396BB6"/>
    <w:rsid w:val="00397460"/>
    <w:rsid w:val="003974D7"/>
    <w:rsid w:val="003975D1"/>
    <w:rsid w:val="003978EE"/>
    <w:rsid w:val="00397CA2"/>
    <w:rsid w:val="00397ECD"/>
    <w:rsid w:val="003A31C0"/>
    <w:rsid w:val="003A4E0C"/>
    <w:rsid w:val="003A6200"/>
    <w:rsid w:val="003A642C"/>
    <w:rsid w:val="003A6CAE"/>
    <w:rsid w:val="003A734B"/>
    <w:rsid w:val="003A745A"/>
    <w:rsid w:val="003B0041"/>
    <w:rsid w:val="003B0199"/>
    <w:rsid w:val="003B0595"/>
    <w:rsid w:val="003B073D"/>
    <w:rsid w:val="003B08BD"/>
    <w:rsid w:val="003B1CCA"/>
    <w:rsid w:val="003B1F67"/>
    <w:rsid w:val="003B1F6E"/>
    <w:rsid w:val="003B246C"/>
    <w:rsid w:val="003B2A02"/>
    <w:rsid w:val="003B3A02"/>
    <w:rsid w:val="003B46F4"/>
    <w:rsid w:val="003B6AA6"/>
    <w:rsid w:val="003B751E"/>
    <w:rsid w:val="003C052F"/>
    <w:rsid w:val="003C0686"/>
    <w:rsid w:val="003C0C39"/>
    <w:rsid w:val="003C122B"/>
    <w:rsid w:val="003C15B8"/>
    <w:rsid w:val="003C19D3"/>
    <w:rsid w:val="003C1B59"/>
    <w:rsid w:val="003C25BC"/>
    <w:rsid w:val="003C2893"/>
    <w:rsid w:val="003C31AD"/>
    <w:rsid w:val="003C3858"/>
    <w:rsid w:val="003C38EB"/>
    <w:rsid w:val="003C4434"/>
    <w:rsid w:val="003C4FB7"/>
    <w:rsid w:val="003C5DAE"/>
    <w:rsid w:val="003C6332"/>
    <w:rsid w:val="003C65A9"/>
    <w:rsid w:val="003C67D0"/>
    <w:rsid w:val="003C6D44"/>
    <w:rsid w:val="003C6D7E"/>
    <w:rsid w:val="003C6FC1"/>
    <w:rsid w:val="003C748F"/>
    <w:rsid w:val="003C77C8"/>
    <w:rsid w:val="003D0006"/>
    <w:rsid w:val="003D0103"/>
    <w:rsid w:val="003D01AA"/>
    <w:rsid w:val="003D0861"/>
    <w:rsid w:val="003D1783"/>
    <w:rsid w:val="003D19E3"/>
    <w:rsid w:val="003D1D95"/>
    <w:rsid w:val="003D2D44"/>
    <w:rsid w:val="003D3B7F"/>
    <w:rsid w:val="003D4196"/>
    <w:rsid w:val="003D4A94"/>
    <w:rsid w:val="003D5412"/>
    <w:rsid w:val="003D5556"/>
    <w:rsid w:val="003D56C6"/>
    <w:rsid w:val="003D6B22"/>
    <w:rsid w:val="003D77A3"/>
    <w:rsid w:val="003D7CDA"/>
    <w:rsid w:val="003E0204"/>
    <w:rsid w:val="003E0E1E"/>
    <w:rsid w:val="003E165E"/>
    <w:rsid w:val="003E175E"/>
    <w:rsid w:val="003E1CB8"/>
    <w:rsid w:val="003E227A"/>
    <w:rsid w:val="003E2C38"/>
    <w:rsid w:val="003E3484"/>
    <w:rsid w:val="003E3929"/>
    <w:rsid w:val="003E3B29"/>
    <w:rsid w:val="003E49C2"/>
    <w:rsid w:val="003E4A16"/>
    <w:rsid w:val="003E4CE4"/>
    <w:rsid w:val="003E6140"/>
    <w:rsid w:val="003E636C"/>
    <w:rsid w:val="003E6DF2"/>
    <w:rsid w:val="003E7268"/>
    <w:rsid w:val="003E72B3"/>
    <w:rsid w:val="003E79C4"/>
    <w:rsid w:val="003E7BBB"/>
    <w:rsid w:val="003E7F92"/>
    <w:rsid w:val="003F066E"/>
    <w:rsid w:val="003F103D"/>
    <w:rsid w:val="003F10EB"/>
    <w:rsid w:val="003F2DF6"/>
    <w:rsid w:val="003F3237"/>
    <w:rsid w:val="003F386B"/>
    <w:rsid w:val="003F3F70"/>
    <w:rsid w:val="003F4258"/>
    <w:rsid w:val="003F436F"/>
    <w:rsid w:val="003F52A5"/>
    <w:rsid w:val="003F6C93"/>
    <w:rsid w:val="003F70AE"/>
    <w:rsid w:val="00401277"/>
    <w:rsid w:val="004014CF"/>
    <w:rsid w:val="004014DA"/>
    <w:rsid w:val="00401D16"/>
    <w:rsid w:val="00401D18"/>
    <w:rsid w:val="004021B7"/>
    <w:rsid w:val="0040288A"/>
    <w:rsid w:val="00402AC5"/>
    <w:rsid w:val="00402F2A"/>
    <w:rsid w:val="00403D66"/>
    <w:rsid w:val="00404322"/>
    <w:rsid w:val="004044D3"/>
    <w:rsid w:val="00404883"/>
    <w:rsid w:val="004049EE"/>
    <w:rsid w:val="00404AED"/>
    <w:rsid w:val="00405031"/>
    <w:rsid w:val="004066C4"/>
    <w:rsid w:val="0040696D"/>
    <w:rsid w:val="00406CB2"/>
    <w:rsid w:val="00406E40"/>
    <w:rsid w:val="00406E79"/>
    <w:rsid w:val="00407615"/>
    <w:rsid w:val="0041028E"/>
    <w:rsid w:val="004114CF"/>
    <w:rsid w:val="0041242E"/>
    <w:rsid w:val="00413737"/>
    <w:rsid w:val="00413789"/>
    <w:rsid w:val="00413BB1"/>
    <w:rsid w:val="00414559"/>
    <w:rsid w:val="00414693"/>
    <w:rsid w:val="004155DB"/>
    <w:rsid w:val="00415855"/>
    <w:rsid w:val="00415A29"/>
    <w:rsid w:val="0041649F"/>
    <w:rsid w:val="004166A1"/>
    <w:rsid w:val="00416B5E"/>
    <w:rsid w:val="00416DF5"/>
    <w:rsid w:val="00416EEB"/>
    <w:rsid w:val="00417525"/>
    <w:rsid w:val="0041794D"/>
    <w:rsid w:val="004179FA"/>
    <w:rsid w:val="00417F47"/>
    <w:rsid w:val="00420ABD"/>
    <w:rsid w:val="00420ED1"/>
    <w:rsid w:val="00421100"/>
    <w:rsid w:val="0042132B"/>
    <w:rsid w:val="004221BE"/>
    <w:rsid w:val="00422B87"/>
    <w:rsid w:val="00423355"/>
    <w:rsid w:val="00423BDD"/>
    <w:rsid w:val="0042478A"/>
    <w:rsid w:val="00424C12"/>
    <w:rsid w:val="00424CD7"/>
    <w:rsid w:val="00425017"/>
    <w:rsid w:val="00425100"/>
    <w:rsid w:val="004251C4"/>
    <w:rsid w:val="00425388"/>
    <w:rsid w:val="00425456"/>
    <w:rsid w:val="00425C9E"/>
    <w:rsid w:val="00426A02"/>
    <w:rsid w:val="00426C40"/>
    <w:rsid w:val="0042766B"/>
    <w:rsid w:val="00427915"/>
    <w:rsid w:val="004300B0"/>
    <w:rsid w:val="00430D34"/>
    <w:rsid w:val="00430FB3"/>
    <w:rsid w:val="00430FDD"/>
    <w:rsid w:val="00431E52"/>
    <w:rsid w:val="00431F25"/>
    <w:rsid w:val="0043447D"/>
    <w:rsid w:val="00434859"/>
    <w:rsid w:val="004349C5"/>
    <w:rsid w:val="00434B65"/>
    <w:rsid w:val="00434E13"/>
    <w:rsid w:val="004356B9"/>
    <w:rsid w:val="0043586F"/>
    <w:rsid w:val="00435AD4"/>
    <w:rsid w:val="00435BC4"/>
    <w:rsid w:val="0043628B"/>
    <w:rsid w:val="00436B07"/>
    <w:rsid w:val="00436DB2"/>
    <w:rsid w:val="00436EC5"/>
    <w:rsid w:val="00436F02"/>
    <w:rsid w:val="0043797E"/>
    <w:rsid w:val="00441B68"/>
    <w:rsid w:val="004420F4"/>
    <w:rsid w:val="0044216D"/>
    <w:rsid w:val="004424AE"/>
    <w:rsid w:val="00442633"/>
    <w:rsid w:val="00442950"/>
    <w:rsid w:val="004459E9"/>
    <w:rsid w:val="00445CE4"/>
    <w:rsid w:val="00445E84"/>
    <w:rsid w:val="00446449"/>
    <w:rsid w:val="00446EAE"/>
    <w:rsid w:val="00447442"/>
    <w:rsid w:val="00451CC2"/>
    <w:rsid w:val="004522A5"/>
    <w:rsid w:val="0045238B"/>
    <w:rsid w:val="004528A2"/>
    <w:rsid w:val="00452D6B"/>
    <w:rsid w:val="00452E19"/>
    <w:rsid w:val="0045387F"/>
    <w:rsid w:val="00453F3F"/>
    <w:rsid w:val="00454513"/>
    <w:rsid w:val="004553F5"/>
    <w:rsid w:val="00455CD0"/>
    <w:rsid w:val="00455D12"/>
    <w:rsid w:val="00456394"/>
    <w:rsid w:val="00456B1C"/>
    <w:rsid w:val="00457856"/>
    <w:rsid w:val="004607FE"/>
    <w:rsid w:val="004615B3"/>
    <w:rsid w:val="00461A1B"/>
    <w:rsid w:val="00461A2A"/>
    <w:rsid w:val="00461B97"/>
    <w:rsid w:val="00461CCC"/>
    <w:rsid w:val="004631E6"/>
    <w:rsid w:val="00463A6B"/>
    <w:rsid w:val="00464452"/>
    <w:rsid w:val="00464655"/>
    <w:rsid w:val="00465170"/>
    <w:rsid w:val="0046546E"/>
    <w:rsid w:val="00465E67"/>
    <w:rsid w:val="00465F7F"/>
    <w:rsid w:val="00466D21"/>
    <w:rsid w:val="00466F2E"/>
    <w:rsid w:val="00467BE7"/>
    <w:rsid w:val="00470175"/>
    <w:rsid w:val="00470224"/>
    <w:rsid w:val="00470C10"/>
    <w:rsid w:val="00471D95"/>
    <w:rsid w:val="00471FFC"/>
    <w:rsid w:val="00473966"/>
    <w:rsid w:val="00473FA2"/>
    <w:rsid w:val="00473FEB"/>
    <w:rsid w:val="004743A5"/>
    <w:rsid w:val="00474680"/>
    <w:rsid w:val="00474C69"/>
    <w:rsid w:val="0047595E"/>
    <w:rsid w:val="00475C29"/>
    <w:rsid w:val="00475F98"/>
    <w:rsid w:val="00476342"/>
    <w:rsid w:val="004771A8"/>
    <w:rsid w:val="00477F06"/>
    <w:rsid w:val="00477F68"/>
    <w:rsid w:val="004801FE"/>
    <w:rsid w:val="00480386"/>
    <w:rsid w:val="004807B6"/>
    <w:rsid w:val="00480A0F"/>
    <w:rsid w:val="004818E5"/>
    <w:rsid w:val="00481A24"/>
    <w:rsid w:val="00481E00"/>
    <w:rsid w:val="00482A70"/>
    <w:rsid w:val="00482EC8"/>
    <w:rsid w:val="00482F31"/>
    <w:rsid w:val="00482F40"/>
    <w:rsid w:val="0048309F"/>
    <w:rsid w:val="0048328F"/>
    <w:rsid w:val="004834D8"/>
    <w:rsid w:val="0048351C"/>
    <w:rsid w:val="00483C08"/>
    <w:rsid w:val="00483D39"/>
    <w:rsid w:val="0048532F"/>
    <w:rsid w:val="00485971"/>
    <w:rsid w:val="00486468"/>
    <w:rsid w:val="00487E75"/>
    <w:rsid w:val="00490056"/>
    <w:rsid w:val="00490717"/>
    <w:rsid w:val="00490A09"/>
    <w:rsid w:val="00491E04"/>
    <w:rsid w:val="004927A0"/>
    <w:rsid w:val="00493CA1"/>
    <w:rsid w:val="00493D9F"/>
    <w:rsid w:val="00494362"/>
    <w:rsid w:val="004947F8"/>
    <w:rsid w:val="00494E6D"/>
    <w:rsid w:val="00495462"/>
    <w:rsid w:val="00495534"/>
    <w:rsid w:val="00495FFE"/>
    <w:rsid w:val="004965F1"/>
    <w:rsid w:val="00496B6C"/>
    <w:rsid w:val="00497105"/>
    <w:rsid w:val="004976EF"/>
    <w:rsid w:val="00497F31"/>
    <w:rsid w:val="004A000A"/>
    <w:rsid w:val="004A02B4"/>
    <w:rsid w:val="004A091C"/>
    <w:rsid w:val="004A12D2"/>
    <w:rsid w:val="004A28E3"/>
    <w:rsid w:val="004A2BBA"/>
    <w:rsid w:val="004A36C3"/>
    <w:rsid w:val="004A392E"/>
    <w:rsid w:val="004A3A39"/>
    <w:rsid w:val="004A3BD8"/>
    <w:rsid w:val="004A439E"/>
    <w:rsid w:val="004A464A"/>
    <w:rsid w:val="004A470F"/>
    <w:rsid w:val="004A4887"/>
    <w:rsid w:val="004A494E"/>
    <w:rsid w:val="004A4A9D"/>
    <w:rsid w:val="004A5164"/>
    <w:rsid w:val="004A577D"/>
    <w:rsid w:val="004A62BD"/>
    <w:rsid w:val="004A661E"/>
    <w:rsid w:val="004A66B1"/>
    <w:rsid w:val="004A6943"/>
    <w:rsid w:val="004A6BF7"/>
    <w:rsid w:val="004A6E6D"/>
    <w:rsid w:val="004A77EC"/>
    <w:rsid w:val="004A7826"/>
    <w:rsid w:val="004A7E1C"/>
    <w:rsid w:val="004B0B4B"/>
    <w:rsid w:val="004B1879"/>
    <w:rsid w:val="004B1AEA"/>
    <w:rsid w:val="004B1D62"/>
    <w:rsid w:val="004B2221"/>
    <w:rsid w:val="004B22AE"/>
    <w:rsid w:val="004B2434"/>
    <w:rsid w:val="004B2751"/>
    <w:rsid w:val="004B2BF5"/>
    <w:rsid w:val="004B2D15"/>
    <w:rsid w:val="004B2E8C"/>
    <w:rsid w:val="004B3435"/>
    <w:rsid w:val="004B3475"/>
    <w:rsid w:val="004B360E"/>
    <w:rsid w:val="004B43A2"/>
    <w:rsid w:val="004B48FF"/>
    <w:rsid w:val="004B513F"/>
    <w:rsid w:val="004B660C"/>
    <w:rsid w:val="004B6CCA"/>
    <w:rsid w:val="004B6F92"/>
    <w:rsid w:val="004B7D8C"/>
    <w:rsid w:val="004B7E25"/>
    <w:rsid w:val="004C0027"/>
    <w:rsid w:val="004C017F"/>
    <w:rsid w:val="004C1669"/>
    <w:rsid w:val="004C195D"/>
    <w:rsid w:val="004C1968"/>
    <w:rsid w:val="004C1BE0"/>
    <w:rsid w:val="004C2161"/>
    <w:rsid w:val="004C219E"/>
    <w:rsid w:val="004C24B1"/>
    <w:rsid w:val="004C2AEA"/>
    <w:rsid w:val="004C2D31"/>
    <w:rsid w:val="004C4277"/>
    <w:rsid w:val="004C45B7"/>
    <w:rsid w:val="004C45E1"/>
    <w:rsid w:val="004C4F2C"/>
    <w:rsid w:val="004C51D5"/>
    <w:rsid w:val="004C6FBA"/>
    <w:rsid w:val="004C7BCE"/>
    <w:rsid w:val="004C7F4F"/>
    <w:rsid w:val="004D0ABF"/>
    <w:rsid w:val="004D1538"/>
    <w:rsid w:val="004D2F04"/>
    <w:rsid w:val="004D34BC"/>
    <w:rsid w:val="004D35DB"/>
    <w:rsid w:val="004D38E8"/>
    <w:rsid w:val="004D46C8"/>
    <w:rsid w:val="004D4DF1"/>
    <w:rsid w:val="004D559C"/>
    <w:rsid w:val="004D589A"/>
    <w:rsid w:val="004D5F88"/>
    <w:rsid w:val="004D67A3"/>
    <w:rsid w:val="004D6C05"/>
    <w:rsid w:val="004D736C"/>
    <w:rsid w:val="004D7566"/>
    <w:rsid w:val="004E03DD"/>
    <w:rsid w:val="004E08E9"/>
    <w:rsid w:val="004E105E"/>
    <w:rsid w:val="004E12F0"/>
    <w:rsid w:val="004E1958"/>
    <w:rsid w:val="004E19DB"/>
    <w:rsid w:val="004E20B1"/>
    <w:rsid w:val="004E21CD"/>
    <w:rsid w:val="004E2566"/>
    <w:rsid w:val="004E2AAA"/>
    <w:rsid w:val="004E2D33"/>
    <w:rsid w:val="004E2F86"/>
    <w:rsid w:val="004E32C5"/>
    <w:rsid w:val="004E40D0"/>
    <w:rsid w:val="004E4BF3"/>
    <w:rsid w:val="004E5319"/>
    <w:rsid w:val="004E5998"/>
    <w:rsid w:val="004E680A"/>
    <w:rsid w:val="004E6C4B"/>
    <w:rsid w:val="004E7F15"/>
    <w:rsid w:val="004F0103"/>
    <w:rsid w:val="004F0115"/>
    <w:rsid w:val="004F0130"/>
    <w:rsid w:val="004F01C3"/>
    <w:rsid w:val="004F022B"/>
    <w:rsid w:val="004F0961"/>
    <w:rsid w:val="004F0D9D"/>
    <w:rsid w:val="004F141F"/>
    <w:rsid w:val="004F176A"/>
    <w:rsid w:val="004F2E28"/>
    <w:rsid w:val="004F3251"/>
    <w:rsid w:val="004F3580"/>
    <w:rsid w:val="004F3797"/>
    <w:rsid w:val="004F38F8"/>
    <w:rsid w:val="004F3F5D"/>
    <w:rsid w:val="004F43D7"/>
    <w:rsid w:val="004F5676"/>
    <w:rsid w:val="004F56A6"/>
    <w:rsid w:val="004F59A2"/>
    <w:rsid w:val="004F59B6"/>
    <w:rsid w:val="004F5A46"/>
    <w:rsid w:val="004F6C97"/>
    <w:rsid w:val="004F6E5D"/>
    <w:rsid w:val="004F7750"/>
    <w:rsid w:val="004F77CE"/>
    <w:rsid w:val="004F7878"/>
    <w:rsid w:val="0050039D"/>
    <w:rsid w:val="00500AAA"/>
    <w:rsid w:val="00500B40"/>
    <w:rsid w:val="00501133"/>
    <w:rsid w:val="005014D9"/>
    <w:rsid w:val="005016BA"/>
    <w:rsid w:val="005019B2"/>
    <w:rsid w:val="00501CD3"/>
    <w:rsid w:val="00502748"/>
    <w:rsid w:val="005029EC"/>
    <w:rsid w:val="00502B06"/>
    <w:rsid w:val="00502CF9"/>
    <w:rsid w:val="0050325E"/>
    <w:rsid w:val="005035E4"/>
    <w:rsid w:val="0050379D"/>
    <w:rsid w:val="0050427D"/>
    <w:rsid w:val="00504CD8"/>
    <w:rsid w:val="00504DE2"/>
    <w:rsid w:val="00505293"/>
    <w:rsid w:val="005056FC"/>
    <w:rsid w:val="00505E4D"/>
    <w:rsid w:val="00505E9D"/>
    <w:rsid w:val="0050667A"/>
    <w:rsid w:val="0050716A"/>
    <w:rsid w:val="0051017C"/>
    <w:rsid w:val="00510BA6"/>
    <w:rsid w:val="005114C6"/>
    <w:rsid w:val="005117F9"/>
    <w:rsid w:val="00511A6F"/>
    <w:rsid w:val="00511DB1"/>
    <w:rsid w:val="00511E85"/>
    <w:rsid w:val="0051251C"/>
    <w:rsid w:val="00512946"/>
    <w:rsid w:val="00513132"/>
    <w:rsid w:val="00513645"/>
    <w:rsid w:val="0051379F"/>
    <w:rsid w:val="0051490A"/>
    <w:rsid w:val="00514C90"/>
    <w:rsid w:val="0051581C"/>
    <w:rsid w:val="00515FD3"/>
    <w:rsid w:val="005162F6"/>
    <w:rsid w:val="005164F1"/>
    <w:rsid w:val="005168D0"/>
    <w:rsid w:val="00516FD0"/>
    <w:rsid w:val="00517395"/>
    <w:rsid w:val="00517AAC"/>
    <w:rsid w:val="00517F0A"/>
    <w:rsid w:val="00520246"/>
    <w:rsid w:val="005220EF"/>
    <w:rsid w:val="005223CC"/>
    <w:rsid w:val="0052287C"/>
    <w:rsid w:val="00523B73"/>
    <w:rsid w:val="005240BD"/>
    <w:rsid w:val="00524853"/>
    <w:rsid w:val="00524D73"/>
    <w:rsid w:val="00525170"/>
    <w:rsid w:val="00526132"/>
    <w:rsid w:val="00526E09"/>
    <w:rsid w:val="005301C9"/>
    <w:rsid w:val="00530362"/>
    <w:rsid w:val="00530D4D"/>
    <w:rsid w:val="00531922"/>
    <w:rsid w:val="00531960"/>
    <w:rsid w:val="00531C08"/>
    <w:rsid w:val="00531D45"/>
    <w:rsid w:val="0053218E"/>
    <w:rsid w:val="0053296E"/>
    <w:rsid w:val="00532FD3"/>
    <w:rsid w:val="00533D21"/>
    <w:rsid w:val="00534293"/>
    <w:rsid w:val="0053445E"/>
    <w:rsid w:val="00534CA8"/>
    <w:rsid w:val="0053585E"/>
    <w:rsid w:val="00536862"/>
    <w:rsid w:val="005368E0"/>
    <w:rsid w:val="00536AFB"/>
    <w:rsid w:val="00536D9A"/>
    <w:rsid w:val="00537037"/>
    <w:rsid w:val="005370C4"/>
    <w:rsid w:val="0053731F"/>
    <w:rsid w:val="0053755F"/>
    <w:rsid w:val="00537DC6"/>
    <w:rsid w:val="00537EF0"/>
    <w:rsid w:val="0054057D"/>
    <w:rsid w:val="00540671"/>
    <w:rsid w:val="005408CE"/>
    <w:rsid w:val="005419E6"/>
    <w:rsid w:val="005423EE"/>
    <w:rsid w:val="00542721"/>
    <w:rsid w:val="00542B1B"/>
    <w:rsid w:val="005432C7"/>
    <w:rsid w:val="00543AE4"/>
    <w:rsid w:val="005444BC"/>
    <w:rsid w:val="0054463B"/>
    <w:rsid w:val="005447BC"/>
    <w:rsid w:val="00544945"/>
    <w:rsid w:val="0054694F"/>
    <w:rsid w:val="0054696E"/>
    <w:rsid w:val="00546998"/>
    <w:rsid w:val="0054699A"/>
    <w:rsid w:val="00547022"/>
    <w:rsid w:val="00547D79"/>
    <w:rsid w:val="00547E9E"/>
    <w:rsid w:val="005500AD"/>
    <w:rsid w:val="0055020C"/>
    <w:rsid w:val="005504A5"/>
    <w:rsid w:val="00550975"/>
    <w:rsid w:val="00550C7D"/>
    <w:rsid w:val="0055117D"/>
    <w:rsid w:val="00551727"/>
    <w:rsid w:val="005531F6"/>
    <w:rsid w:val="005536D8"/>
    <w:rsid w:val="00553D52"/>
    <w:rsid w:val="00553F8C"/>
    <w:rsid w:val="00554095"/>
    <w:rsid w:val="00555792"/>
    <w:rsid w:val="005568FA"/>
    <w:rsid w:val="005569FD"/>
    <w:rsid w:val="00556C59"/>
    <w:rsid w:val="00556E70"/>
    <w:rsid w:val="00557C19"/>
    <w:rsid w:val="00557D1C"/>
    <w:rsid w:val="00557E7B"/>
    <w:rsid w:val="00560F86"/>
    <w:rsid w:val="005610B6"/>
    <w:rsid w:val="00561B12"/>
    <w:rsid w:val="005621B3"/>
    <w:rsid w:val="005625A8"/>
    <w:rsid w:val="00562840"/>
    <w:rsid w:val="00562D27"/>
    <w:rsid w:val="00563153"/>
    <w:rsid w:val="005634E5"/>
    <w:rsid w:val="005636A6"/>
    <w:rsid w:val="005637C6"/>
    <w:rsid w:val="00563D4A"/>
    <w:rsid w:val="00565022"/>
    <w:rsid w:val="00565CC2"/>
    <w:rsid w:val="00566060"/>
    <w:rsid w:val="005668BF"/>
    <w:rsid w:val="00567052"/>
    <w:rsid w:val="00567095"/>
    <w:rsid w:val="00567491"/>
    <w:rsid w:val="00567D24"/>
    <w:rsid w:val="00567EB0"/>
    <w:rsid w:val="00570227"/>
    <w:rsid w:val="00570660"/>
    <w:rsid w:val="0057113A"/>
    <w:rsid w:val="00572427"/>
    <w:rsid w:val="00572710"/>
    <w:rsid w:val="0057299D"/>
    <w:rsid w:val="00572AD1"/>
    <w:rsid w:val="00572CB3"/>
    <w:rsid w:val="00572CF0"/>
    <w:rsid w:val="00572D84"/>
    <w:rsid w:val="005740C2"/>
    <w:rsid w:val="005748BE"/>
    <w:rsid w:val="00574BB0"/>
    <w:rsid w:val="00576861"/>
    <w:rsid w:val="00577A51"/>
    <w:rsid w:val="00577E4C"/>
    <w:rsid w:val="00577EEE"/>
    <w:rsid w:val="00577F55"/>
    <w:rsid w:val="0058078A"/>
    <w:rsid w:val="00580C36"/>
    <w:rsid w:val="00580D94"/>
    <w:rsid w:val="005810AB"/>
    <w:rsid w:val="005811ED"/>
    <w:rsid w:val="00581653"/>
    <w:rsid w:val="00581751"/>
    <w:rsid w:val="0058198E"/>
    <w:rsid w:val="00582066"/>
    <w:rsid w:val="00582B3D"/>
    <w:rsid w:val="00582F3B"/>
    <w:rsid w:val="0058315F"/>
    <w:rsid w:val="0058348D"/>
    <w:rsid w:val="005837A6"/>
    <w:rsid w:val="00583C70"/>
    <w:rsid w:val="00583F12"/>
    <w:rsid w:val="005857AE"/>
    <w:rsid w:val="00585D37"/>
    <w:rsid w:val="00586470"/>
    <w:rsid w:val="0058707F"/>
    <w:rsid w:val="00587119"/>
    <w:rsid w:val="005872A5"/>
    <w:rsid w:val="005879AA"/>
    <w:rsid w:val="00590081"/>
    <w:rsid w:val="005901E2"/>
    <w:rsid w:val="0059045D"/>
    <w:rsid w:val="00590D72"/>
    <w:rsid w:val="00591915"/>
    <w:rsid w:val="00591D7F"/>
    <w:rsid w:val="005921D3"/>
    <w:rsid w:val="00592989"/>
    <w:rsid w:val="00592C4C"/>
    <w:rsid w:val="005938C6"/>
    <w:rsid w:val="00594A12"/>
    <w:rsid w:val="00595B79"/>
    <w:rsid w:val="00596897"/>
    <w:rsid w:val="00596ADA"/>
    <w:rsid w:val="00596C50"/>
    <w:rsid w:val="005976B6"/>
    <w:rsid w:val="00597913"/>
    <w:rsid w:val="00597B30"/>
    <w:rsid w:val="005A04FE"/>
    <w:rsid w:val="005A057D"/>
    <w:rsid w:val="005A0B82"/>
    <w:rsid w:val="005A0D15"/>
    <w:rsid w:val="005A0E35"/>
    <w:rsid w:val="005A0FAF"/>
    <w:rsid w:val="005A1080"/>
    <w:rsid w:val="005A10FB"/>
    <w:rsid w:val="005A21E4"/>
    <w:rsid w:val="005A30F1"/>
    <w:rsid w:val="005A31FF"/>
    <w:rsid w:val="005A3EC7"/>
    <w:rsid w:val="005A4044"/>
    <w:rsid w:val="005A4D9E"/>
    <w:rsid w:val="005A5AAA"/>
    <w:rsid w:val="005A5C4B"/>
    <w:rsid w:val="005A5D1E"/>
    <w:rsid w:val="005A6DDB"/>
    <w:rsid w:val="005A724C"/>
    <w:rsid w:val="005A736A"/>
    <w:rsid w:val="005A7D7B"/>
    <w:rsid w:val="005B0422"/>
    <w:rsid w:val="005B093F"/>
    <w:rsid w:val="005B1D58"/>
    <w:rsid w:val="005B2314"/>
    <w:rsid w:val="005B262C"/>
    <w:rsid w:val="005B2F47"/>
    <w:rsid w:val="005B36D7"/>
    <w:rsid w:val="005B3B53"/>
    <w:rsid w:val="005B40F6"/>
    <w:rsid w:val="005B470E"/>
    <w:rsid w:val="005B47BB"/>
    <w:rsid w:val="005B4A7E"/>
    <w:rsid w:val="005B5411"/>
    <w:rsid w:val="005B5720"/>
    <w:rsid w:val="005B632B"/>
    <w:rsid w:val="005B7178"/>
    <w:rsid w:val="005B7952"/>
    <w:rsid w:val="005C01EF"/>
    <w:rsid w:val="005C02AD"/>
    <w:rsid w:val="005C0E75"/>
    <w:rsid w:val="005C13F1"/>
    <w:rsid w:val="005C1D52"/>
    <w:rsid w:val="005C2A7F"/>
    <w:rsid w:val="005C2D96"/>
    <w:rsid w:val="005C321F"/>
    <w:rsid w:val="005C3889"/>
    <w:rsid w:val="005C3ADA"/>
    <w:rsid w:val="005C3C6A"/>
    <w:rsid w:val="005C3D9F"/>
    <w:rsid w:val="005C3E0D"/>
    <w:rsid w:val="005C419A"/>
    <w:rsid w:val="005C5744"/>
    <w:rsid w:val="005C621A"/>
    <w:rsid w:val="005C650A"/>
    <w:rsid w:val="005C65C7"/>
    <w:rsid w:val="005C6652"/>
    <w:rsid w:val="005C6A37"/>
    <w:rsid w:val="005C799B"/>
    <w:rsid w:val="005C7BFE"/>
    <w:rsid w:val="005D00C1"/>
    <w:rsid w:val="005D0185"/>
    <w:rsid w:val="005D0C7E"/>
    <w:rsid w:val="005D1194"/>
    <w:rsid w:val="005D1444"/>
    <w:rsid w:val="005D1539"/>
    <w:rsid w:val="005D1CA6"/>
    <w:rsid w:val="005D223B"/>
    <w:rsid w:val="005D29AC"/>
    <w:rsid w:val="005D3B03"/>
    <w:rsid w:val="005D3B0A"/>
    <w:rsid w:val="005D3C8D"/>
    <w:rsid w:val="005D3D57"/>
    <w:rsid w:val="005D3D81"/>
    <w:rsid w:val="005D4015"/>
    <w:rsid w:val="005D4260"/>
    <w:rsid w:val="005D4AB0"/>
    <w:rsid w:val="005D4F7C"/>
    <w:rsid w:val="005D620B"/>
    <w:rsid w:val="005D687A"/>
    <w:rsid w:val="005D70F6"/>
    <w:rsid w:val="005D7272"/>
    <w:rsid w:val="005D7E67"/>
    <w:rsid w:val="005E098C"/>
    <w:rsid w:val="005E0F81"/>
    <w:rsid w:val="005E1083"/>
    <w:rsid w:val="005E1A8E"/>
    <w:rsid w:val="005E2CD2"/>
    <w:rsid w:val="005E31C1"/>
    <w:rsid w:val="005E3225"/>
    <w:rsid w:val="005E36ED"/>
    <w:rsid w:val="005E4196"/>
    <w:rsid w:val="005E4EBE"/>
    <w:rsid w:val="005E4FC1"/>
    <w:rsid w:val="005E55CC"/>
    <w:rsid w:val="005E59CB"/>
    <w:rsid w:val="005E69CA"/>
    <w:rsid w:val="005E7760"/>
    <w:rsid w:val="005E7A58"/>
    <w:rsid w:val="005E7D17"/>
    <w:rsid w:val="005F00BA"/>
    <w:rsid w:val="005F09D4"/>
    <w:rsid w:val="005F0B3C"/>
    <w:rsid w:val="005F0FF4"/>
    <w:rsid w:val="005F1080"/>
    <w:rsid w:val="005F2637"/>
    <w:rsid w:val="005F2651"/>
    <w:rsid w:val="005F2C1B"/>
    <w:rsid w:val="005F2CB4"/>
    <w:rsid w:val="005F2E4F"/>
    <w:rsid w:val="005F336B"/>
    <w:rsid w:val="005F3C62"/>
    <w:rsid w:val="005F5147"/>
    <w:rsid w:val="005F62F9"/>
    <w:rsid w:val="005F69C6"/>
    <w:rsid w:val="005F727C"/>
    <w:rsid w:val="005F7ADC"/>
    <w:rsid w:val="0060006E"/>
    <w:rsid w:val="006000B6"/>
    <w:rsid w:val="0060027B"/>
    <w:rsid w:val="006002CA"/>
    <w:rsid w:val="00600403"/>
    <w:rsid w:val="00603E5B"/>
    <w:rsid w:val="006051BB"/>
    <w:rsid w:val="00605642"/>
    <w:rsid w:val="00605835"/>
    <w:rsid w:val="00605A44"/>
    <w:rsid w:val="0060625E"/>
    <w:rsid w:val="00607147"/>
    <w:rsid w:val="0060779C"/>
    <w:rsid w:val="00607EF9"/>
    <w:rsid w:val="00610510"/>
    <w:rsid w:val="00610527"/>
    <w:rsid w:val="00610A9C"/>
    <w:rsid w:val="00610CEC"/>
    <w:rsid w:val="0061122E"/>
    <w:rsid w:val="006112D0"/>
    <w:rsid w:val="00611573"/>
    <w:rsid w:val="00612F73"/>
    <w:rsid w:val="00613095"/>
    <w:rsid w:val="0061375D"/>
    <w:rsid w:val="006147AB"/>
    <w:rsid w:val="00614BB9"/>
    <w:rsid w:val="006150BC"/>
    <w:rsid w:val="0061538E"/>
    <w:rsid w:val="006157DA"/>
    <w:rsid w:val="006162EF"/>
    <w:rsid w:val="00616A3E"/>
    <w:rsid w:val="00616FE4"/>
    <w:rsid w:val="00617381"/>
    <w:rsid w:val="00617D65"/>
    <w:rsid w:val="00617E4F"/>
    <w:rsid w:val="00620290"/>
    <w:rsid w:val="006219AD"/>
    <w:rsid w:val="00622046"/>
    <w:rsid w:val="006220DA"/>
    <w:rsid w:val="00622306"/>
    <w:rsid w:val="00622A36"/>
    <w:rsid w:val="0062367C"/>
    <w:rsid w:val="006241D2"/>
    <w:rsid w:val="00624FBE"/>
    <w:rsid w:val="00626349"/>
    <w:rsid w:val="006268A5"/>
    <w:rsid w:val="006300E9"/>
    <w:rsid w:val="00630867"/>
    <w:rsid w:val="00630B01"/>
    <w:rsid w:val="006318D8"/>
    <w:rsid w:val="0063195C"/>
    <w:rsid w:val="00631D2D"/>
    <w:rsid w:val="00632422"/>
    <w:rsid w:val="0063318D"/>
    <w:rsid w:val="0063329D"/>
    <w:rsid w:val="00633B30"/>
    <w:rsid w:val="006350E1"/>
    <w:rsid w:val="0063536C"/>
    <w:rsid w:val="00635E7B"/>
    <w:rsid w:val="00635EB7"/>
    <w:rsid w:val="00636432"/>
    <w:rsid w:val="00636459"/>
    <w:rsid w:val="00636AF5"/>
    <w:rsid w:val="00637822"/>
    <w:rsid w:val="006401BB"/>
    <w:rsid w:val="006403D0"/>
    <w:rsid w:val="00640ADA"/>
    <w:rsid w:val="0064121A"/>
    <w:rsid w:val="006412BA"/>
    <w:rsid w:val="00641B6A"/>
    <w:rsid w:val="00641E10"/>
    <w:rsid w:val="00642572"/>
    <w:rsid w:val="00642A67"/>
    <w:rsid w:val="00643501"/>
    <w:rsid w:val="00643840"/>
    <w:rsid w:val="00643931"/>
    <w:rsid w:val="00645D16"/>
    <w:rsid w:val="0064630F"/>
    <w:rsid w:val="00646562"/>
    <w:rsid w:val="00646D12"/>
    <w:rsid w:val="0064739E"/>
    <w:rsid w:val="00650151"/>
    <w:rsid w:val="00650748"/>
    <w:rsid w:val="00650A31"/>
    <w:rsid w:val="00650C0F"/>
    <w:rsid w:val="0065187E"/>
    <w:rsid w:val="00651AA3"/>
    <w:rsid w:val="00651BB8"/>
    <w:rsid w:val="0065240A"/>
    <w:rsid w:val="00652D5C"/>
    <w:rsid w:val="0065325C"/>
    <w:rsid w:val="00653A91"/>
    <w:rsid w:val="00654672"/>
    <w:rsid w:val="00655AD4"/>
    <w:rsid w:val="00655DED"/>
    <w:rsid w:val="00655F4F"/>
    <w:rsid w:val="006567B5"/>
    <w:rsid w:val="00656C5D"/>
    <w:rsid w:val="00656D7A"/>
    <w:rsid w:val="00656F34"/>
    <w:rsid w:val="006573BB"/>
    <w:rsid w:val="006576FE"/>
    <w:rsid w:val="006579BE"/>
    <w:rsid w:val="006600C1"/>
    <w:rsid w:val="006607A6"/>
    <w:rsid w:val="00660987"/>
    <w:rsid w:val="00660B48"/>
    <w:rsid w:val="00660F64"/>
    <w:rsid w:val="00661AA4"/>
    <w:rsid w:val="00661E03"/>
    <w:rsid w:val="00662054"/>
    <w:rsid w:val="006621C9"/>
    <w:rsid w:val="00662853"/>
    <w:rsid w:val="00662AB5"/>
    <w:rsid w:val="00662B60"/>
    <w:rsid w:val="00662FE8"/>
    <w:rsid w:val="006637D3"/>
    <w:rsid w:val="00663973"/>
    <w:rsid w:val="00663B4E"/>
    <w:rsid w:val="00663F10"/>
    <w:rsid w:val="00664228"/>
    <w:rsid w:val="006643A0"/>
    <w:rsid w:val="0066475A"/>
    <w:rsid w:val="00664ECE"/>
    <w:rsid w:val="00665216"/>
    <w:rsid w:val="006652F6"/>
    <w:rsid w:val="00665B9B"/>
    <w:rsid w:val="006663C9"/>
    <w:rsid w:val="0066644F"/>
    <w:rsid w:val="006668C9"/>
    <w:rsid w:val="0066755D"/>
    <w:rsid w:val="00667B73"/>
    <w:rsid w:val="006703F1"/>
    <w:rsid w:val="0067063E"/>
    <w:rsid w:val="006708D7"/>
    <w:rsid w:val="00670CE2"/>
    <w:rsid w:val="0067198A"/>
    <w:rsid w:val="006728AD"/>
    <w:rsid w:val="00672C0D"/>
    <w:rsid w:val="00673CAA"/>
    <w:rsid w:val="00673DCF"/>
    <w:rsid w:val="00673DEB"/>
    <w:rsid w:val="00673F04"/>
    <w:rsid w:val="006749F7"/>
    <w:rsid w:val="006758F3"/>
    <w:rsid w:val="00676436"/>
    <w:rsid w:val="00677095"/>
    <w:rsid w:val="0067779F"/>
    <w:rsid w:val="00680472"/>
    <w:rsid w:val="00680950"/>
    <w:rsid w:val="0068183D"/>
    <w:rsid w:val="006824F1"/>
    <w:rsid w:val="00682AAC"/>
    <w:rsid w:val="00682CA3"/>
    <w:rsid w:val="00682DA6"/>
    <w:rsid w:val="0068317D"/>
    <w:rsid w:val="0068416D"/>
    <w:rsid w:val="00684E0E"/>
    <w:rsid w:val="00686B6C"/>
    <w:rsid w:val="00687F44"/>
    <w:rsid w:val="00690258"/>
    <w:rsid w:val="00690DA5"/>
    <w:rsid w:val="00691009"/>
    <w:rsid w:val="006912E8"/>
    <w:rsid w:val="0069136C"/>
    <w:rsid w:val="00691C35"/>
    <w:rsid w:val="006930CF"/>
    <w:rsid w:val="00693508"/>
    <w:rsid w:val="006941F2"/>
    <w:rsid w:val="006949CA"/>
    <w:rsid w:val="00695218"/>
    <w:rsid w:val="0069578C"/>
    <w:rsid w:val="00695A4A"/>
    <w:rsid w:val="00695A6D"/>
    <w:rsid w:val="0069685C"/>
    <w:rsid w:val="0069746B"/>
    <w:rsid w:val="006A018B"/>
    <w:rsid w:val="006A062D"/>
    <w:rsid w:val="006A0FB3"/>
    <w:rsid w:val="006A198F"/>
    <w:rsid w:val="006A1EBC"/>
    <w:rsid w:val="006A2566"/>
    <w:rsid w:val="006A59CD"/>
    <w:rsid w:val="006A5A6A"/>
    <w:rsid w:val="006A5C25"/>
    <w:rsid w:val="006A6C18"/>
    <w:rsid w:val="006A757E"/>
    <w:rsid w:val="006B0BF7"/>
    <w:rsid w:val="006B0DAB"/>
    <w:rsid w:val="006B11C8"/>
    <w:rsid w:val="006B1ED8"/>
    <w:rsid w:val="006B223F"/>
    <w:rsid w:val="006B2F86"/>
    <w:rsid w:val="006B31E7"/>
    <w:rsid w:val="006B355D"/>
    <w:rsid w:val="006B38AF"/>
    <w:rsid w:val="006B46ED"/>
    <w:rsid w:val="006B4707"/>
    <w:rsid w:val="006B48D5"/>
    <w:rsid w:val="006B4CD5"/>
    <w:rsid w:val="006B5315"/>
    <w:rsid w:val="006B5D74"/>
    <w:rsid w:val="006B6928"/>
    <w:rsid w:val="006B6B5F"/>
    <w:rsid w:val="006B6FFD"/>
    <w:rsid w:val="006C0107"/>
    <w:rsid w:val="006C02CA"/>
    <w:rsid w:val="006C0369"/>
    <w:rsid w:val="006C047D"/>
    <w:rsid w:val="006C214D"/>
    <w:rsid w:val="006C3388"/>
    <w:rsid w:val="006C34FA"/>
    <w:rsid w:val="006C3D1A"/>
    <w:rsid w:val="006C3D30"/>
    <w:rsid w:val="006C462C"/>
    <w:rsid w:val="006C46BB"/>
    <w:rsid w:val="006C4A98"/>
    <w:rsid w:val="006C53B7"/>
    <w:rsid w:val="006C6CFA"/>
    <w:rsid w:val="006C6D95"/>
    <w:rsid w:val="006D0232"/>
    <w:rsid w:val="006D0D2E"/>
    <w:rsid w:val="006D1451"/>
    <w:rsid w:val="006D146E"/>
    <w:rsid w:val="006D1532"/>
    <w:rsid w:val="006D1583"/>
    <w:rsid w:val="006D18AB"/>
    <w:rsid w:val="006D1D66"/>
    <w:rsid w:val="006D1F2C"/>
    <w:rsid w:val="006D2172"/>
    <w:rsid w:val="006D2286"/>
    <w:rsid w:val="006D28B7"/>
    <w:rsid w:val="006D37AF"/>
    <w:rsid w:val="006D3A73"/>
    <w:rsid w:val="006D4214"/>
    <w:rsid w:val="006D4512"/>
    <w:rsid w:val="006D48A4"/>
    <w:rsid w:val="006D4FD2"/>
    <w:rsid w:val="006D506B"/>
    <w:rsid w:val="006D5837"/>
    <w:rsid w:val="006D5E1A"/>
    <w:rsid w:val="006D5E2F"/>
    <w:rsid w:val="006D5F72"/>
    <w:rsid w:val="006D781A"/>
    <w:rsid w:val="006E0F5A"/>
    <w:rsid w:val="006E1090"/>
    <w:rsid w:val="006E18CB"/>
    <w:rsid w:val="006E237C"/>
    <w:rsid w:val="006E2585"/>
    <w:rsid w:val="006E2685"/>
    <w:rsid w:val="006E29A9"/>
    <w:rsid w:val="006E3064"/>
    <w:rsid w:val="006E4467"/>
    <w:rsid w:val="006E5297"/>
    <w:rsid w:val="006E5C64"/>
    <w:rsid w:val="006E6091"/>
    <w:rsid w:val="006E668D"/>
    <w:rsid w:val="006E6CCD"/>
    <w:rsid w:val="006E7C4C"/>
    <w:rsid w:val="006F0159"/>
    <w:rsid w:val="006F03E1"/>
    <w:rsid w:val="006F081D"/>
    <w:rsid w:val="006F098E"/>
    <w:rsid w:val="006F0CA7"/>
    <w:rsid w:val="006F0F4F"/>
    <w:rsid w:val="006F0FB5"/>
    <w:rsid w:val="006F1558"/>
    <w:rsid w:val="006F17CE"/>
    <w:rsid w:val="006F1823"/>
    <w:rsid w:val="006F2CCE"/>
    <w:rsid w:val="006F3130"/>
    <w:rsid w:val="006F3147"/>
    <w:rsid w:val="006F4408"/>
    <w:rsid w:val="006F4948"/>
    <w:rsid w:val="006F4A93"/>
    <w:rsid w:val="006F54BA"/>
    <w:rsid w:val="006F5F0F"/>
    <w:rsid w:val="006F6471"/>
    <w:rsid w:val="006F6FC5"/>
    <w:rsid w:val="006F753B"/>
    <w:rsid w:val="006F77BC"/>
    <w:rsid w:val="006F7AEA"/>
    <w:rsid w:val="006F7DF9"/>
    <w:rsid w:val="00700D34"/>
    <w:rsid w:val="00700DB7"/>
    <w:rsid w:val="007011FA"/>
    <w:rsid w:val="00701677"/>
    <w:rsid w:val="007017EE"/>
    <w:rsid w:val="007019A6"/>
    <w:rsid w:val="0070384E"/>
    <w:rsid w:val="00703C4C"/>
    <w:rsid w:val="00704430"/>
    <w:rsid w:val="007064CC"/>
    <w:rsid w:val="0070673D"/>
    <w:rsid w:val="0070675D"/>
    <w:rsid w:val="00706AEB"/>
    <w:rsid w:val="0070719A"/>
    <w:rsid w:val="007073E6"/>
    <w:rsid w:val="007075A5"/>
    <w:rsid w:val="00707EA3"/>
    <w:rsid w:val="00710271"/>
    <w:rsid w:val="007109BB"/>
    <w:rsid w:val="00710D83"/>
    <w:rsid w:val="007113E2"/>
    <w:rsid w:val="007116D3"/>
    <w:rsid w:val="00711746"/>
    <w:rsid w:val="007123F3"/>
    <w:rsid w:val="00714073"/>
    <w:rsid w:val="00714A91"/>
    <w:rsid w:val="00715541"/>
    <w:rsid w:val="007161BC"/>
    <w:rsid w:val="00716A25"/>
    <w:rsid w:val="0071755F"/>
    <w:rsid w:val="00717EA2"/>
    <w:rsid w:val="007202D0"/>
    <w:rsid w:val="00722355"/>
    <w:rsid w:val="0072344A"/>
    <w:rsid w:val="00723522"/>
    <w:rsid w:val="00723554"/>
    <w:rsid w:val="0072385E"/>
    <w:rsid w:val="00724CC6"/>
    <w:rsid w:val="00725064"/>
    <w:rsid w:val="00726977"/>
    <w:rsid w:val="007275C4"/>
    <w:rsid w:val="007277FE"/>
    <w:rsid w:val="00731018"/>
    <w:rsid w:val="0073147A"/>
    <w:rsid w:val="00731EB8"/>
    <w:rsid w:val="00731F3C"/>
    <w:rsid w:val="0073201D"/>
    <w:rsid w:val="0073212A"/>
    <w:rsid w:val="00732884"/>
    <w:rsid w:val="00734C04"/>
    <w:rsid w:val="0073545F"/>
    <w:rsid w:val="0073567A"/>
    <w:rsid w:val="00736388"/>
    <w:rsid w:val="00736A06"/>
    <w:rsid w:val="007377E2"/>
    <w:rsid w:val="00740103"/>
    <w:rsid w:val="007409E5"/>
    <w:rsid w:val="00741083"/>
    <w:rsid w:val="00741374"/>
    <w:rsid w:val="00741658"/>
    <w:rsid w:val="00741803"/>
    <w:rsid w:val="00741B0D"/>
    <w:rsid w:val="00741BD7"/>
    <w:rsid w:val="00741C54"/>
    <w:rsid w:val="00742CF7"/>
    <w:rsid w:val="00742F59"/>
    <w:rsid w:val="00743108"/>
    <w:rsid w:val="0074345E"/>
    <w:rsid w:val="0074415F"/>
    <w:rsid w:val="007450C1"/>
    <w:rsid w:val="00745C81"/>
    <w:rsid w:val="00745D31"/>
    <w:rsid w:val="007461FE"/>
    <w:rsid w:val="007462D1"/>
    <w:rsid w:val="00746598"/>
    <w:rsid w:val="007465E6"/>
    <w:rsid w:val="00747254"/>
    <w:rsid w:val="007475A3"/>
    <w:rsid w:val="00747B7D"/>
    <w:rsid w:val="00750445"/>
    <w:rsid w:val="00750E80"/>
    <w:rsid w:val="00751399"/>
    <w:rsid w:val="007516CA"/>
    <w:rsid w:val="007518E6"/>
    <w:rsid w:val="00751B17"/>
    <w:rsid w:val="00751F16"/>
    <w:rsid w:val="00752595"/>
    <w:rsid w:val="007530DA"/>
    <w:rsid w:val="007535A3"/>
    <w:rsid w:val="00753A10"/>
    <w:rsid w:val="007544C7"/>
    <w:rsid w:val="00754CC1"/>
    <w:rsid w:val="00755CBD"/>
    <w:rsid w:val="0075622E"/>
    <w:rsid w:val="00756BED"/>
    <w:rsid w:val="007575FD"/>
    <w:rsid w:val="00757648"/>
    <w:rsid w:val="00757BA2"/>
    <w:rsid w:val="00760097"/>
    <w:rsid w:val="00760591"/>
    <w:rsid w:val="00760A02"/>
    <w:rsid w:val="00760E2E"/>
    <w:rsid w:val="00760F22"/>
    <w:rsid w:val="00760FF9"/>
    <w:rsid w:val="00761461"/>
    <w:rsid w:val="007616B8"/>
    <w:rsid w:val="00761739"/>
    <w:rsid w:val="00761F91"/>
    <w:rsid w:val="007627C8"/>
    <w:rsid w:val="007627E4"/>
    <w:rsid w:val="00762924"/>
    <w:rsid w:val="007639B4"/>
    <w:rsid w:val="00764B20"/>
    <w:rsid w:val="00765154"/>
    <w:rsid w:val="0076589B"/>
    <w:rsid w:val="00766767"/>
    <w:rsid w:val="007670FF"/>
    <w:rsid w:val="007677AD"/>
    <w:rsid w:val="00767C2B"/>
    <w:rsid w:val="007700DB"/>
    <w:rsid w:val="007700EE"/>
    <w:rsid w:val="0077060D"/>
    <w:rsid w:val="00770FC8"/>
    <w:rsid w:val="007716E7"/>
    <w:rsid w:val="00771C06"/>
    <w:rsid w:val="0077250A"/>
    <w:rsid w:val="00772A53"/>
    <w:rsid w:val="00772D8F"/>
    <w:rsid w:val="00774B90"/>
    <w:rsid w:val="007753E3"/>
    <w:rsid w:val="00775AA3"/>
    <w:rsid w:val="00775DB9"/>
    <w:rsid w:val="007760A6"/>
    <w:rsid w:val="0077629D"/>
    <w:rsid w:val="007764D6"/>
    <w:rsid w:val="007767A1"/>
    <w:rsid w:val="0077696E"/>
    <w:rsid w:val="00776DB8"/>
    <w:rsid w:val="00776FBE"/>
    <w:rsid w:val="0077710A"/>
    <w:rsid w:val="007774F7"/>
    <w:rsid w:val="00777CFF"/>
    <w:rsid w:val="00781455"/>
    <w:rsid w:val="00781529"/>
    <w:rsid w:val="00783DB9"/>
    <w:rsid w:val="007849F3"/>
    <w:rsid w:val="00784A97"/>
    <w:rsid w:val="00784CEC"/>
    <w:rsid w:val="0078535C"/>
    <w:rsid w:val="0078546B"/>
    <w:rsid w:val="0078546E"/>
    <w:rsid w:val="007859E2"/>
    <w:rsid w:val="00785CB9"/>
    <w:rsid w:val="00786B1F"/>
    <w:rsid w:val="00787781"/>
    <w:rsid w:val="0078780B"/>
    <w:rsid w:val="0078784B"/>
    <w:rsid w:val="00787FF1"/>
    <w:rsid w:val="0079007F"/>
    <w:rsid w:val="0079037A"/>
    <w:rsid w:val="00790455"/>
    <w:rsid w:val="007904C4"/>
    <w:rsid w:val="00790562"/>
    <w:rsid w:val="00790582"/>
    <w:rsid w:val="00791003"/>
    <w:rsid w:val="00791502"/>
    <w:rsid w:val="0079277F"/>
    <w:rsid w:val="00792CD1"/>
    <w:rsid w:val="00793C19"/>
    <w:rsid w:val="0079459F"/>
    <w:rsid w:val="00795501"/>
    <w:rsid w:val="007964DE"/>
    <w:rsid w:val="00796631"/>
    <w:rsid w:val="00796757"/>
    <w:rsid w:val="00796835"/>
    <w:rsid w:val="0079702E"/>
    <w:rsid w:val="007A0056"/>
    <w:rsid w:val="007A0114"/>
    <w:rsid w:val="007A0625"/>
    <w:rsid w:val="007A062B"/>
    <w:rsid w:val="007A2196"/>
    <w:rsid w:val="007A27DB"/>
    <w:rsid w:val="007A2DF2"/>
    <w:rsid w:val="007A2EBD"/>
    <w:rsid w:val="007A373B"/>
    <w:rsid w:val="007A4106"/>
    <w:rsid w:val="007A4880"/>
    <w:rsid w:val="007A4FA3"/>
    <w:rsid w:val="007A583D"/>
    <w:rsid w:val="007A5AC5"/>
    <w:rsid w:val="007A6515"/>
    <w:rsid w:val="007A65D0"/>
    <w:rsid w:val="007A68C4"/>
    <w:rsid w:val="007A6AF3"/>
    <w:rsid w:val="007A74FF"/>
    <w:rsid w:val="007A7773"/>
    <w:rsid w:val="007A7DC3"/>
    <w:rsid w:val="007A7F92"/>
    <w:rsid w:val="007B07A8"/>
    <w:rsid w:val="007B1009"/>
    <w:rsid w:val="007B1621"/>
    <w:rsid w:val="007B210B"/>
    <w:rsid w:val="007B2307"/>
    <w:rsid w:val="007B2AF4"/>
    <w:rsid w:val="007B2C3C"/>
    <w:rsid w:val="007B2FC3"/>
    <w:rsid w:val="007B2FC5"/>
    <w:rsid w:val="007B33EC"/>
    <w:rsid w:val="007B41D6"/>
    <w:rsid w:val="007B4CF4"/>
    <w:rsid w:val="007B5824"/>
    <w:rsid w:val="007B5A22"/>
    <w:rsid w:val="007B6D51"/>
    <w:rsid w:val="007B77EA"/>
    <w:rsid w:val="007B7867"/>
    <w:rsid w:val="007B7B70"/>
    <w:rsid w:val="007C01BC"/>
    <w:rsid w:val="007C09F4"/>
    <w:rsid w:val="007C0D7F"/>
    <w:rsid w:val="007C0ED9"/>
    <w:rsid w:val="007C135A"/>
    <w:rsid w:val="007C14DD"/>
    <w:rsid w:val="007C20E6"/>
    <w:rsid w:val="007C31D8"/>
    <w:rsid w:val="007C3704"/>
    <w:rsid w:val="007C3885"/>
    <w:rsid w:val="007C4444"/>
    <w:rsid w:val="007C48CD"/>
    <w:rsid w:val="007C572E"/>
    <w:rsid w:val="007C5E34"/>
    <w:rsid w:val="007C5F91"/>
    <w:rsid w:val="007C65E2"/>
    <w:rsid w:val="007C6B7A"/>
    <w:rsid w:val="007C7930"/>
    <w:rsid w:val="007C7B40"/>
    <w:rsid w:val="007D0661"/>
    <w:rsid w:val="007D0A11"/>
    <w:rsid w:val="007D114E"/>
    <w:rsid w:val="007D16D9"/>
    <w:rsid w:val="007D21AA"/>
    <w:rsid w:val="007D28BA"/>
    <w:rsid w:val="007D2AFE"/>
    <w:rsid w:val="007D2DBA"/>
    <w:rsid w:val="007D34E0"/>
    <w:rsid w:val="007D351D"/>
    <w:rsid w:val="007D3E1C"/>
    <w:rsid w:val="007D3E6D"/>
    <w:rsid w:val="007D492B"/>
    <w:rsid w:val="007D505C"/>
    <w:rsid w:val="007D5531"/>
    <w:rsid w:val="007D5C51"/>
    <w:rsid w:val="007D5ECC"/>
    <w:rsid w:val="007D625E"/>
    <w:rsid w:val="007D6EB2"/>
    <w:rsid w:val="007D7AD1"/>
    <w:rsid w:val="007D7B23"/>
    <w:rsid w:val="007E062A"/>
    <w:rsid w:val="007E076B"/>
    <w:rsid w:val="007E0CD2"/>
    <w:rsid w:val="007E15DF"/>
    <w:rsid w:val="007E2412"/>
    <w:rsid w:val="007E264D"/>
    <w:rsid w:val="007E2B83"/>
    <w:rsid w:val="007E3025"/>
    <w:rsid w:val="007E3B86"/>
    <w:rsid w:val="007E3D2E"/>
    <w:rsid w:val="007E4437"/>
    <w:rsid w:val="007E4B80"/>
    <w:rsid w:val="007E56A1"/>
    <w:rsid w:val="007E594A"/>
    <w:rsid w:val="007E5E6B"/>
    <w:rsid w:val="007E5F16"/>
    <w:rsid w:val="007E64F1"/>
    <w:rsid w:val="007E6722"/>
    <w:rsid w:val="007E6AF3"/>
    <w:rsid w:val="007E784E"/>
    <w:rsid w:val="007F0539"/>
    <w:rsid w:val="007F0FDD"/>
    <w:rsid w:val="007F1195"/>
    <w:rsid w:val="007F1333"/>
    <w:rsid w:val="007F16F9"/>
    <w:rsid w:val="007F18A4"/>
    <w:rsid w:val="007F2151"/>
    <w:rsid w:val="007F240F"/>
    <w:rsid w:val="007F2E40"/>
    <w:rsid w:val="007F38B8"/>
    <w:rsid w:val="007F393D"/>
    <w:rsid w:val="007F3C29"/>
    <w:rsid w:val="007F3C42"/>
    <w:rsid w:val="007F4049"/>
    <w:rsid w:val="007F474A"/>
    <w:rsid w:val="007F4B33"/>
    <w:rsid w:val="007F54CF"/>
    <w:rsid w:val="007F551F"/>
    <w:rsid w:val="007F5A79"/>
    <w:rsid w:val="007F6458"/>
    <w:rsid w:val="007F6902"/>
    <w:rsid w:val="007F6B40"/>
    <w:rsid w:val="007F73CE"/>
    <w:rsid w:val="007F786D"/>
    <w:rsid w:val="007F7CB5"/>
    <w:rsid w:val="007F7E31"/>
    <w:rsid w:val="008003BB"/>
    <w:rsid w:val="00800C26"/>
    <w:rsid w:val="00801197"/>
    <w:rsid w:val="008015A0"/>
    <w:rsid w:val="00801763"/>
    <w:rsid w:val="00801E3C"/>
    <w:rsid w:val="008029F3"/>
    <w:rsid w:val="00802ADB"/>
    <w:rsid w:val="00802C64"/>
    <w:rsid w:val="008040A6"/>
    <w:rsid w:val="00804386"/>
    <w:rsid w:val="00804782"/>
    <w:rsid w:val="008048F1"/>
    <w:rsid w:val="00805F76"/>
    <w:rsid w:val="0080620B"/>
    <w:rsid w:val="00806ABB"/>
    <w:rsid w:val="00806CFE"/>
    <w:rsid w:val="00807016"/>
    <w:rsid w:val="0080799F"/>
    <w:rsid w:val="00807A3E"/>
    <w:rsid w:val="008102AD"/>
    <w:rsid w:val="00811815"/>
    <w:rsid w:val="0081198F"/>
    <w:rsid w:val="00811B34"/>
    <w:rsid w:val="00811BEC"/>
    <w:rsid w:val="008126C9"/>
    <w:rsid w:val="00812CA2"/>
    <w:rsid w:val="0081331D"/>
    <w:rsid w:val="008137FD"/>
    <w:rsid w:val="0081448C"/>
    <w:rsid w:val="00814B64"/>
    <w:rsid w:val="00814C16"/>
    <w:rsid w:val="00815375"/>
    <w:rsid w:val="0081607F"/>
    <w:rsid w:val="0081656C"/>
    <w:rsid w:val="0081666F"/>
    <w:rsid w:val="00816743"/>
    <w:rsid w:val="008171FB"/>
    <w:rsid w:val="0081730C"/>
    <w:rsid w:val="00817900"/>
    <w:rsid w:val="008202A4"/>
    <w:rsid w:val="00820433"/>
    <w:rsid w:val="00820A0D"/>
    <w:rsid w:val="00820BC3"/>
    <w:rsid w:val="008213E3"/>
    <w:rsid w:val="008219CE"/>
    <w:rsid w:val="00821DAD"/>
    <w:rsid w:val="008228D9"/>
    <w:rsid w:val="00823262"/>
    <w:rsid w:val="00823263"/>
    <w:rsid w:val="0082387D"/>
    <w:rsid w:val="00823D73"/>
    <w:rsid w:val="00824186"/>
    <w:rsid w:val="008248BD"/>
    <w:rsid w:val="00824AAF"/>
    <w:rsid w:val="00825859"/>
    <w:rsid w:val="0082633A"/>
    <w:rsid w:val="00826614"/>
    <w:rsid w:val="00830614"/>
    <w:rsid w:val="008306BD"/>
    <w:rsid w:val="00831111"/>
    <w:rsid w:val="008318EB"/>
    <w:rsid w:val="00831F24"/>
    <w:rsid w:val="008323B5"/>
    <w:rsid w:val="008336DA"/>
    <w:rsid w:val="008346BB"/>
    <w:rsid w:val="00834A35"/>
    <w:rsid w:val="00834AFE"/>
    <w:rsid w:val="0083513E"/>
    <w:rsid w:val="008351C3"/>
    <w:rsid w:val="0083554C"/>
    <w:rsid w:val="00835A63"/>
    <w:rsid w:val="00835AC0"/>
    <w:rsid w:val="008362B0"/>
    <w:rsid w:val="008363A1"/>
    <w:rsid w:val="00836903"/>
    <w:rsid w:val="00836921"/>
    <w:rsid w:val="00836E55"/>
    <w:rsid w:val="00837640"/>
    <w:rsid w:val="0083797B"/>
    <w:rsid w:val="00837A7E"/>
    <w:rsid w:val="00837D6C"/>
    <w:rsid w:val="00840027"/>
    <w:rsid w:val="008405C2"/>
    <w:rsid w:val="00842095"/>
    <w:rsid w:val="008426A2"/>
    <w:rsid w:val="00842A49"/>
    <w:rsid w:val="0084303B"/>
    <w:rsid w:val="00843069"/>
    <w:rsid w:val="00843399"/>
    <w:rsid w:val="008434E9"/>
    <w:rsid w:val="00843660"/>
    <w:rsid w:val="00843A12"/>
    <w:rsid w:val="00843B1F"/>
    <w:rsid w:val="00843E46"/>
    <w:rsid w:val="008441A3"/>
    <w:rsid w:val="0084436C"/>
    <w:rsid w:val="0084455D"/>
    <w:rsid w:val="00845431"/>
    <w:rsid w:val="008455BC"/>
    <w:rsid w:val="00846B40"/>
    <w:rsid w:val="00846E20"/>
    <w:rsid w:val="00850A2D"/>
    <w:rsid w:val="00850D4F"/>
    <w:rsid w:val="00851425"/>
    <w:rsid w:val="00851D25"/>
    <w:rsid w:val="00851D26"/>
    <w:rsid w:val="008524B6"/>
    <w:rsid w:val="00852C51"/>
    <w:rsid w:val="0085352B"/>
    <w:rsid w:val="00853B13"/>
    <w:rsid w:val="00853BDC"/>
    <w:rsid w:val="0085462C"/>
    <w:rsid w:val="00854ADF"/>
    <w:rsid w:val="00854C1D"/>
    <w:rsid w:val="00855232"/>
    <w:rsid w:val="00855570"/>
    <w:rsid w:val="00855783"/>
    <w:rsid w:val="00855784"/>
    <w:rsid w:val="00855975"/>
    <w:rsid w:val="008560E3"/>
    <w:rsid w:val="008561A1"/>
    <w:rsid w:val="008564BE"/>
    <w:rsid w:val="00856D11"/>
    <w:rsid w:val="00856E18"/>
    <w:rsid w:val="00856E40"/>
    <w:rsid w:val="008572FA"/>
    <w:rsid w:val="00857437"/>
    <w:rsid w:val="00857850"/>
    <w:rsid w:val="00857C97"/>
    <w:rsid w:val="00857D06"/>
    <w:rsid w:val="00857E09"/>
    <w:rsid w:val="0086039A"/>
    <w:rsid w:val="008608B2"/>
    <w:rsid w:val="00860900"/>
    <w:rsid w:val="00860C05"/>
    <w:rsid w:val="008616A3"/>
    <w:rsid w:val="00861721"/>
    <w:rsid w:val="00861977"/>
    <w:rsid w:val="00861B0D"/>
    <w:rsid w:val="00862537"/>
    <w:rsid w:val="0086257F"/>
    <w:rsid w:val="00862F39"/>
    <w:rsid w:val="0086393D"/>
    <w:rsid w:val="008648C6"/>
    <w:rsid w:val="008648FD"/>
    <w:rsid w:val="00866451"/>
    <w:rsid w:val="00867606"/>
    <w:rsid w:val="008676AE"/>
    <w:rsid w:val="00867AEB"/>
    <w:rsid w:val="00870DA6"/>
    <w:rsid w:val="008713C4"/>
    <w:rsid w:val="00871465"/>
    <w:rsid w:val="0087162E"/>
    <w:rsid w:val="008720BB"/>
    <w:rsid w:val="00873D51"/>
    <w:rsid w:val="00873E28"/>
    <w:rsid w:val="00874111"/>
    <w:rsid w:val="008743D0"/>
    <w:rsid w:val="008753FC"/>
    <w:rsid w:val="00875557"/>
    <w:rsid w:val="00875AF5"/>
    <w:rsid w:val="00875BA3"/>
    <w:rsid w:val="00875C9A"/>
    <w:rsid w:val="00875E53"/>
    <w:rsid w:val="00875FC2"/>
    <w:rsid w:val="00876671"/>
    <w:rsid w:val="008768B2"/>
    <w:rsid w:val="00876BAB"/>
    <w:rsid w:val="0087706E"/>
    <w:rsid w:val="00877836"/>
    <w:rsid w:val="00877CBE"/>
    <w:rsid w:val="008810C4"/>
    <w:rsid w:val="00881884"/>
    <w:rsid w:val="00882264"/>
    <w:rsid w:val="008827AE"/>
    <w:rsid w:val="00882AEC"/>
    <w:rsid w:val="008831FD"/>
    <w:rsid w:val="008834DC"/>
    <w:rsid w:val="008837EB"/>
    <w:rsid w:val="00883887"/>
    <w:rsid w:val="00884997"/>
    <w:rsid w:val="00885A5D"/>
    <w:rsid w:val="00886B80"/>
    <w:rsid w:val="008871E8"/>
    <w:rsid w:val="0089016B"/>
    <w:rsid w:val="008904AB"/>
    <w:rsid w:val="00890B98"/>
    <w:rsid w:val="0089115B"/>
    <w:rsid w:val="008911D7"/>
    <w:rsid w:val="008917FE"/>
    <w:rsid w:val="008918C3"/>
    <w:rsid w:val="00891A1C"/>
    <w:rsid w:val="008924D3"/>
    <w:rsid w:val="008925D7"/>
    <w:rsid w:val="00892F05"/>
    <w:rsid w:val="008934B4"/>
    <w:rsid w:val="00893525"/>
    <w:rsid w:val="00893628"/>
    <w:rsid w:val="00893E97"/>
    <w:rsid w:val="00894708"/>
    <w:rsid w:val="00895284"/>
    <w:rsid w:val="008952D9"/>
    <w:rsid w:val="00895E28"/>
    <w:rsid w:val="00896363"/>
    <w:rsid w:val="008963B8"/>
    <w:rsid w:val="00897B1E"/>
    <w:rsid w:val="008A02DB"/>
    <w:rsid w:val="008A2256"/>
    <w:rsid w:val="008A22DB"/>
    <w:rsid w:val="008A4D28"/>
    <w:rsid w:val="008A5123"/>
    <w:rsid w:val="008A53AD"/>
    <w:rsid w:val="008A5671"/>
    <w:rsid w:val="008A56F3"/>
    <w:rsid w:val="008A59D3"/>
    <w:rsid w:val="008A627E"/>
    <w:rsid w:val="008A639F"/>
    <w:rsid w:val="008A67B6"/>
    <w:rsid w:val="008A7279"/>
    <w:rsid w:val="008A7CB8"/>
    <w:rsid w:val="008A7E53"/>
    <w:rsid w:val="008A7F75"/>
    <w:rsid w:val="008B06BF"/>
    <w:rsid w:val="008B1240"/>
    <w:rsid w:val="008B12C1"/>
    <w:rsid w:val="008B1565"/>
    <w:rsid w:val="008B197B"/>
    <w:rsid w:val="008B232F"/>
    <w:rsid w:val="008B2525"/>
    <w:rsid w:val="008B28C6"/>
    <w:rsid w:val="008B2B8E"/>
    <w:rsid w:val="008B3BF0"/>
    <w:rsid w:val="008B44EA"/>
    <w:rsid w:val="008B55F5"/>
    <w:rsid w:val="008B5CCA"/>
    <w:rsid w:val="008B5EA2"/>
    <w:rsid w:val="008B6BE8"/>
    <w:rsid w:val="008B7345"/>
    <w:rsid w:val="008B79EF"/>
    <w:rsid w:val="008C081C"/>
    <w:rsid w:val="008C085A"/>
    <w:rsid w:val="008C0A33"/>
    <w:rsid w:val="008C115E"/>
    <w:rsid w:val="008C1582"/>
    <w:rsid w:val="008C1591"/>
    <w:rsid w:val="008C1A47"/>
    <w:rsid w:val="008C1C21"/>
    <w:rsid w:val="008C26A5"/>
    <w:rsid w:val="008C307A"/>
    <w:rsid w:val="008C36A9"/>
    <w:rsid w:val="008C3E08"/>
    <w:rsid w:val="008C3ED3"/>
    <w:rsid w:val="008C4620"/>
    <w:rsid w:val="008C4909"/>
    <w:rsid w:val="008C4A46"/>
    <w:rsid w:val="008C522A"/>
    <w:rsid w:val="008C558D"/>
    <w:rsid w:val="008C5625"/>
    <w:rsid w:val="008C5FEC"/>
    <w:rsid w:val="008C6830"/>
    <w:rsid w:val="008C6D69"/>
    <w:rsid w:val="008D0442"/>
    <w:rsid w:val="008D09C6"/>
    <w:rsid w:val="008D0D0C"/>
    <w:rsid w:val="008D1456"/>
    <w:rsid w:val="008D16DC"/>
    <w:rsid w:val="008D183C"/>
    <w:rsid w:val="008D1920"/>
    <w:rsid w:val="008D2C4E"/>
    <w:rsid w:val="008D2F85"/>
    <w:rsid w:val="008D35D4"/>
    <w:rsid w:val="008D3BC1"/>
    <w:rsid w:val="008D3CD9"/>
    <w:rsid w:val="008D43DF"/>
    <w:rsid w:val="008D45D7"/>
    <w:rsid w:val="008D4C52"/>
    <w:rsid w:val="008D4C72"/>
    <w:rsid w:val="008D51B8"/>
    <w:rsid w:val="008D6CA2"/>
    <w:rsid w:val="008D6E27"/>
    <w:rsid w:val="008D710A"/>
    <w:rsid w:val="008D762C"/>
    <w:rsid w:val="008D7F10"/>
    <w:rsid w:val="008E009B"/>
    <w:rsid w:val="008E02B0"/>
    <w:rsid w:val="008E04C8"/>
    <w:rsid w:val="008E1030"/>
    <w:rsid w:val="008E1884"/>
    <w:rsid w:val="008E20F7"/>
    <w:rsid w:val="008E211F"/>
    <w:rsid w:val="008E2776"/>
    <w:rsid w:val="008E2AC6"/>
    <w:rsid w:val="008E33D6"/>
    <w:rsid w:val="008E3CA3"/>
    <w:rsid w:val="008E3CB1"/>
    <w:rsid w:val="008E4945"/>
    <w:rsid w:val="008E4A8C"/>
    <w:rsid w:val="008E51BB"/>
    <w:rsid w:val="008E524F"/>
    <w:rsid w:val="008E5B9E"/>
    <w:rsid w:val="008E6012"/>
    <w:rsid w:val="008E66BA"/>
    <w:rsid w:val="008E672C"/>
    <w:rsid w:val="008E67B7"/>
    <w:rsid w:val="008E76D2"/>
    <w:rsid w:val="008E783D"/>
    <w:rsid w:val="008E7EDB"/>
    <w:rsid w:val="008F0043"/>
    <w:rsid w:val="008F005D"/>
    <w:rsid w:val="008F188E"/>
    <w:rsid w:val="008F1BC3"/>
    <w:rsid w:val="008F2351"/>
    <w:rsid w:val="008F2DE0"/>
    <w:rsid w:val="008F37A7"/>
    <w:rsid w:val="008F432B"/>
    <w:rsid w:val="008F5075"/>
    <w:rsid w:val="008F52D2"/>
    <w:rsid w:val="008F5E12"/>
    <w:rsid w:val="008F6088"/>
    <w:rsid w:val="008F6584"/>
    <w:rsid w:val="008F70C4"/>
    <w:rsid w:val="008F7860"/>
    <w:rsid w:val="008F7980"/>
    <w:rsid w:val="008F7B91"/>
    <w:rsid w:val="008F7E87"/>
    <w:rsid w:val="00900257"/>
    <w:rsid w:val="00900387"/>
    <w:rsid w:val="0090083E"/>
    <w:rsid w:val="00900A39"/>
    <w:rsid w:val="00900D5D"/>
    <w:rsid w:val="009010B6"/>
    <w:rsid w:val="00901754"/>
    <w:rsid w:val="00901B0C"/>
    <w:rsid w:val="00901E9C"/>
    <w:rsid w:val="00901FD5"/>
    <w:rsid w:val="0090232C"/>
    <w:rsid w:val="00902B55"/>
    <w:rsid w:val="0090335B"/>
    <w:rsid w:val="009036CE"/>
    <w:rsid w:val="0090524F"/>
    <w:rsid w:val="00905598"/>
    <w:rsid w:val="00905A5F"/>
    <w:rsid w:val="00906966"/>
    <w:rsid w:val="00906C15"/>
    <w:rsid w:val="00906C64"/>
    <w:rsid w:val="009070F6"/>
    <w:rsid w:val="009103AD"/>
    <w:rsid w:val="009105A6"/>
    <w:rsid w:val="00910DCF"/>
    <w:rsid w:val="009114AC"/>
    <w:rsid w:val="00911C9E"/>
    <w:rsid w:val="00912183"/>
    <w:rsid w:val="009121CE"/>
    <w:rsid w:val="00912B2D"/>
    <w:rsid w:val="009135DD"/>
    <w:rsid w:val="00913B0A"/>
    <w:rsid w:val="009149A6"/>
    <w:rsid w:val="009149CD"/>
    <w:rsid w:val="00915016"/>
    <w:rsid w:val="00915C70"/>
    <w:rsid w:val="0091676C"/>
    <w:rsid w:val="00916A00"/>
    <w:rsid w:val="00917513"/>
    <w:rsid w:val="0091773D"/>
    <w:rsid w:val="00917C2A"/>
    <w:rsid w:val="00920333"/>
    <w:rsid w:val="00920844"/>
    <w:rsid w:val="00920CA0"/>
    <w:rsid w:val="00921229"/>
    <w:rsid w:val="00921353"/>
    <w:rsid w:val="00921DB7"/>
    <w:rsid w:val="009224D3"/>
    <w:rsid w:val="00922BF3"/>
    <w:rsid w:val="00923015"/>
    <w:rsid w:val="00923D85"/>
    <w:rsid w:val="00924101"/>
    <w:rsid w:val="00924C7C"/>
    <w:rsid w:val="0092507D"/>
    <w:rsid w:val="009256B7"/>
    <w:rsid w:val="00925B65"/>
    <w:rsid w:val="00925D1A"/>
    <w:rsid w:val="009268CB"/>
    <w:rsid w:val="009268EF"/>
    <w:rsid w:val="00927064"/>
    <w:rsid w:val="009271C8"/>
    <w:rsid w:val="009304F6"/>
    <w:rsid w:val="00930543"/>
    <w:rsid w:val="00930864"/>
    <w:rsid w:val="00930D50"/>
    <w:rsid w:val="009311B0"/>
    <w:rsid w:val="00931F0F"/>
    <w:rsid w:val="00931F7A"/>
    <w:rsid w:val="009339B7"/>
    <w:rsid w:val="00934473"/>
    <w:rsid w:val="00935CC2"/>
    <w:rsid w:val="00935FF4"/>
    <w:rsid w:val="00936393"/>
    <w:rsid w:val="0093695D"/>
    <w:rsid w:val="00936E86"/>
    <w:rsid w:val="00937214"/>
    <w:rsid w:val="009374A0"/>
    <w:rsid w:val="00937D57"/>
    <w:rsid w:val="00937F06"/>
    <w:rsid w:val="009402DC"/>
    <w:rsid w:val="009406FE"/>
    <w:rsid w:val="00940844"/>
    <w:rsid w:val="00940C2F"/>
    <w:rsid w:val="00940F2F"/>
    <w:rsid w:val="00941052"/>
    <w:rsid w:val="00941275"/>
    <w:rsid w:val="009413A9"/>
    <w:rsid w:val="00941974"/>
    <w:rsid w:val="00941CA8"/>
    <w:rsid w:val="00942F96"/>
    <w:rsid w:val="00943CB9"/>
    <w:rsid w:val="00943D74"/>
    <w:rsid w:val="00944119"/>
    <w:rsid w:val="0094486C"/>
    <w:rsid w:val="009454B5"/>
    <w:rsid w:val="00945909"/>
    <w:rsid w:val="00946C4F"/>
    <w:rsid w:val="009500A3"/>
    <w:rsid w:val="009513E4"/>
    <w:rsid w:val="009515BC"/>
    <w:rsid w:val="009522AA"/>
    <w:rsid w:val="00952E1E"/>
    <w:rsid w:val="00954128"/>
    <w:rsid w:val="0095414C"/>
    <w:rsid w:val="00955A67"/>
    <w:rsid w:val="00955C6B"/>
    <w:rsid w:val="009564F9"/>
    <w:rsid w:val="00956677"/>
    <w:rsid w:val="0095696F"/>
    <w:rsid w:val="00957697"/>
    <w:rsid w:val="00957716"/>
    <w:rsid w:val="00960464"/>
    <w:rsid w:val="00960871"/>
    <w:rsid w:val="00960A34"/>
    <w:rsid w:val="00961839"/>
    <w:rsid w:val="00961858"/>
    <w:rsid w:val="00962592"/>
    <w:rsid w:val="00962FE6"/>
    <w:rsid w:val="009641EC"/>
    <w:rsid w:val="0096440F"/>
    <w:rsid w:val="009647C5"/>
    <w:rsid w:val="00964E7C"/>
    <w:rsid w:val="009657A3"/>
    <w:rsid w:val="00965B77"/>
    <w:rsid w:val="0096690E"/>
    <w:rsid w:val="00966C6C"/>
    <w:rsid w:val="00966DEB"/>
    <w:rsid w:val="0096795B"/>
    <w:rsid w:val="009702C9"/>
    <w:rsid w:val="00970694"/>
    <w:rsid w:val="009719C2"/>
    <w:rsid w:val="00971E9E"/>
    <w:rsid w:val="009731F7"/>
    <w:rsid w:val="00973CC6"/>
    <w:rsid w:val="009741B1"/>
    <w:rsid w:val="00976A8F"/>
    <w:rsid w:val="00976B71"/>
    <w:rsid w:val="00976F96"/>
    <w:rsid w:val="00977231"/>
    <w:rsid w:val="0097757E"/>
    <w:rsid w:val="00977BD4"/>
    <w:rsid w:val="00977C6F"/>
    <w:rsid w:val="00977E76"/>
    <w:rsid w:val="00980CE3"/>
    <w:rsid w:val="00980D74"/>
    <w:rsid w:val="00981139"/>
    <w:rsid w:val="009827A3"/>
    <w:rsid w:val="00982CFA"/>
    <w:rsid w:val="009843F5"/>
    <w:rsid w:val="009845E5"/>
    <w:rsid w:val="0098478C"/>
    <w:rsid w:val="0098499D"/>
    <w:rsid w:val="009850A4"/>
    <w:rsid w:val="00985BBD"/>
    <w:rsid w:val="009863F3"/>
    <w:rsid w:val="009874C7"/>
    <w:rsid w:val="00987A40"/>
    <w:rsid w:val="00987B3A"/>
    <w:rsid w:val="00987CFC"/>
    <w:rsid w:val="00987E1C"/>
    <w:rsid w:val="00987ECC"/>
    <w:rsid w:val="009901DD"/>
    <w:rsid w:val="00990C17"/>
    <w:rsid w:val="009925E1"/>
    <w:rsid w:val="00992F38"/>
    <w:rsid w:val="0099335D"/>
    <w:rsid w:val="0099337C"/>
    <w:rsid w:val="009939E7"/>
    <w:rsid w:val="00993A92"/>
    <w:rsid w:val="00993BF1"/>
    <w:rsid w:val="0099444E"/>
    <w:rsid w:val="0099541E"/>
    <w:rsid w:val="00995D83"/>
    <w:rsid w:val="00995F86"/>
    <w:rsid w:val="009962C9"/>
    <w:rsid w:val="0099639A"/>
    <w:rsid w:val="00996F8A"/>
    <w:rsid w:val="0099770B"/>
    <w:rsid w:val="00997926"/>
    <w:rsid w:val="009A09AC"/>
    <w:rsid w:val="009A15BC"/>
    <w:rsid w:val="009A2194"/>
    <w:rsid w:val="009A2DFC"/>
    <w:rsid w:val="009A2EDC"/>
    <w:rsid w:val="009A37A6"/>
    <w:rsid w:val="009A3DD2"/>
    <w:rsid w:val="009A42FE"/>
    <w:rsid w:val="009A43A4"/>
    <w:rsid w:val="009A4DE9"/>
    <w:rsid w:val="009A51AC"/>
    <w:rsid w:val="009A54E4"/>
    <w:rsid w:val="009A584C"/>
    <w:rsid w:val="009A60D6"/>
    <w:rsid w:val="009A6998"/>
    <w:rsid w:val="009A7B3D"/>
    <w:rsid w:val="009A7EE9"/>
    <w:rsid w:val="009A7F6F"/>
    <w:rsid w:val="009A7F9E"/>
    <w:rsid w:val="009B132D"/>
    <w:rsid w:val="009B178B"/>
    <w:rsid w:val="009B322D"/>
    <w:rsid w:val="009B3533"/>
    <w:rsid w:val="009B373B"/>
    <w:rsid w:val="009B37DA"/>
    <w:rsid w:val="009B381B"/>
    <w:rsid w:val="009B4CFD"/>
    <w:rsid w:val="009B532D"/>
    <w:rsid w:val="009B537D"/>
    <w:rsid w:val="009B5F57"/>
    <w:rsid w:val="009B633C"/>
    <w:rsid w:val="009B6CCB"/>
    <w:rsid w:val="009C18D5"/>
    <w:rsid w:val="009C1D25"/>
    <w:rsid w:val="009C21CE"/>
    <w:rsid w:val="009C2348"/>
    <w:rsid w:val="009C23D3"/>
    <w:rsid w:val="009C2424"/>
    <w:rsid w:val="009C3786"/>
    <w:rsid w:val="009C38CE"/>
    <w:rsid w:val="009C4033"/>
    <w:rsid w:val="009C4604"/>
    <w:rsid w:val="009C46EC"/>
    <w:rsid w:val="009C4828"/>
    <w:rsid w:val="009C4E81"/>
    <w:rsid w:val="009C61D1"/>
    <w:rsid w:val="009C67D4"/>
    <w:rsid w:val="009C7188"/>
    <w:rsid w:val="009C76EE"/>
    <w:rsid w:val="009C7BD3"/>
    <w:rsid w:val="009D02CA"/>
    <w:rsid w:val="009D042E"/>
    <w:rsid w:val="009D0717"/>
    <w:rsid w:val="009D12FA"/>
    <w:rsid w:val="009D13A0"/>
    <w:rsid w:val="009D159F"/>
    <w:rsid w:val="009D1796"/>
    <w:rsid w:val="009D2674"/>
    <w:rsid w:val="009D29DA"/>
    <w:rsid w:val="009D3305"/>
    <w:rsid w:val="009D3AE1"/>
    <w:rsid w:val="009D3B71"/>
    <w:rsid w:val="009D3CED"/>
    <w:rsid w:val="009D4276"/>
    <w:rsid w:val="009D42F7"/>
    <w:rsid w:val="009D49B1"/>
    <w:rsid w:val="009D4EFF"/>
    <w:rsid w:val="009D4F70"/>
    <w:rsid w:val="009D4FEE"/>
    <w:rsid w:val="009D52B9"/>
    <w:rsid w:val="009D53CF"/>
    <w:rsid w:val="009D56FC"/>
    <w:rsid w:val="009D5D1E"/>
    <w:rsid w:val="009D6370"/>
    <w:rsid w:val="009D64B1"/>
    <w:rsid w:val="009D6A0A"/>
    <w:rsid w:val="009D6D80"/>
    <w:rsid w:val="009D7374"/>
    <w:rsid w:val="009D738E"/>
    <w:rsid w:val="009E020F"/>
    <w:rsid w:val="009E0871"/>
    <w:rsid w:val="009E11C7"/>
    <w:rsid w:val="009E1AC2"/>
    <w:rsid w:val="009E1CA2"/>
    <w:rsid w:val="009E1E8C"/>
    <w:rsid w:val="009E1F97"/>
    <w:rsid w:val="009E2B67"/>
    <w:rsid w:val="009E2CFB"/>
    <w:rsid w:val="009E3A1A"/>
    <w:rsid w:val="009E3BE4"/>
    <w:rsid w:val="009E3CCA"/>
    <w:rsid w:val="009E40DE"/>
    <w:rsid w:val="009E412B"/>
    <w:rsid w:val="009E44F7"/>
    <w:rsid w:val="009E513D"/>
    <w:rsid w:val="009E560E"/>
    <w:rsid w:val="009E596A"/>
    <w:rsid w:val="009E5ADE"/>
    <w:rsid w:val="009E5BB0"/>
    <w:rsid w:val="009E656A"/>
    <w:rsid w:val="009E6928"/>
    <w:rsid w:val="009E69B2"/>
    <w:rsid w:val="009E71FA"/>
    <w:rsid w:val="009E74CC"/>
    <w:rsid w:val="009F0632"/>
    <w:rsid w:val="009F0A82"/>
    <w:rsid w:val="009F0E66"/>
    <w:rsid w:val="009F19A0"/>
    <w:rsid w:val="009F2374"/>
    <w:rsid w:val="009F27F8"/>
    <w:rsid w:val="009F432E"/>
    <w:rsid w:val="009F469D"/>
    <w:rsid w:val="009F4971"/>
    <w:rsid w:val="009F4B80"/>
    <w:rsid w:val="009F4BCD"/>
    <w:rsid w:val="009F4BF2"/>
    <w:rsid w:val="009F4F8B"/>
    <w:rsid w:val="009F59CC"/>
    <w:rsid w:val="009F70C4"/>
    <w:rsid w:val="009F7156"/>
    <w:rsid w:val="009F731B"/>
    <w:rsid w:val="00A001E3"/>
    <w:rsid w:val="00A003A1"/>
    <w:rsid w:val="00A00E0D"/>
    <w:rsid w:val="00A02496"/>
    <w:rsid w:val="00A02587"/>
    <w:rsid w:val="00A02871"/>
    <w:rsid w:val="00A02A67"/>
    <w:rsid w:val="00A030A6"/>
    <w:rsid w:val="00A03199"/>
    <w:rsid w:val="00A03678"/>
    <w:rsid w:val="00A03770"/>
    <w:rsid w:val="00A057D1"/>
    <w:rsid w:val="00A05C9F"/>
    <w:rsid w:val="00A05DB4"/>
    <w:rsid w:val="00A0630D"/>
    <w:rsid w:val="00A065C7"/>
    <w:rsid w:val="00A066B0"/>
    <w:rsid w:val="00A06A7B"/>
    <w:rsid w:val="00A0718E"/>
    <w:rsid w:val="00A0725C"/>
    <w:rsid w:val="00A076F5"/>
    <w:rsid w:val="00A07E22"/>
    <w:rsid w:val="00A1005E"/>
    <w:rsid w:val="00A1064D"/>
    <w:rsid w:val="00A106B9"/>
    <w:rsid w:val="00A107CF"/>
    <w:rsid w:val="00A11397"/>
    <w:rsid w:val="00A13306"/>
    <w:rsid w:val="00A13947"/>
    <w:rsid w:val="00A1394D"/>
    <w:rsid w:val="00A13FA6"/>
    <w:rsid w:val="00A14476"/>
    <w:rsid w:val="00A14481"/>
    <w:rsid w:val="00A145EA"/>
    <w:rsid w:val="00A148A3"/>
    <w:rsid w:val="00A14BC8"/>
    <w:rsid w:val="00A1539D"/>
    <w:rsid w:val="00A1552A"/>
    <w:rsid w:val="00A15CF7"/>
    <w:rsid w:val="00A1644C"/>
    <w:rsid w:val="00A16455"/>
    <w:rsid w:val="00A164A4"/>
    <w:rsid w:val="00A16514"/>
    <w:rsid w:val="00A16FDC"/>
    <w:rsid w:val="00A21339"/>
    <w:rsid w:val="00A21603"/>
    <w:rsid w:val="00A21CF7"/>
    <w:rsid w:val="00A22029"/>
    <w:rsid w:val="00A22101"/>
    <w:rsid w:val="00A225CC"/>
    <w:rsid w:val="00A2296C"/>
    <w:rsid w:val="00A2339A"/>
    <w:rsid w:val="00A23CC5"/>
    <w:rsid w:val="00A23CE7"/>
    <w:rsid w:val="00A24677"/>
    <w:rsid w:val="00A24E1E"/>
    <w:rsid w:val="00A24E2C"/>
    <w:rsid w:val="00A2555A"/>
    <w:rsid w:val="00A2557E"/>
    <w:rsid w:val="00A31567"/>
    <w:rsid w:val="00A319DD"/>
    <w:rsid w:val="00A31DF1"/>
    <w:rsid w:val="00A3292E"/>
    <w:rsid w:val="00A32E29"/>
    <w:rsid w:val="00A32EE4"/>
    <w:rsid w:val="00A33657"/>
    <w:rsid w:val="00A33A5A"/>
    <w:rsid w:val="00A33E07"/>
    <w:rsid w:val="00A349FB"/>
    <w:rsid w:val="00A34BC6"/>
    <w:rsid w:val="00A34F47"/>
    <w:rsid w:val="00A35110"/>
    <w:rsid w:val="00A351A4"/>
    <w:rsid w:val="00A35BB5"/>
    <w:rsid w:val="00A35CC0"/>
    <w:rsid w:val="00A35FB4"/>
    <w:rsid w:val="00A36657"/>
    <w:rsid w:val="00A36A22"/>
    <w:rsid w:val="00A36B2F"/>
    <w:rsid w:val="00A36E73"/>
    <w:rsid w:val="00A3739D"/>
    <w:rsid w:val="00A3760E"/>
    <w:rsid w:val="00A37F1B"/>
    <w:rsid w:val="00A4018F"/>
    <w:rsid w:val="00A40364"/>
    <w:rsid w:val="00A40C1F"/>
    <w:rsid w:val="00A40FAA"/>
    <w:rsid w:val="00A41E64"/>
    <w:rsid w:val="00A41F5C"/>
    <w:rsid w:val="00A42AC5"/>
    <w:rsid w:val="00A4495D"/>
    <w:rsid w:val="00A44D18"/>
    <w:rsid w:val="00A45CA6"/>
    <w:rsid w:val="00A45CB0"/>
    <w:rsid w:val="00A46419"/>
    <w:rsid w:val="00A46EC5"/>
    <w:rsid w:val="00A4735C"/>
    <w:rsid w:val="00A4745E"/>
    <w:rsid w:val="00A4782E"/>
    <w:rsid w:val="00A47B93"/>
    <w:rsid w:val="00A51962"/>
    <w:rsid w:val="00A51F31"/>
    <w:rsid w:val="00A5209F"/>
    <w:rsid w:val="00A5252E"/>
    <w:rsid w:val="00A526C8"/>
    <w:rsid w:val="00A52DD2"/>
    <w:rsid w:val="00A5321E"/>
    <w:rsid w:val="00A536E3"/>
    <w:rsid w:val="00A53938"/>
    <w:rsid w:val="00A53F96"/>
    <w:rsid w:val="00A545EA"/>
    <w:rsid w:val="00A54B46"/>
    <w:rsid w:val="00A557BE"/>
    <w:rsid w:val="00A55890"/>
    <w:rsid w:val="00A55DA7"/>
    <w:rsid w:val="00A56912"/>
    <w:rsid w:val="00A56F85"/>
    <w:rsid w:val="00A57052"/>
    <w:rsid w:val="00A57166"/>
    <w:rsid w:val="00A57D07"/>
    <w:rsid w:val="00A57F3A"/>
    <w:rsid w:val="00A6054F"/>
    <w:rsid w:val="00A60FEC"/>
    <w:rsid w:val="00A61461"/>
    <w:rsid w:val="00A616E2"/>
    <w:rsid w:val="00A62C5D"/>
    <w:rsid w:val="00A62CA0"/>
    <w:rsid w:val="00A63B0F"/>
    <w:rsid w:val="00A63D56"/>
    <w:rsid w:val="00A64175"/>
    <w:rsid w:val="00A64E2F"/>
    <w:rsid w:val="00A659E5"/>
    <w:rsid w:val="00A65B61"/>
    <w:rsid w:val="00A66483"/>
    <w:rsid w:val="00A67375"/>
    <w:rsid w:val="00A67490"/>
    <w:rsid w:val="00A70EF4"/>
    <w:rsid w:val="00A715EB"/>
    <w:rsid w:val="00A71765"/>
    <w:rsid w:val="00A71C7E"/>
    <w:rsid w:val="00A7207F"/>
    <w:rsid w:val="00A72DF8"/>
    <w:rsid w:val="00A746D8"/>
    <w:rsid w:val="00A74AFA"/>
    <w:rsid w:val="00A74BCF"/>
    <w:rsid w:val="00A75312"/>
    <w:rsid w:val="00A76098"/>
    <w:rsid w:val="00A7628D"/>
    <w:rsid w:val="00A763BC"/>
    <w:rsid w:val="00A76447"/>
    <w:rsid w:val="00A7652A"/>
    <w:rsid w:val="00A769F9"/>
    <w:rsid w:val="00A76C70"/>
    <w:rsid w:val="00A77245"/>
    <w:rsid w:val="00A802F4"/>
    <w:rsid w:val="00A80B43"/>
    <w:rsid w:val="00A8127A"/>
    <w:rsid w:val="00A81303"/>
    <w:rsid w:val="00A81A2C"/>
    <w:rsid w:val="00A81DCC"/>
    <w:rsid w:val="00A81FD6"/>
    <w:rsid w:val="00A8202D"/>
    <w:rsid w:val="00A82406"/>
    <w:rsid w:val="00A82436"/>
    <w:rsid w:val="00A82581"/>
    <w:rsid w:val="00A826F1"/>
    <w:rsid w:val="00A82F85"/>
    <w:rsid w:val="00A8434B"/>
    <w:rsid w:val="00A843CC"/>
    <w:rsid w:val="00A847FC"/>
    <w:rsid w:val="00A855D0"/>
    <w:rsid w:val="00A855F8"/>
    <w:rsid w:val="00A865B9"/>
    <w:rsid w:val="00A87424"/>
    <w:rsid w:val="00A87586"/>
    <w:rsid w:val="00A87A8C"/>
    <w:rsid w:val="00A9076A"/>
    <w:rsid w:val="00A90C1E"/>
    <w:rsid w:val="00A90E56"/>
    <w:rsid w:val="00A910FF"/>
    <w:rsid w:val="00A91799"/>
    <w:rsid w:val="00A92EEA"/>
    <w:rsid w:val="00A933A2"/>
    <w:rsid w:val="00A938E7"/>
    <w:rsid w:val="00A93DA7"/>
    <w:rsid w:val="00A93E51"/>
    <w:rsid w:val="00A94E5B"/>
    <w:rsid w:val="00A95169"/>
    <w:rsid w:val="00A9530D"/>
    <w:rsid w:val="00A9669E"/>
    <w:rsid w:val="00A96ADE"/>
    <w:rsid w:val="00A96BD3"/>
    <w:rsid w:val="00A96D0F"/>
    <w:rsid w:val="00A96DD0"/>
    <w:rsid w:val="00A9738A"/>
    <w:rsid w:val="00A97603"/>
    <w:rsid w:val="00A9767B"/>
    <w:rsid w:val="00A97A75"/>
    <w:rsid w:val="00A97AFA"/>
    <w:rsid w:val="00A97B4F"/>
    <w:rsid w:val="00A97C36"/>
    <w:rsid w:val="00A97E1C"/>
    <w:rsid w:val="00AA007C"/>
    <w:rsid w:val="00AA12E9"/>
    <w:rsid w:val="00AA1865"/>
    <w:rsid w:val="00AA1A27"/>
    <w:rsid w:val="00AA1FAA"/>
    <w:rsid w:val="00AA20D3"/>
    <w:rsid w:val="00AA29AF"/>
    <w:rsid w:val="00AA3056"/>
    <w:rsid w:val="00AA3205"/>
    <w:rsid w:val="00AA36C5"/>
    <w:rsid w:val="00AA3D81"/>
    <w:rsid w:val="00AA3FCE"/>
    <w:rsid w:val="00AA5262"/>
    <w:rsid w:val="00AA5490"/>
    <w:rsid w:val="00AA56B4"/>
    <w:rsid w:val="00AA58ED"/>
    <w:rsid w:val="00AA67A6"/>
    <w:rsid w:val="00AA6B69"/>
    <w:rsid w:val="00AA6BE6"/>
    <w:rsid w:val="00AA6CA7"/>
    <w:rsid w:val="00AA7755"/>
    <w:rsid w:val="00AA7E78"/>
    <w:rsid w:val="00AB0860"/>
    <w:rsid w:val="00AB0C55"/>
    <w:rsid w:val="00AB0E21"/>
    <w:rsid w:val="00AB2649"/>
    <w:rsid w:val="00AB417A"/>
    <w:rsid w:val="00AB4C4F"/>
    <w:rsid w:val="00AB546E"/>
    <w:rsid w:val="00AB5B95"/>
    <w:rsid w:val="00AB62CD"/>
    <w:rsid w:val="00AB6FC3"/>
    <w:rsid w:val="00AB7877"/>
    <w:rsid w:val="00AC00BD"/>
    <w:rsid w:val="00AC05E5"/>
    <w:rsid w:val="00AC0DD4"/>
    <w:rsid w:val="00AC17EB"/>
    <w:rsid w:val="00AC1A87"/>
    <w:rsid w:val="00AC2174"/>
    <w:rsid w:val="00AC23BF"/>
    <w:rsid w:val="00AC2ACA"/>
    <w:rsid w:val="00AC2CD2"/>
    <w:rsid w:val="00AC522A"/>
    <w:rsid w:val="00AC53AC"/>
    <w:rsid w:val="00AC5AAC"/>
    <w:rsid w:val="00AC5E55"/>
    <w:rsid w:val="00AC6977"/>
    <w:rsid w:val="00AC6C45"/>
    <w:rsid w:val="00AC728F"/>
    <w:rsid w:val="00AC7B13"/>
    <w:rsid w:val="00AC7E26"/>
    <w:rsid w:val="00AD0FF1"/>
    <w:rsid w:val="00AD1E58"/>
    <w:rsid w:val="00AD1F0C"/>
    <w:rsid w:val="00AD21C2"/>
    <w:rsid w:val="00AD224D"/>
    <w:rsid w:val="00AD2332"/>
    <w:rsid w:val="00AD2A6B"/>
    <w:rsid w:val="00AD3127"/>
    <w:rsid w:val="00AD395A"/>
    <w:rsid w:val="00AD3C84"/>
    <w:rsid w:val="00AD43DE"/>
    <w:rsid w:val="00AD467F"/>
    <w:rsid w:val="00AD4D85"/>
    <w:rsid w:val="00AD574E"/>
    <w:rsid w:val="00AD5DF0"/>
    <w:rsid w:val="00AD6962"/>
    <w:rsid w:val="00AD6B53"/>
    <w:rsid w:val="00AD6C37"/>
    <w:rsid w:val="00AD73CE"/>
    <w:rsid w:val="00AD7A97"/>
    <w:rsid w:val="00AD7D1B"/>
    <w:rsid w:val="00AD7E2C"/>
    <w:rsid w:val="00AE02E5"/>
    <w:rsid w:val="00AE11BF"/>
    <w:rsid w:val="00AE14B3"/>
    <w:rsid w:val="00AE20E1"/>
    <w:rsid w:val="00AE3D76"/>
    <w:rsid w:val="00AE4B4C"/>
    <w:rsid w:val="00AE4C1D"/>
    <w:rsid w:val="00AE4D54"/>
    <w:rsid w:val="00AE4FE0"/>
    <w:rsid w:val="00AE4FE7"/>
    <w:rsid w:val="00AE56F3"/>
    <w:rsid w:val="00AE56FD"/>
    <w:rsid w:val="00AE5CFF"/>
    <w:rsid w:val="00AE61BB"/>
    <w:rsid w:val="00AE6341"/>
    <w:rsid w:val="00AE6F49"/>
    <w:rsid w:val="00AE7282"/>
    <w:rsid w:val="00AF01D5"/>
    <w:rsid w:val="00AF14BA"/>
    <w:rsid w:val="00AF17DF"/>
    <w:rsid w:val="00AF2D56"/>
    <w:rsid w:val="00AF2FF5"/>
    <w:rsid w:val="00AF318F"/>
    <w:rsid w:val="00AF38DC"/>
    <w:rsid w:val="00AF3FB6"/>
    <w:rsid w:val="00AF435A"/>
    <w:rsid w:val="00AF48EE"/>
    <w:rsid w:val="00AF4957"/>
    <w:rsid w:val="00AF4CDD"/>
    <w:rsid w:val="00AF5621"/>
    <w:rsid w:val="00AF5C42"/>
    <w:rsid w:val="00AF5D05"/>
    <w:rsid w:val="00AF5EB1"/>
    <w:rsid w:val="00B007B8"/>
    <w:rsid w:val="00B00C84"/>
    <w:rsid w:val="00B00ED0"/>
    <w:rsid w:val="00B0120E"/>
    <w:rsid w:val="00B01ADC"/>
    <w:rsid w:val="00B01CAF"/>
    <w:rsid w:val="00B01DF8"/>
    <w:rsid w:val="00B02257"/>
    <w:rsid w:val="00B03213"/>
    <w:rsid w:val="00B03574"/>
    <w:rsid w:val="00B04E0A"/>
    <w:rsid w:val="00B05117"/>
    <w:rsid w:val="00B0527C"/>
    <w:rsid w:val="00B05A28"/>
    <w:rsid w:val="00B060C3"/>
    <w:rsid w:val="00B0746D"/>
    <w:rsid w:val="00B078E5"/>
    <w:rsid w:val="00B105F8"/>
    <w:rsid w:val="00B10952"/>
    <w:rsid w:val="00B113DF"/>
    <w:rsid w:val="00B1180F"/>
    <w:rsid w:val="00B12127"/>
    <w:rsid w:val="00B123D2"/>
    <w:rsid w:val="00B12F17"/>
    <w:rsid w:val="00B13B80"/>
    <w:rsid w:val="00B13BF2"/>
    <w:rsid w:val="00B14027"/>
    <w:rsid w:val="00B1453A"/>
    <w:rsid w:val="00B152CF"/>
    <w:rsid w:val="00B157C8"/>
    <w:rsid w:val="00B15EC5"/>
    <w:rsid w:val="00B16182"/>
    <w:rsid w:val="00B16393"/>
    <w:rsid w:val="00B17592"/>
    <w:rsid w:val="00B20130"/>
    <w:rsid w:val="00B20ED4"/>
    <w:rsid w:val="00B21359"/>
    <w:rsid w:val="00B215CE"/>
    <w:rsid w:val="00B219A3"/>
    <w:rsid w:val="00B21AF9"/>
    <w:rsid w:val="00B21FC3"/>
    <w:rsid w:val="00B223A1"/>
    <w:rsid w:val="00B225D3"/>
    <w:rsid w:val="00B2288D"/>
    <w:rsid w:val="00B23636"/>
    <w:rsid w:val="00B23ACE"/>
    <w:rsid w:val="00B23EA7"/>
    <w:rsid w:val="00B253C6"/>
    <w:rsid w:val="00B259CE"/>
    <w:rsid w:val="00B25C1A"/>
    <w:rsid w:val="00B25D81"/>
    <w:rsid w:val="00B26086"/>
    <w:rsid w:val="00B26385"/>
    <w:rsid w:val="00B264F4"/>
    <w:rsid w:val="00B274A4"/>
    <w:rsid w:val="00B27788"/>
    <w:rsid w:val="00B278A9"/>
    <w:rsid w:val="00B27F4C"/>
    <w:rsid w:val="00B305F9"/>
    <w:rsid w:val="00B308B9"/>
    <w:rsid w:val="00B30CCC"/>
    <w:rsid w:val="00B30EAA"/>
    <w:rsid w:val="00B31224"/>
    <w:rsid w:val="00B328EE"/>
    <w:rsid w:val="00B3291E"/>
    <w:rsid w:val="00B32B56"/>
    <w:rsid w:val="00B334D9"/>
    <w:rsid w:val="00B33E09"/>
    <w:rsid w:val="00B33E3D"/>
    <w:rsid w:val="00B34E89"/>
    <w:rsid w:val="00B35326"/>
    <w:rsid w:val="00B36030"/>
    <w:rsid w:val="00B362BB"/>
    <w:rsid w:val="00B36511"/>
    <w:rsid w:val="00B366F3"/>
    <w:rsid w:val="00B371CC"/>
    <w:rsid w:val="00B37774"/>
    <w:rsid w:val="00B37B8E"/>
    <w:rsid w:val="00B40353"/>
    <w:rsid w:val="00B4038D"/>
    <w:rsid w:val="00B4099B"/>
    <w:rsid w:val="00B40BBC"/>
    <w:rsid w:val="00B40F10"/>
    <w:rsid w:val="00B40F79"/>
    <w:rsid w:val="00B415A5"/>
    <w:rsid w:val="00B41773"/>
    <w:rsid w:val="00B4227F"/>
    <w:rsid w:val="00B4309B"/>
    <w:rsid w:val="00B44722"/>
    <w:rsid w:val="00B44EBE"/>
    <w:rsid w:val="00B45193"/>
    <w:rsid w:val="00B451D8"/>
    <w:rsid w:val="00B457A1"/>
    <w:rsid w:val="00B45FBF"/>
    <w:rsid w:val="00B45FFD"/>
    <w:rsid w:val="00B46392"/>
    <w:rsid w:val="00B46672"/>
    <w:rsid w:val="00B469EC"/>
    <w:rsid w:val="00B46F23"/>
    <w:rsid w:val="00B47065"/>
    <w:rsid w:val="00B503C8"/>
    <w:rsid w:val="00B50E2E"/>
    <w:rsid w:val="00B51011"/>
    <w:rsid w:val="00B5156D"/>
    <w:rsid w:val="00B51661"/>
    <w:rsid w:val="00B5184D"/>
    <w:rsid w:val="00B529AC"/>
    <w:rsid w:val="00B529C8"/>
    <w:rsid w:val="00B52A99"/>
    <w:rsid w:val="00B52F3D"/>
    <w:rsid w:val="00B53229"/>
    <w:rsid w:val="00B5376B"/>
    <w:rsid w:val="00B53A94"/>
    <w:rsid w:val="00B5423E"/>
    <w:rsid w:val="00B54F19"/>
    <w:rsid w:val="00B555FF"/>
    <w:rsid w:val="00B558A9"/>
    <w:rsid w:val="00B55A77"/>
    <w:rsid w:val="00B55F39"/>
    <w:rsid w:val="00B565DC"/>
    <w:rsid w:val="00B566D6"/>
    <w:rsid w:val="00B57F75"/>
    <w:rsid w:val="00B6028F"/>
    <w:rsid w:val="00B60AE0"/>
    <w:rsid w:val="00B61DF1"/>
    <w:rsid w:val="00B61F1E"/>
    <w:rsid w:val="00B638F0"/>
    <w:rsid w:val="00B6443E"/>
    <w:rsid w:val="00B64F7E"/>
    <w:rsid w:val="00B656B8"/>
    <w:rsid w:val="00B65B91"/>
    <w:rsid w:val="00B65D5D"/>
    <w:rsid w:val="00B66214"/>
    <w:rsid w:val="00B6654F"/>
    <w:rsid w:val="00B66564"/>
    <w:rsid w:val="00B66765"/>
    <w:rsid w:val="00B66AB5"/>
    <w:rsid w:val="00B67573"/>
    <w:rsid w:val="00B67602"/>
    <w:rsid w:val="00B70020"/>
    <w:rsid w:val="00B701E1"/>
    <w:rsid w:val="00B704DA"/>
    <w:rsid w:val="00B70F95"/>
    <w:rsid w:val="00B711DE"/>
    <w:rsid w:val="00B71485"/>
    <w:rsid w:val="00B7187F"/>
    <w:rsid w:val="00B71B96"/>
    <w:rsid w:val="00B71F07"/>
    <w:rsid w:val="00B7209B"/>
    <w:rsid w:val="00B72CE3"/>
    <w:rsid w:val="00B72FE3"/>
    <w:rsid w:val="00B73DEA"/>
    <w:rsid w:val="00B74C34"/>
    <w:rsid w:val="00B75422"/>
    <w:rsid w:val="00B758C4"/>
    <w:rsid w:val="00B761A3"/>
    <w:rsid w:val="00B7627D"/>
    <w:rsid w:val="00B76805"/>
    <w:rsid w:val="00B76CF5"/>
    <w:rsid w:val="00B7735A"/>
    <w:rsid w:val="00B777A3"/>
    <w:rsid w:val="00B778E3"/>
    <w:rsid w:val="00B77F68"/>
    <w:rsid w:val="00B80DEC"/>
    <w:rsid w:val="00B810DE"/>
    <w:rsid w:val="00B817C0"/>
    <w:rsid w:val="00B81D03"/>
    <w:rsid w:val="00B8225C"/>
    <w:rsid w:val="00B829EE"/>
    <w:rsid w:val="00B82FF0"/>
    <w:rsid w:val="00B8334F"/>
    <w:rsid w:val="00B83DC1"/>
    <w:rsid w:val="00B83E71"/>
    <w:rsid w:val="00B84469"/>
    <w:rsid w:val="00B84557"/>
    <w:rsid w:val="00B84F0E"/>
    <w:rsid w:val="00B84FA0"/>
    <w:rsid w:val="00B85127"/>
    <w:rsid w:val="00B85139"/>
    <w:rsid w:val="00B85732"/>
    <w:rsid w:val="00B858E8"/>
    <w:rsid w:val="00B860C2"/>
    <w:rsid w:val="00B871E3"/>
    <w:rsid w:val="00B9007C"/>
    <w:rsid w:val="00B9041F"/>
    <w:rsid w:val="00B913EE"/>
    <w:rsid w:val="00B916A5"/>
    <w:rsid w:val="00B916F5"/>
    <w:rsid w:val="00B9195F"/>
    <w:rsid w:val="00B91BD5"/>
    <w:rsid w:val="00B9277A"/>
    <w:rsid w:val="00B92946"/>
    <w:rsid w:val="00B929FB"/>
    <w:rsid w:val="00B93780"/>
    <w:rsid w:val="00B93809"/>
    <w:rsid w:val="00B93AF9"/>
    <w:rsid w:val="00B9461D"/>
    <w:rsid w:val="00B95564"/>
    <w:rsid w:val="00B955A5"/>
    <w:rsid w:val="00B95907"/>
    <w:rsid w:val="00B95CE3"/>
    <w:rsid w:val="00B9610C"/>
    <w:rsid w:val="00B9665F"/>
    <w:rsid w:val="00B96671"/>
    <w:rsid w:val="00B968E5"/>
    <w:rsid w:val="00B96FEE"/>
    <w:rsid w:val="00B9705B"/>
    <w:rsid w:val="00BA0275"/>
    <w:rsid w:val="00BA0381"/>
    <w:rsid w:val="00BA03C0"/>
    <w:rsid w:val="00BA0404"/>
    <w:rsid w:val="00BA0774"/>
    <w:rsid w:val="00BA0A68"/>
    <w:rsid w:val="00BA0D91"/>
    <w:rsid w:val="00BA100D"/>
    <w:rsid w:val="00BA1451"/>
    <w:rsid w:val="00BA1583"/>
    <w:rsid w:val="00BA1AAE"/>
    <w:rsid w:val="00BA233C"/>
    <w:rsid w:val="00BA24D2"/>
    <w:rsid w:val="00BA28E9"/>
    <w:rsid w:val="00BA3141"/>
    <w:rsid w:val="00BA3509"/>
    <w:rsid w:val="00BA351C"/>
    <w:rsid w:val="00BA3C33"/>
    <w:rsid w:val="00BA4507"/>
    <w:rsid w:val="00BA4ED5"/>
    <w:rsid w:val="00BA5C6C"/>
    <w:rsid w:val="00BA5FC5"/>
    <w:rsid w:val="00BA63EA"/>
    <w:rsid w:val="00BA6DF3"/>
    <w:rsid w:val="00BA78B4"/>
    <w:rsid w:val="00BB08F6"/>
    <w:rsid w:val="00BB0B81"/>
    <w:rsid w:val="00BB0F36"/>
    <w:rsid w:val="00BB1257"/>
    <w:rsid w:val="00BB1D1F"/>
    <w:rsid w:val="00BB2819"/>
    <w:rsid w:val="00BB29EE"/>
    <w:rsid w:val="00BB2E09"/>
    <w:rsid w:val="00BB3535"/>
    <w:rsid w:val="00BB3C0B"/>
    <w:rsid w:val="00BB51E7"/>
    <w:rsid w:val="00BB541F"/>
    <w:rsid w:val="00BB6237"/>
    <w:rsid w:val="00BB6591"/>
    <w:rsid w:val="00BB6D81"/>
    <w:rsid w:val="00BB77BC"/>
    <w:rsid w:val="00BB789A"/>
    <w:rsid w:val="00BC0069"/>
    <w:rsid w:val="00BC1228"/>
    <w:rsid w:val="00BC12F3"/>
    <w:rsid w:val="00BC18C1"/>
    <w:rsid w:val="00BC1B49"/>
    <w:rsid w:val="00BC21B6"/>
    <w:rsid w:val="00BC21CE"/>
    <w:rsid w:val="00BC25A3"/>
    <w:rsid w:val="00BC2753"/>
    <w:rsid w:val="00BC2FBE"/>
    <w:rsid w:val="00BC3778"/>
    <w:rsid w:val="00BC3FF2"/>
    <w:rsid w:val="00BC468D"/>
    <w:rsid w:val="00BC48CB"/>
    <w:rsid w:val="00BC4FA5"/>
    <w:rsid w:val="00BC5ABA"/>
    <w:rsid w:val="00BC625E"/>
    <w:rsid w:val="00BC63F9"/>
    <w:rsid w:val="00BC736D"/>
    <w:rsid w:val="00BC73D3"/>
    <w:rsid w:val="00BC7AEE"/>
    <w:rsid w:val="00BD0D9D"/>
    <w:rsid w:val="00BD1FA3"/>
    <w:rsid w:val="00BD3462"/>
    <w:rsid w:val="00BD3605"/>
    <w:rsid w:val="00BD3B39"/>
    <w:rsid w:val="00BD3CED"/>
    <w:rsid w:val="00BD4070"/>
    <w:rsid w:val="00BD442D"/>
    <w:rsid w:val="00BD4AA3"/>
    <w:rsid w:val="00BD4AB7"/>
    <w:rsid w:val="00BD4FA1"/>
    <w:rsid w:val="00BD5DC0"/>
    <w:rsid w:val="00BD5FA2"/>
    <w:rsid w:val="00BD63AA"/>
    <w:rsid w:val="00BD68E7"/>
    <w:rsid w:val="00BD6B00"/>
    <w:rsid w:val="00BD7083"/>
    <w:rsid w:val="00BD7132"/>
    <w:rsid w:val="00BD76D7"/>
    <w:rsid w:val="00BD7B39"/>
    <w:rsid w:val="00BD7B97"/>
    <w:rsid w:val="00BE0015"/>
    <w:rsid w:val="00BE0137"/>
    <w:rsid w:val="00BE10CA"/>
    <w:rsid w:val="00BE18C3"/>
    <w:rsid w:val="00BE19F0"/>
    <w:rsid w:val="00BE1D95"/>
    <w:rsid w:val="00BE21E8"/>
    <w:rsid w:val="00BE3031"/>
    <w:rsid w:val="00BE3151"/>
    <w:rsid w:val="00BE36D2"/>
    <w:rsid w:val="00BE3745"/>
    <w:rsid w:val="00BE3942"/>
    <w:rsid w:val="00BE4086"/>
    <w:rsid w:val="00BE4D37"/>
    <w:rsid w:val="00BE4EE8"/>
    <w:rsid w:val="00BE5092"/>
    <w:rsid w:val="00BE54F8"/>
    <w:rsid w:val="00BE55DA"/>
    <w:rsid w:val="00BE5CAF"/>
    <w:rsid w:val="00BE62DF"/>
    <w:rsid w:val="00BE66F3"/>
    <w:rsid w:val="00BE67C3"/>
    <w:rsid w:val="00BE6921"/>
    <w:rsid w:val="00BE6ACF"/>
    <w:rsid w:val="00BE7213"/>
    <w:rsid w:val="00BF062C"/>
    <w:rsid w:val="00BF0AF4"/>
    <w:rsid w:val="00BF10FD"/>
    <w:rsid w:val="00BF1551"/>
    <w:rsid w:val="00BF20BD"/>
    <w:rsid w:val="00BF21A9"/>
    <w:rsid w:val="00BF25EC"/>
    <w:rsid w:val="00BF2E8C"/>
    <w:rsid w:val="00BF3916"/>
    <w:rsid w:val="00BF39E2"/>
    <w:rsid w:val="00BF42DB"/>
    <w:rsid w:val="00BF46A8"/>
    <w:rsid w:val="00BF54CC"/>
    <w:rsid w:val="00BF5889"/>
    <w:rsid w:val="00BF5E5D"/>
    <w:rsid w:val="00BF6292"/>
    <w:rsid w:val="00BF648E"/>
    <w:rsid w:val="00BF6500"/>
    <w:rsid w:val="00BF6B76"/>
    <w:rsid w:val="00BF708F"/>
    <w:rsid w:val="00BF7B89"/>
    <w:rsid w:val="00C00198"/>
    <w:rsid w:val="00C00CC3"/>
    <w:rsid w:val="00C0215D"/>
    <w:rsid w:val="00C02FDE"/>
    <w:rsid w:val="00C0310C"/>
    <w:rsid w:val="00C03AA2"/>
    <w:rsid w:val="00C040AF"/>
    <w:rsid w:val="00C04FE2"/>
    <w:rsid w:val="00C06155"/>
    <w:rsid w:val="00C0644B"/>
    <w:rsid w:val="00C065D6"/>
    <w:rsid w:val="00C06FFC"/>
    <w:rsid w:val="00C0729E"/>
    <w:rsid w:val="00C07DCC"/>
    <w:rsid w:val="00C100DE"/>
    <w:rsid w:val="00C113EF"/>
    <w:rsid w:val="00C11939"/>
    <w:rsid w:val="00C1204C"/>
    <w:rsid w:val="00C12B4E"/>
    <w:rsid w:val="00C131EE"/>
    <w:rsid w:val="00C13C78"/>
    <w:rsid w:val="00C1460C"/>
    <w:rsid w:val="00C1477A"/>
    <w:rsid w:val="00C14FD6"/>
    <w:rsid w:val="00C1554D"/>
    <w:rsid w:val="00C155F2"/>
    <w:rsid w:val="00C168FE"/>
    <w:rsid w:val="00C17292"/>
    <w:rsid w:val="00C17497"/>
    <w:rsid w:val="00C17D7B"/>
    <w:rsid w:val="00C2065C"/>
    <w:rsid w:val="00C206ED"/>
    <w:rsid w:val="00C20B75"/>
    <w:rsid w:val="00C20FE1"/>
    <w:rsid w:val="00C21880"/>
    <w:rsid w:val="00C22A03"/>
    <w:rsid w:val="00C22B3C"/>
    <w:rsid w:val="00C236AA"/>
    <w:rsid w:val="00C23E38"/>
    <w:rsid w:val="00C23FAB"/>
    <w:rsid w:val="00C24027"/>
    <w:rsid w:val="00C24673"/>
    <w:rsid w:val="00C24E60"/>
    <w:rsid w:val="00C24F2C"/>
    <w:rsid w:val="00C25362"/>
    <w:rsid w:val="00C25489"/>
    <w:rsid w:val="00C25954"/>
    <w:rsid w:val="00C25A7A"/>
    <w:rsid w:val="00C2631D"/>
    <w:rsid w:val="00C26CE5"/>
    <w:rsid w:val="00C26D11"/>
    <w:rsid w:val="00C27400"/>
    <w:rsid w:val="00C27761"/>
    <w:rsid w:val="00C27ADE"/>
    <w:rsid w:val="00C27B34"/>
    <w:rsid w:val="00C27C54"/>
    <w:rsid w:val="00C27C7C"/>
    <w:rsid w:val="00C304AA"/>
    <w:rsid w:val="00C30E96"/>
    <w:rsid w:val="00C31082"/>
    <w:rsid w:val="00C317D3"/>
    <w:rsid w:val="00C31D79"/>
    <w:rsid w:val="00C3203B"/>
    <w:rsid w:val="00C32373"/>
    <w:rsid w:val="00C32D0B"/>
    <w:rsid w:val="00C32D2B"/>
    <w:rsid w:val="00C32F1F"/>
    <w:rsid w:val="00C33755"/>
    <w:rsid w:val="00C3467E"/>
    <w:rsid w:val="00C34736"/>
    <w:rsid w:val="00C3509D"/>
    <w:rsid w:val="00C3562C"/>
    <w:rsid w:val="00C359BF"/>
    <w:rsid w:val="00C360B4"/>
    <w:rsid w:val="00C36B61"/>
    <w:rsid w:val="00C40152"/>
    <w:rsid w:val="00C4061C"/>
    <w:rsid w:val="00C412E0"/>
    <w:rsid w:val="00C41FBF"/>
    <w:rsid w:val="00C42B61"/>
    <w:rsid w:val="00C42EC4"/>
    <w:rsid w:val="00C438C2"/>
    <w:rsid w:val="00C43D27"/>
    <w:rsid w:val="00C4510C"/>
    <w:rsid w:val="00C45931"/>
    <w:rsid w:val="00C4661A"/>
    <w:rsid w:val="00C4691B"/>
    <w:rsid w:val="00C46ADA"/>
    <w:rsid w:val="00C4718A"/>
    <w:rsid w:val="00C47ECF"/>
    <w:rsid w:val="00C47F37"/>
    <w:rsid w:val="00C50405"/>
    <w:rsid w:val="00C50EEC"/>
    <w:rsid w:val="00C510AC"/>
    <w:rsid w:val="00C513F7"/>
    <w:rsid w:val="00C5173C"/>
    <w:rsid w:val="00C52E65"/>
    <w:rsid w:val="00C53B58"/>
    <w:rsid w:val="00C53BAC"/>
    <w:rsid w:val="00C53D1E"/>
    <w:rsid w:val="00C53D81"/>
    <w:rsid w:val="00C55CDE"/>
    <w:rsid w:val="00C55F64"/>
    <w:rsid w:val="00C56305"/>
    <w:rsid w:val="00C56722"/>
    <w:rsid w:val="00C56E99"/>
    <w:rsid w:val="00C57180"/>
    <w:rsid w:val="00C573B1"/>
    <w:rsid w:val="00C60D77"/>
    <w:rsid w:val="00C61056"/>
    <w:rsid w:val="00C61857"/>
    <w:rsid w:val="00C61919"/>
    <w:rsid w:val="00C61BF2"/>
    <w:rsid w:val="00C6346C"/>
    <w:rsid w:val="00C63FC7"/>
    <w:rsid w:val="00C653E5"/>
    <w:rsid w:val="00C658CE"/>
    <w:rsid w:val="00C66DEF"/>
    <w:rsid w:val="00C66FAB"/>
    <w:rsid w:val="00C6720E"/>
    <w:rsid w:val="00C6765C"/>
    <w:rsid w:val="00C6768B"/>
    <w:rsid w:val="00C67B38"/>
    <w:rsid w:val="00C67CB1"/>
    <w:rsid w:val="00C67EFA"/>
    <w:rsid w:val="00C7009E"/>
    <w:rsid w:val="00C70BAE"/>
    <w:rsid w:val="00C71386"/>
    <w:rsid w:val="00C71558"/>
    <w:rsid w:val="00C71B26"/>
    <w:rsid w:val="00C720BE"/>
    <w:rsid w:val="00C72A1C"/>
    <w:rsid w:val="00C72DDF"/>
    <w:rsid w:val="00C72F78"/>
    <w:rsid w:val="00C733AD"/>
    <w:rsid w:val="00C73ADE"/>
    <w:rsid w:val="00C74154"/>
    <w:rsid w:val="00C741C4"/>
    <w:rsid w:val="00C746D6"/>
    <w:rsid w:val="00C75052"/>
    <w:rsid w:val="00C755FC"/>
    <w:rsid w:val="00C75DC3"/>
    <w:rsid w:val="00C75E8B"/>
    <w:rsid w:val="00C76181"/>
    <w:rsid w:val="00C765D4"/>
    <w:rsid w:val="00C76667"/>
    <w:rsid w:val="00C76FD8"/>
    <w:rsid w:val="00C771E0"/>
    <w:rsid w:val="00C773AA"/>
    <w:rsid w:val="00C777FF"/>
    <w:rsid w:val="00C80AF7"/>
    <w:rsid w:val="00C8132E"/>
    <w:rsid w:val="00C8148E"/>
    <w:rsid w:val="00C814E2"/>
    <w:rsid w:val="00C81B67"/>
    <w:rsid w:val="00C82005"/>
    <w:rsid w:val="00C83103"/>
    <w:rsid w:val="00C83474"/>
    <w:rsid w:val="00C83A60"/>
    <w:rsid w:val="00C84317"/>
    <w:rsid w:val="00C8474A"/>
    <w:rsid w:val="00C84F11"/>
    <w:rsid w:val="00C851A6"/>
    <w:rsid w:val="00C85372"/>
    <w:rsid w:val="00C86533"/>
    <w:rsid w:val="00C86AE9"/>
    <w:rsid w:val="00C870E8"/>
    <w:rsid w:val="00C8720F"/>
    <w:rsid w:val="00C87B52"/>
    <w:rsid w:val="00C9049C"/>
    <w:rsid w:val="00C90EFC"/>
    <w:rsid w:val="00C91BE7"/>
    <w:rsid w:val="00C92144"/>
    <w:rsid w:val="00C921AA"/>
    <w:rsid w:val="00C926D4"/>
    <w:rsid w:val="00C93635"/>
    <w:rsid w:val="00C93724"/>
    <w:rsid w:val="00C938EE"/>
    <w:rsid w:val="00C93A0F"/>
    <w:rsid w:val="00C93A5A"/>
    <w:rsid w:val="00C940E3"/>
    <w:rsid w:val="00C94256"/>
    <w:rsid w:val="00C9425F"/>
    <w:rsid w:val="00C9460D"/>
    <w:rsid w:val="00C949A0"/>
    <w:rsid w:val="00C949B4"/>
    <w:rsid w:val="00C95082"/>
    <w:rsid w:val="00C95A1A"/>
    <w:rsid w:val="00C95B79"/>
    <w:rsid w:val="00C963A3"/>
    <w:rsid w:val="00C964AF"/>
    <w:rsid w:val="00C966FC"/>
    <w:rsid w:val="00C96A2D"/>
    <w:rsid w:val="00C96E61"/>
    <w:rsid w:val="00C96F01"/>
    <w:rsid w:val="00CA0041"/>
    <w:rsid w:val="00CA11FA"/>
    <w:rsid w:val="00CA1608"/>
    <w:rsid w:val="00CA1B32"/>
    <w:rsid w:val="00CA2934"/>
    <w:rsid w:val="00CA29B5"/>
    <w:rsid w:val="00CA2CF6"/>
    <w:rsid w:val="00CA2DB0"/>
    <w:rsid w:val="00CA35B7"/>
    <w:rsid w:val="00CA39F8"/>
    <w:rsid w:val="00CA4273"/>
    <w:rsid w:val="00CA42C1"/>
    <w:rsid w:val="00CA4DF1"/>
    <w:rsid w:val="00CA5211"/>
    <w:rsid w:val="00CA575D"/>
    <w:rsid w:val="00CA5E4D"/>
    <w:rsid w:val="00CA62F8"/>
    <w:rsid w:val="00CA66A0"/>
    <w:rsid w:val="00CA67BC"/>
    <w:rsid w:val="00CA67CB"/>
    <w:rsid w:val="00CA680A"/>
    <w:rsid w:val="00CA6A40"/>
    <w:rsid w:val="00CA6FAB"/>
    <w:rsid w:val="00CA7B9F"/>
    <w:rsid w:val="00CA7D42"/>
    <w:rsid w:val="00CB0A52"/>
    <w:rsid w:val="00CB1120"/>
    <w:rsid w:val="00CB1AB2"/>
    <w:rsid w:val="00CB1D83"/>
    <w:rsid w:val="00CB1EA9"/>
    <w:rsid w:val="00CB3D50"/>
    <w:rsid w:val="00CB48C3"/>
    <w:rsid w:val="00CB4D0C"/>
    <w:rsid w:val="00CB4D20"/>
    <w:rsid w:val="00CB6545"/>
    <w:rsid w:val="00CB67B6"/>
    <w:rsid w:val="00CB6D4A"/>
    <w:rsid w:val="00CB71E3"/>
    <w:rsid w:val="00CB7255"/>
    <w:rsid w:val="00CB73DD"/>
    <w:rsid w:val="00CB7ECD"/>
    <w:rsid w:val="00CC157F"/>
    <w:rsid w:val="00CC254A"/>
    <w:rsid w:val="00CC2759"/>
    <w:rsid w:val="00CC2D23"/>
    <w:rsid w:val="00CC2D70"/>
    <w:rsid w:val="00CC2D95"/>
    <w:rsid w:val="00CC390F"/>
    <w:rsid w:val="00CC452D"/>
    <w:rsid w:val="00CC49FF"/>
    <w:rsid w:val="00CC56BD"/>
    <w:rsid w:val="00CC6613"/>
    <w:rsid w:val="00CC67B8"/>
    <w:rsid w:val="00CC74C6"/>
    <w:rsid w:val="00CC750E"/>
    <w:rsid w:val="00CD0000"/>
    <w:rsid w:val="00CD01AE"/>
    <w:rsid w:val="00CD03BB"/>
    <w:rsid w:val="00CD0F27"/>
    <w:rsid w:val="00CD1085"/>
    <w:rsid w:val="00CD1C08"/>
    <w:rsid w:val="00CD30CE"/>
    <w:rsid w:val="00CD37AB"/>
    <w:rsid w:val="00CD3B19"/>
    <w:rsid w:val="00CD3F0D"/>
    <w:rsid w:val="00CD4136"/>
    <w:rsid w:val="00CD425A"/>
    <w:rsid w:val="00CD48F3"/>
    <w:rsid w:val="00CD4AA5"/>
    <w:rsid w:val="00CD67F9"/>
    <w:rsid w:val="00CD6BD4"/>
    <w:rsid w:val="00CD7143"/>
    <w:rsid w:val="00CD741D"/>
    <w:rsid w:val="00CD757F"/>
    <w:rsid w:val="00CD7D8F"/>
    <w:rsid w:val="00CE000A"/>
    <w:rsid w:val="00CE0181"/>
    <w:rsid w:val="00CE0DB9"/>
    <w:rsid w:val="00CE0DC0"/>
    <w:rsid w:val="00CE122E"/>
    <w:rsid w:val="00CE1268"/>
    <w:rsid w:val="00CE2154"/>
    <w:rsid w:val="00CE227E"/>
    <w:rsid w:val="00CE28AF"/>
    <w:rsid w:val="00CE2A7B"/>
    <w:rsid w:val="00CE3152"/>
    <w:rsid w:val="00CE372A"/>
    <w:rsid w:val="00CE44FA"/>
    <w:rsid w:val="00CE4D2E"/>
    <w:rsid w:val="00CE4FB5"/>
    <w:rsid w:val="00CE5DF4"/>
    <w:rsid w:val="00CE6E24"/>
    <w:rsid w:val="00CE7C01"/>
    <w:rsid w:val="00CE7C46"/>
    <w:rsid w:val="00CE7E52"/>
    <w:rsid w:val="00CF1495"/>
    <w:rsid w:val="00CF14AD"/>
    <w:rsid w:val="00CF2194"/>
    <w:rsid w:val="00CF2758"/>
    <w:rsid w:val="00CF2C0F"/>
    <w:rsid w:val="00CF2E9E"/>
    <w:rsid w:val="00CF3896"/>
    <w:rsid w:val="00CF4435"/>
    <w:rsid w:val="00CF4448"/>
    <w:rsid w:val="00CF5188"/>
    <w:rsid w:val="00CF5A60"/>
    <w:rsid w:val="00CF5DC6"/>
    <w:rsid w:val="00CF6116"/>
    <w:rsid w:val="00CF6993"/>
    <w:rsid w:val="00CF74E3"/>
    <w:rsid w:val="00CF7CEB"/>
    <w:rsid w:val="00D007A7"/>
    <w:rsid w:val="00D0080F"/>
    <w:rsid w:val="00D0087D"/>
    <w:rsid w:val="00D00E40"/>
    <w:rsid w:val="00D01134"/>
    <w:rsid w:val="00D0176E"/>
    <w:rsid w:val="00D01AD4"/>
    <w:rsid w:val="00D01AE5"/>
    <w:rsid w:val="00D01AF0"/>
    <w:rsid w:val="00D02123"/>
    <w:rsid w:val="00D023F9"/>
    <w:rsid w:val="00D02539"/>
    <w:rsid w:val="00D03151"/>
    <w:rsid w:val="00D04023"/>
    <w:rsid w:val="00D0407D"/>
    <w:rsid w:val="00D0559C"/>
    <w:rsid w:val="00D05C7F"/>
    <w:rsid w:val="00D0638F"/>
    <w:rsid w:val="00D06E95"/>
    <w:rsid w:val="00D07A24"/>
    <w:rsid w:val="00D10397"/>
    <w:rsid w:val="00D10CA0"/>
    <w:rsid w:val="00D11CDA"/>
    <w:rsid w:val="00D13A40"/>
    <w:rsid w:val="00D13B9D"/>
    <w:rsid w:val="00D14145"/>
    <w:rsid w:val="00D14ACB"/>
    <w:rsid w:val="00D14D80"/>
    <w:rsid w:val="00D1625B"/>
    <w:rsid w:val="00D16671"/>
    <w:rsid w:val="00D168A5"/>
    <w:rsid w:val="00D16D91"/>
    <w:rsid w:val="00D16F30"/>
    <w:rsid w:val="00D1706E"/>
    <w:rsid w:val="00D17169"/>
    <w:rsid w:val="00D17A1E"/>
    <w:rsid w:val="00D20331"/>
    <w:rsid w:val="00D20B88"/>
    <w:rsid w:val="00D213C8"/>
    <w:rsid w:val="00D21575"/>
    <w:rsid w:val="00D21704"/>
    <w:rsid w:val="00D21DBC"/>
    <w:rsid w:val="00D21FE4"/>
    <w:rsid w:val="00D22FC2"/>
    <w:rsid w:val="00D23398"/>
    <w:rsid w:val="00D24236"/>
    <w:rsid w:val="00D256B8"/>
    <w:rsid w:val="00D25DE0"/>
    <w:rsid w:val="00D27272"/>
    <w:rsid w:val="00D279D2"/>
    <w:rsid w:val="00D27FCF"/>
    <w:rsid w:val="00D30189"/>
    <w:rsid w:val="00D30EA4"/>
    <w:rsid w:val="00D30FD8"/>
    <w:rsid w:val="00D31D31"/>
    <w:rsid w:val="00D3243F"/>
    <w:rsid w:val="00D32597"/>
    <w:rsid w:val="00D329C3"/>
    <w:rsid w:val="00D32B67"/>
    <w:rsid w:val="00D32D6F"/>
    <w:rsid w:val="00D32F4A"/>
    <w:rsid w:val="00D331AA"/>
    <w:rsid w:val="00D33D0B"/>
    <w:rsid w:val="00D35059"/>
    <w:rsid w:val="00D3506C"/>
    <w:rsid w:val="00D352CE"/>
    <w:rsid w:val="00D354D5"/>
    <w:rsid w:val="00D35A0D"/>
    <w:rsid w:val="00D35ECD"/>
    <w:rsid w:val="00D36359"/>
    <w:rsid w:val="00D364A9"/>
    <w:rsid w:val="00D37119"/>
    <w:rsid w:val="00D37128"/>
    <w:rsid w:val="00D37228"/>
    <w:rsid w:val="00D37CED"/>
    <w:rsid w:val="00D37F8F"/>
    <w:rsid w:val="00D40767"/>
    <w:rsid w:val="00D40BD9"/>
    <w:rsid w:val="00D40E6C"/>
    <w:rsid w:val="00D41763"/>
    <w:rsid w:val="00D421DC"/>
    <w:rsid w:val="00D424FB"/>
    <w:rsid w:val="00D4306E"/>
    <w:rsid w:val="00D4334B"/>
    <w:rsid w:val="00D437EF"/>
    <w:rsid w:val="00D43A88"/>
    <w:rsid w:val="00D43C99"/>
    <w:rsid w:val="00D442E7"/>
    <w:rsid w:val="00D45422"/>
    <w:rsid w:val="00D4542A"/>
    <w:rsid w:val="00D45537"/>
    <w:rsid w:val="00D45AAE"/>
    <w:rsid w:val="00D46DCD"/>
    <w:rsid w:val="00D46E58"/>
    <w:rsid w:val="00D474BF"/>
    <w:rsid w:val="00D476A3"/>
    <w:rsid w:val="00D47B0F"/>
    <w:rsid w:val="00D47F75"/>
    <w:rsid w:val="00D510C3"/>
    <w:rsid w:val="00D51991"/>
    <w:rsid w:val="00D51D0A"/>
    <w:rsid w:val="00D51F52"/>
    <w:rsid w:val="00D522DB"/>
    <w:rsid w:val="00D5286E"/>
    <w:rsid w:val="00D52BCF"/>
    <w:rsid w:val="00D5327E"/>
    <w:rsid w:val="00D534A3"/>
    <w:rsid w:val="00D536D2"/>
    <w:rsid w:val="00D53DB5"/>
    <w:rsid w:val="00D54B10"/>
    <w:rsid w:val="00D54DE0"/>
    <w:rsid w:val="00D5526E"/>
    <w:rsid w:val="00D55454"/>
    <w:rsid w:val="00D5546B"/>
    <w:rsid w:val="00D55A96"/>
    <w:rsid w:val="00D55BD2"/>
    <w:rsid w:val="00D55CC4"/>
    <w:rsid w:val="00D55D7D"/>
    <w:rsid w:val="00D561A4"/>
    <w:rsid w:val="00D56D02"/>
    <w:rsid w:val="00D56D2F"/>
    <w:rsid w:val="00D56E5F"/>
    <w:rsid w:val="00D57524"/>
    <w:rsid w:val="00D60168"/>
    <w:rsid w:val="00D60772"/>
    <w:rsid w:val="00D60A59"/>
    <w:rsid w:val="00D60D50"/>
    <w:rsid w:val="00D60D94"/>
    <w:rsid w:val="00D6280E"/>
    <w:rsid w:val="00D62B4C"/>
    <w:rsid w:val="00D62E40"/>
    <w:rsid w:val="00D636DA"/>
    <w:rsid w:val="00D63A76"/>
    <w:rsid w:val="00D63AAB"/>
    <w:rsid w:val="00D63BCF"/>
    <w:rsid w:val="00D63F1D"/>
    <w:rsid w:val="00D642D5"/>
    <w:rsid w:val="00D649B6"/>
    <w:rsid w:val="00D64D55"/>
    <w:rsid w:val="00D64E38"/>
    <w:rsid w:val="00D65552"/>
    <w:rsid w:val="00D663B4"/>
    <w:rsid w:val="00D66CC9"/>
    <w:rsid w:val="00D66D67"/>
    <w:rsid w:val="00D67310"/>
    <w:rsid w:val="00D676FB"/>
    <w:rsid w:val="00D677A2"/>
    <w:rsid w:val="00D67E73"/>
    <w:rsid w:val="00D7005E"/>
    <w:rsid w:val="00D707FD"/>
    <w:rsid w:val="00D725B0"/>
    <w:rsid w:val="00D73252"/>
    <w:rsid w:val="00D73423"/>
    <w:rsid w:val="00D738AF"/>
    <w:rsid w:val="00D73CBA"/>
    <w:rsid w:val="00D74AF4"/>
    <w:rsid w:val="00D753C8"/>
    <w:rsid w:val="00D753DD"/>
    <w:rsid w:val="00D7615A"/>
    <w:rsid w:val="00D76682"/>
    <w:rsid w:val="00D76B16"/>
    <w:rsid w:val="00D76E0D"/>
    <w:rsid w:val="00D778F2"/>
    <w:rsid w:val="00D77AE7"/>
    <w:rsid w:val="00D77B19"/>
    <w:rsid w:val="00D77FEB"/>
    <w:rsid w:val="00D800DA"/>
    <w:rsid w:val="00D801C1"/>
    <w:rsid w:val="00D809A1"/>
    <w:rsid w:val="00D80B08"/>
    <w:rsid w:val="00D80B8F"/>
    <w:rsid w:val="00D80C57"/>
    <w:rsid w:val="00D823CF"/>
    <w:rsid w:val="00D82934"/>
    <w:rsid w:val="00D838ED"/>
    <w:rsid w:val="00D84C44"/>
    <w:rsid w:val="00D8591D"/>
    <w:rsid w:val="00D85E6D"/>
    <w:rsid w:val="00D860B0"/>
    <w:rsid w:val="00D861A5"/>
    <w:rsid w:val="00D86C3E"/>
    <w:rsid w:val="00D87FFD"/>
    <w:rsid w:val="00D90111"/>
    <w:rsid w:val="00D91033"/>
    <w:rsid w:val="00D91342"/>
    <w:rsid w:val="00D91549"/>
    <w:rsid w:val="00D928C3"/>
    <w:rsid w:val="00D935CA"/>
    <w:rsid w:val="00D94660"/>
    <w:rsid w:val="00D94882"/>
    <w:rsid w:val="00D94A82"/>
    <w:rsid w:val="00D94B34"/>
    <w:rsid w:val="00D94DCC"/>
    <w:rsid w:val="00D95276"/>
    <w:rsid w:val="00D9585E"/>
    <w:rsid w:val="00D95EE9"/>
    <w:rsid w:val="00D96A22"/>
    <w:rsid w:val="00D96B5B"/>
    <w:rsid w:val="00D96BC4"/>
    <w:rsid w:val="00D9731D"/>
    <w:rsid w:val="00D9740A"/>
    <w:rsid w:val="00DA1421"/>
    <w:rsid w:val="00DA16EF"/>
    <w:rsid w:val="00DA1854"/>
    <w:rsid w:val="00DA2262"/>
    <w:rsid w:val="00DA23EA"/>
    <w:rsid w:val="00DA3D00"/>
    <w:rsid w:val="00DA4694"/>
    <w:rsid w:val="00DA4D0A"/>
    <w:rsid w:val="00DA5002"/>
    <w:rsid w:val="00DA5BA8"/>
    <w:rsid w:val="00DA620A"/>
    <w:rsid w:val="00DA6E61"/>
    <w:rsid w:val="00DA6F67"/>
    <w:rsid w:val="00DA73DB"/>
    <w:rsid w:val="00DB06C3"/>
    <w:rsid w:val="00DB0B0B"/>
    <w:rsid w:val="00DB0F2F"/>
    <w:rsid w:val="00DB1359"/>
    <w:rsid w:val="00DB17EC"/>
    <w:rsid w:val="00DB19C8"/>
    <w:rsid w:val="00DB256E"/>
    <w:rsid w:val="00DB2E64"/>
    <w:rsid w:val="00DB3136"/>
    <w:rsid w:val="00DB37F0"/>
    <w:rsid w:val="00DB3E14"/>
    <w:rsid w:val="00DB42C1"/>
    <w:rsid w:val="00DB4310"/>
    <w:rsid w:val="00DB4522"/>
    <w:rsid w:val="00DB556D"/>
    <w:rsid w:val="00DB64C6"/>
    <w:rsid w:val="00DB744A"/>
    <w:rsid w:val="00DB74DE"/>
    <w:rsid w:val="00DB7526"/>
    <w:rsid w:val="00DB7CD3"/>
    <w:rsid w:val="00DC061D"/>
    <w:rsid w:val="00DC0F9D"/>
    <w:rsid w:val="00DC170F"/>
    <w:rsid w:val="00DC1915"/>
    <w:rsid w:val="00DC1B5F"/>
    <w:rsid w:val="00DC3585"/>
    <w:rsid w:val="00DC36C2"/>
    <w:rsid w:val="00DC3935"/>
    <w:rsid w:val="00DC3A22"/>
    <w:rsid w:val="00DC3EBB"/>
    <w:rsid w:val="00DC45BA"/>
    <w:rsid w:val="00DC4719"/>
    <w:rsid w:val="00DC477A"/>
    <w:rsid w:val="00DC48C1"/>
    <w:rsid w:val="00DC54CF"/>
    <w:rsid w:val="00DC5F31"/>
    <w:rsid w:val="00DC6441"/>
    <w:rsid w:val="00DC6B7D"/>
    <w:rsid w:val="00DC6F25"/>
    <w:rsid w:val="00DC712B"/>
    <w:rsid w:val="00DC713D"/>
    <w:rsid w:val="00DC7431"/>
    <w:rsid w:val="00DC7487"/>
    <w:rsid w:val="00DC7538"/>
    <w:rsid w:val="00DC7AF8"/>
    <w:rsid w:val="00DC7E62"/>
    <w:rsid w:val="00DD04CC"/>
    <w:rsid w:val="00DD11F0"/>
    <w:rsid w:val="00DD13E5"/>
    <w:rsid w:val="00DD1D66"/>
    <w:rsid w:val="00DD2712"/>
    <w:rsid w:val="00DD2AD7"/>
    <w:rsid w:val="00DD3641"/>
    <w:rsid w:val="00DD37F3"/>
    <w:rsid w:val="00DD3986"/>
    <w:rsid w:val="00DD3B02"/>
    <w:rsid w:val="00DD3F28"/>
    <w:rsid w:val="00DD4A57"/>
    <w:rsid w:val="00DD4B07"/>
    <w:rsid w:val="00DD5BD3"/>
    <w:rsid w:val="00DD68A4"/>
    <w:rsid w:val="00DD7759"/>
    <w:rsid w:val="00DE0698"/>
    <w:rsid w:val="00DE0C7E"/>
    <w:rsid w:val="00DE1191"/>
    <w:rsid w:val="00DE232E"/>
    <w:rsid w:val="00DE2848"/>
    <w:rsid w:val="00DE2FF9"/>
    <w:rsid w:val="00DE3658"/>
    <w:rsid w:val="00DE43EF"/>
    <w:rsid w:val="00DE4813"/>
    <w:rsid w:val="00DE4F78"/>
    <w:rsid w:val="00DE59F5"/>
    <w:rsid w:val="00DE604D"/>
    <w:rsid w:val="00DE646A"/>
    <w:rsid w:val="00DE6724"/>
    <w:rsid w:val="00DE67C0"/>
    <w:rsid w:val="00DE6A77"/>
    <w:rsid w:val="00DE6F54"/>
    <w:rsid w:val="00DE7FDC"/>
    <w:rsid w:val="00DF0870"/>
    <w:rsid w:val="00DF097E"/>
    <w:rsid w:val="00DF09CC"/>
    <w:rsid w:val="00DF178A"/>
    <w:rsid w:val="00DF1EC1"/>
    <w:rsid w:val="00DF201C"/>
    <w:rsid w:val="00DF2E3B"/>
    <w:rsid w:val="00DF385F"/>
    <w:rsid w:val="00DF393F"/>
    <w:rsid w:val="00DF4051"/>
    <w:rsid w:val="00DF417D"/>
    <w:rsid w:val="00DF42B8"/>
    <w:rsid w:val="00DF4DB0"/>
    <w:rsid w:val="00DF5BB2"/>
    <w:rsid w:val="00DF6768"/>
    <w:rsid w:val="00DF6DCF"/>
    <w:rsid w:val="00DF7046"/>
    <w:rsid w:val="00DF78E5"/>
    <w:rsid w:val="00E005C6"/>
    <w:rsid w:val="00E00BC4"/>
    <w:rsid w:val="00E01073"/>
    <w:rsid w:val="00E0139F"/>
    <w:rsid w:val="00E01684"/>
    <w:rsid w:val="00E01CDC"/>
    <w:rsid w:val="00E020CB"/>
    <w:rsid w:val="00E02C32"/>
    <w:rsid w:val="00E02E6E"/>
    <w:rsid w:val="00E03AFB"/>
    <w:rsid w:val="00E03C4A"/>
    <w:rsid w:val="00E0414A"/>
    <w:rsid w:val="00E048D6"/>
    <w:rsid w:val="00E04B2B"/>
    <w:rsid w:val="00E0647F"/>
    <w:rsid w:val="00E06937"/>
    <w:rsid w:val="00E069DA"/>
    <w:rsid w:val="00E06BFF"/>
    <w:rsid w:val="00E0743C"/>
    <w:rsid w:val="00E07982"/>
    <w:rsid w:val="00E07D5C"/>
    <w:rsid w:val="00E07E9C"/>
    <w:rsid w:val="00E101AE"/>
    <w:rsid w:val="00E1078B"/>
    <w:rsid w:val="00E107A0"/>
    <w:rsid w:val="00E10A55"/>
    <w:rsid w:val="00E10FF6"/>
    <w:rsid w:val="00E1164E"/>
    <w:rsid w:val="00E1187F"/>
    <w:rsid w:val="00E11C2C"/>
    <w:rsid w:val="00E1219E"/>
    <w:rsid w:val="00E122B9"/>
    <w:rsid w:val="00E12BCA"/>
    <w:rsid w:val="00E12FA3"/>
    <w:rsid w:val="00E1306E"/>
    <w:rsid w:val="00E13874"/>
    <w:rsid w:val="00E13E84"/>
    <w:rsid w:val="00E145A9"/>
    <w:rsid w:val="00E1492E"/>
    <w:rsid w:val="00E14CE0"/>
    <w:rsid w:val="00E1521D"/>
    <w:rsid w:val="00E15638"/>
    <w:rsid w:val="00E160E9"/>
    <w:rsid w:val="00E1669F"/>
    <w:rsid w:val="00E16974"/>
    <w:rsid w:val="00E16EB8"/>
    <w:rsid w:val="00E177A1"/>
    <w:rsid w:val="00E17803"/>
    <w:rsid w:val="00E204B7"/>
    <w:rsid w:val="00E208BD"/>
    <w:rsid w:val="00E20C8F"/>
    <w:rsid w:val="00E210E0"/>
    <w:rsid w:val="00E21397"/>
    <w:rsid w:val="00E216C5"/>
    <w:rsid w:val="00E218C3"/>
    <w:rsid w:val="00E21B80"/>
    <w:rsid w:val="00E224FF"/>
    <w:rsid w:val="00E225D7"/>
    <w:rsid w:val="00E22B1C"/>
    <w:rsid w:val="00E22B4E"/>
    <w:rsid w:val="00E22CDE"/>
    <w:rsid w:val="00E22E1B"/>
    <w:rsid w:val="00E2309F"/>
    <w:rsid w:val="00E231A8"/>
    <w:rsid w:val="00E23BF8"/>
    <w:rsid w:val="00E2422A"/>
    <w:rsid w:val="00E245A9"/>
    <w:rsid w:val="00E24D83"/>
    <w:rsid w:val="00E24EEB"/>
    <w:rsid w:val="00E253F4"/>
    <w:rsid w:val="00E25462"/>
    <w:rsid w:val="00E255C0"/>
    <w:rsid w:val="00E25694"/>
    <w:rsid w:val="00E25D85"/>
    <w:rsid w:val="00E269DE"/>
    <w:rsid w:val="00E26A8B"/>
    <w:rsid w:val="00E26E81"/>
    <w:rsid w:val="00E27ADE"/>
    <w:rsid w:val="00E27FC4"/>
    <w:rsid w:val="00E30260"/>
    <w:rsid w:val="00E306AE"/>
    <w:rsid w:val="00E30BE9"/>
    <w:rsid w:val="00E310D7"/>
    <w:rsid w:val="00E31855"/>
    <w:rsid w:val="00E318B9"/>
    <w:rsid w:val="00E32C58"/>
    <w:rsid w:val="00E3349B"/>
    <w:rsid w:val="00E33750"/>
    <w:rsid w:val="00E33EDE"/>
    <w:rsid w:val="00E34FA7"/>
    <w:rsid w:val="00E3522C"/>
    <w:rsid w:val="00E3530E"/>
    <w:rsid w:val="00E3589A"/>
    <w:rsid w:val="00E35D9A"/>
    <w:rsid w:val="00E364B8"/>
    <w:rsid w:val="00E3654F"/>
    <w:rsid w:val="00E36CB1"/>
    <w:rsid w:val="00E37488"/>
    <w:rsid w:val="00E37D42"/>
    <w:rsid w:val="00E4063D"/>
    <w:rsid w:val="00E40D8E"/>
    <w:rsid w:val="00E415F8"/>
    <w:rsid w:val="00E41D9F"/>
    <w:rsid w:val="00E422F1"/>
    <w:rsid w:val="00E4237D"/>
    <w:rsid w:val="00E423F1"/>
    <w:rsid w:val="00E4286E"/>
    <w:rsid w:val="00E43014"/>
    <w:rsid w:val="00E4371E"/>
    <w:rsid w:val="00E43B07"/>
    <w:rsid w:val="00E44593"/>
    <w:rsid w:val="00E44B2F"/>
    <w:rsid w:val="00E454A8"/>
    <w:rsid w:val="00E45520"/>
    <w:rsid w:val="00E47CB5"/>
    <w:rsid w:val="00E47EB4"/>
    <w:rsid w:val="00E5033A"/>
    <w:rsid w:val="00E504D6"/>
    <w:rsid w:val="00E507D5"/>
    <w:rsid w:val="00E50879"/>
    <w:rsid w:val="00E51127"/>
    <w:rsid w:val="00E519D6"/>
    <w:rsid w:val="00E52074"/>
    <w:rsid w:val="00E521F6"/>
    <w:rsid w:val="00E5239F"/>
    <w:rsid w:val="00E52643"/>
    <w:rsid w:val="00E53918"/>
    <w:rsid w:val="00E5400D"/>
    <w:rsid w:val="00E54F60"/>
    <w:rsid w:val="00E55CF4"/>
    <w:rsid w:val="00E5611C"/>
    <w:rsid w:val="00E564D6"/>
    <w:rsid w:val="00E573C5"/>
    <w:rsid w:val="00E574BA"/>
    <w:rsid w:val="00E601A4"/>
    <w:rsid w:val="00E6141A"/>
    <w:rsid w:val="00E61901"/>
    <w:rsid w:val="00E64216"/>
    <w:rsid w:val="00E64E3C"/>
    <w:rsid w:val="00E6646A"/>
    <w:rsid w:val="00E66669"/>
    <w:rsid w:val="00E66B8E"/>
    <w:rsid w:val="00E67248"/>
    <w:rsid w:val="00E6735C"/>
    <w:rsid w:val="00E67DCA"/>
    <w:rsid w:val="00E7029C"/>
    <w:rsid w:val="00E708C3"/>
    <w:rsid w:val="00E70D2E"/>
    <w:rsid w:val="00E70D8E"/>
    <w:rsid w:val="00E70E39"/>
    <w:rsid w:val="00E71162"/>
    <w:rsid w:val="00E71A92"/>
    <w:rsid w:val="00E721C1"/>
    <w:rsid w:val="00E72574"/>
    <w:rsid w:val="00E72EF7"/>
    <w:rsid w:val="00E739A5"/>
    <w:rsid w:val="00E74DBE"/>
    <w:rsid w:val="00E75185"/>
    <w:rsid w:val="00E754B6"/>
    <w:rsid w:val="00E756E7"/>
    <w:rsid w:val="00E76229"/>
    <w:rsid w:val="00E768E9"/>
    <w:rsid w:val="00E77C27"/>
    <w:rsid w:val="00E77D7E"/>
    <w:rsid w:val="00E8046B"/>
    <w:rsid w:val="00E80511"/>
    <w:rsid w:val="00E80A11"/>
    <w:rsid w:val="00E8130C"/>
    <w:rsid w:val="00E8137D"/>
    <w:rsid w:val="00E81735"/>
    <w:rsid w:val="00E81D1B"/>
    <w:rsid w:val="00E820D8"/>
    <w:rsid w:val="00E824BA"/>
    <w:rsid w:val="00E82A5E"/>
    <w:rsid w:val="00E82C61"/>
    <w:rsid w:val="00E830AE"/>
    <w:rsid w:val="00E830C8"/>
    <w:rsid w:val="00E8393E"/>
    <w:rsid w:val="00E83C8C"/>
    <w:rsid w:val="00E83F73"/>
    <w:rsid w:val="00E8422E"/>
    <w:rsid w:val="00E84931"/>
    <w:rsid w:val="00E84BEE"/>
    <w:rsid w:val="00E85AC1"/>
    <w:rsid w:val="00E85E3E"/>
    <w:rsid w:val="00E863F2"/>
    <w:rsid w:val="00E8642E"/>
    <w:rsid w:val="00E86BD3"/>
    <w:rsid w:val="00E8706F"/>
    <w:rsid w:val="00E9003F"/>
    <w:rsid w:val="00E9050F"/>
    <w:rsid w:val="00E90E34"/>
    <w:rsid w:val="00E91280"/>
    <w:rsid w:val="00E91624"/>
    <w:rsid w:val="00E9190C"/>
    <w:rsid w:val="00E9282F"/>
    <w:rsid w:val="00E92B87"/>
    <w:rsid w:val="00E934A6"/>
    <w:rsid w:val="00E937D4"/>
    <w:rsid w:val="00E93905"/>
    <w:rsid w:val="00E93B3A"/>
    <w:rsid w:val="00E94800"/>
    <w:rsid w:val="00E95179"/>
    <w:rsid w:val="00E959E0"/>
    <w:rsid w:val="00E96737"/>
    <w:rsid w:val="00E96B4C"/>
    <w:rsid w:val="00E96D42"/>
    <w:rsid w:val="00E977F5"/>
    <w:rsid w:val="00E97DBB"/>
    <w:rsid w:val="00EA0204"/>
    <w:rsid w:val="00EA0441"/>
    <w:rsid w:val="00EA07AA"/>
    <w:rsid w:val="00EA09C6"/>
    <w:rsid w:val="00EA0D25"/>
    <w:rsid w:val="00EA0EA0"/>
    <w:rsid w:val="00EA12F7"/>
    <w:rsid w:val="00EA13F1"/>
    <w:rsid w:val="00EA1F4B"/>
    <w:rsid w:val="00EA21DA"/>
    <w:rsid w:val="00EA2A3F"/>
    <w:rsid w:val="00EA2CD2"/>
    <w:rsid w:val="00EA388D"/>
    <w:rsid w:val="00EA3E9B"/>
    <w:rsid w:val="00EA448E"/>
    <w:rsid w:val="00EA47B5"/>
    <w:rsid w:val="00EA4E47"/>
    <w:rsid w:val="00EA52AD"/>
    <w:rsid w:val="00EA5ED2"/>
    <w:rsid w:val="00EA67D5"/>
    <w:rsid w:val="00EA6E00"/>
    <w:rsid w:val="00EB16AC"/>
    <w:rsid w:val="00EB1D9E"/>
    <w:rsid w:val="00EB335A"/>
    <w:rsid w:val="00EB37E9"/>
    <w:rsid w:val="00EB3C15"/>
    <w:rsid w:val="00EB3E0C"/>
    <w:rsid w:val="00EB4BA5"/>
    <w:rsid w:val="00EB4FE8"/>
    <w:rsid w:val="00EB60D7"/>
    <w:rsid w:val="00EB6550"/>
    <w:rsid w:val="00EB70DC"/>
    <w:rsid w:val="00EB76A2"/>
    <w:rsid w:val="00EC02F5"/>
    <w:rsid w:val="00EC10A0"/>
    <w:rsid w:val="00EC13E7"/>
    <w:rsid w:val="00EC14A6"/>
    <w:rsid w:val="00EC231D"/>
    <w:rsid w:val="00EC2797"/>
    <w:rsid w:val="00EC369A"/>
    <w:rsid w:val="00EC4E20"/>
    <w:rsid w:val="00EC5A3D"/>
    <w:rsid w:val="00EC714D"/>
    <w:rsid w:val="00EC7671"/>
    <w:rsid w:val="00EC79D3"/>
    <w:rsid w:val="00ED0390"/>
    <w:rsid w:val="00ED0E74"/>
    <w:rsid w:val="00ED1130"/>
    <w:rsid w:val="00ED118B"/>
    <w:rsid w:val="00ED197A"/>
    <w:rsid w:val="00ED1E12"/>
    <w:rsid w:val="00ED28FF"/>
    <w:rsid w:val="00ED30E0"/>
    <w:rsid w:val="00ED465E"/>
    <w:rsid w:val="00ED5922"/>
    <w:rsid w:val="00ED62D7"/>
    <w:rsid w:val="00ED6413"/>
    <w:rsid w:val="00ED679F"/>
    <w:rsid w:val="00ED691F"/>
    <w:rsid w:val="00ED7171"/>
    <w:rsid w:val="00ED7424"/>
    <w:rsid w:val="00ED7C4B"/>
    <w:rsid w:val="00EE0B88"/>
    <w:rsid w:val="00EE0DC4"/>
    <w:rsid w:val="00EE1DFD"/>
    <w:rsid w:val="00EE2F46"/>
    <w:rsid w:val="00EE379A"/>
    <w:rsid w:val="00EE3E21"/>
    <w:rsid w:val="00EE5C97"/>
    <w:rsid w:val="00EE6DFD"/>
    <w:rsid w:val="00EE72AB"/>
    <w:rsid w:val="00EE74FC"/>
    <w:rsid w:val="00EE782E"/>
    <w:rsid w:val="00EF0088"/>
    <w:rsid w:val="00EF08A1"/>
    <w:rsid w:val="00EF10C6"/>
    <w:rsid w:val="00EF1287"/>
    <w:rsid w:val="00EF1454"/>
    <w:rsid w:val="00EF1577"/>
    <w:rsid w:val="00EF1731"/>
    <w:rsid w:val="00EF17B6"/>
    <w:rsid w:val="00EF1B91"/>
    <w:rsid w:val="00EF213C"/>
    <w:rsid w:val="00EF2344"/>
    <w:rsid w:val="00EF2679"/>
    <w:rsid w:val="00EF3A3C"/>
    <w:rsid w:val="00EF4019"/>
    <w:rsid w:val="00EF450B"/>
    <w:rsid w:val="00EF48B8"/>
    <w:rsid w:val="00EF4E43"/>
    <w:rsid w:val="00EF578B"/>
    <w:rsid w:val="00EF66C8"/>
    <w:rsid w:val="00EF66D1"/>
    <w:rsid w:val="00EF68A7"/>
    <w:rsid w:val="00F016C7"/>
    <w:rsid w:val="00F01A93"/>
    <w:rsid w:val="00F0244E"/>
    <w:rsid w:val="00F027FC"/>
    <w:rsid w:val="00F02886"/>
    <w:rsid w:val="00F02C54"/>
    <w:rsid w:val="00F02E19"/>
    <w:rsid w:val="00F03202"/>
    <w:rsid w:val="00F0337B"/>
    <w:rsid w:val="00F03947"/>
    <w:rsid w:val="00F0416E"/>
    <w:rsid w:val="00F04C82"/>
    <w:rsid w:val="00F055A1"/>
    <w:rsid w:val="00F0563A"/>
    <w:rsid w:val="00F06696"/>
    <w:rsid w:val="00F06940"/>
    <w:rsid w:val="00F0696C"/>
    <w:rsid w:val="00F07110"/>
    <w:rsid w:val="00F0736A"/>
    <w:rsid w:val="00F10278"/>
    <w:rsid w:val="00F12025"/>
    <w:rsid w:val="00F12E07"/>
    <w:rsid w:val="00F13580"/>
    <w:rsid w:val="00F13747"/>
    <w:rsid w:val="00F14622"/>
    <w:rsid w:val="00F15A31"/>
    <w:rsid w:val="00F166DD"/>
    <w:rsid w:val="00F16820"/>
    <w:rsid w:val="00F17AA9"/>
    <w:rsid w:val="00F20D01"/>
    <w:rsid w:val="00F21400"/>
    <w:rsid w:val="00F217ED"/>
    <w:rsid w:val="00F21A1A"/>
    <w:rsid w:val="00F21E15"/>
    <w:rsid w:val="00F22C88"/>
    <w:rsid w:val="00F239C6"/>
    <w:rsid w:val="00F23E3B"/>
    <w:rsid w:val="00F23F0C"/>
    <w:rsid w:val="00F23F7C"/>
    <w:rsid w:val="00F2437B"/>
    <w:rsid w:val="00F24B79"/>
    <w:rsid w:val="00F25410"/>
    <w:rsid w:val="00F255F1"/>
    <w:rsid w:val="00F259D5"/>
    <w:rsid w:val="00F259E1"/>
    <w:rsid w:val="00F25A55"/>
    <w:rsid w:val="00F26245"/>
    <w:rsid w:val="00F26FA1"/>
    <w:rsid w:val="00F26FEC"/>
    <w:rsid w:val="00F27001"/>
    <w:rsid w:val="00F2746E"/>
    <w:rsid w:val="00F27CF5"/>
    <w:rsid w:val="00F30810"/>
    <w:rsid w:val="00F31393"/>
    <w:rsid w:val="00F3139D"/>
    <w:rsid w:val="00F3146F"/>
    <w:rsid w:val="00F317DF"/>
    <w:rsid w:val="00F318B1"/>
    <w:rsid w:val="00F31A1A"/>
    <w:rsid w:val="00F31DF3"/>
    <w:rsid w:val="00F31EDA"/>
    <w:rsid w:val="00F323FF"/>
    <w:rsid w:val="00F329B0"/>
    <w:rsid w:val="00F33267"/>
    <w:rsid w:val="00F33401"/>
    <w:rsid w:val="00F33527"/>
    <w:rsid w:val="00F3382C"/>
    <w:rsid w:val="00F3396C"/>
    <w:rsid w:val="00F33B4B"/>
    <w:rsid w:val="00F341A2"/>
    <w:rsid w:val="00F34280"/>
    <w:rsid w:val="00F361F3"/>
    <w:rsid w:val="00F36F6A"/>
    <w:rsid w:val="00F36F9D"/>
    <w:rsid w:val="00F379CD"/>
    <w:rsid w:val="00F40AB6"/>
    <w:rsid w:val="00F41336"/>
    <w:rsid w:val="00F420E4"/>
    <w:rsid w:val="00F42CAA"/>
    <w:rsid w:val="00F42F03"/>
    <w:rsid w:val="00F430D6"/>
    <w:rsid w:val="00F4370D"/>
    <w:rsid w:val="00F43E76"/>
    <w:rsid w:val="00F44CE6"/>
    <w:rsid w:val="00F4513F"/>
    <w:rsid w:val="00F45743"/>
    <w:rsid w:val="00F46A12"/>
    <w:rsid w:val="00F506CD"/>
    <w:rsid w:val="00F5143E"/>
    <w:rsid w:val="00F51AB8"/>
    <w:rsid w:val="00F51C74"/>
    <w:rsid w:val="00F52AFE"/>
    <w:rsid w:val="00F540B8"/>
    <w:rsid w:val="00F54647"/>
    <w:rsid w:val="00F55687"/>
    <w:rsid w:val="00F55E6E"/>
    <w:rsid w:val="00F57BA9"/>
    <w:rsid w:val="00F60507"/>
    <w:rsid w:val="00F6092D"/>
    <w:rsid w:val="00F61DCC"/>
    <w:rsid w:val="00F61F86"/>
    <w:rsid w:val="00F62104"/>
    <w:rsid w:val="00F62ACC"/>
    <w:rsid w:val="00F63367"/>
    <w:rsid w:val="00F63841"/>
    <w:rsid w:val="00F640C5"/>
    <w:rsid w:val="00F6442D"/>
    <w:rsid w:val="00F644C9"/>
    <w:rsid w:val="00F6568F"/>
    <w:rsid w:val="00F6605A"/>
    <w:rsid w:val="00F666FD"/>
    <w:rsid w:val="00F66EDD"/>
    <w:rsid w:val="00F675AB"/>
    <w:rsid w:val="00F7003C"/>
    <w:rsid w:val="00F70673"/>
    <w:rsid w:val="00F70723"/>
    <w:rsid w:val="00F7097D"/>
    <w:rsid w:val="00F71608"/>
    <w:rsid w:val="00F7171F"/>
    <w:rsid w:val="00F71948"/>
    <w:rsid w:val="00F7195A"/>
    <w:rsid w:val="00F725AA"/>
    <w:rsid w:val="00F72885"/>
    <w:rsid w:val="00F7353A"/>
    <w:rsid w:val="00F741DD"/>
    <w:rsid w:val="00F74AD7"/>
    <w:rsid w:val="00F750C7"/>
    <w:rsid w:val="00F7514B"/>
    <w:rsid w:val="00F75986"/>
    <w:rsid w:val="00F763C9"/>
    <w:rsid w:val="00F764BA"/>
    <w:rsid w:val="00F76A66"/>
    <w:rsid w:val="00F76E2A"/>
    <w:rsid w:val="00F77200"/>
    <w:rsid w:val="00F77624"/>
    <w:rsid w:val="00F77D9C"/>
    <w:rsid w:val="00F77E86"/>
    <w:rsid w:val="00F80DED"/>
    <w:rsid w:val="00F81102"/>
    <w:rsid w:val="00F81814"/>
    <w:rsid w:val="00F81BF3"/>
    <w:rsid w:val="00F81EBE"/>
    <w:rsid w:val="00F82338"/>
    <w:rsid w:val="00F824BD"/>
    <w:rsid w:val="00F82916"/>
    <w:rsid w:val="00F83107"/>
    <w:rsid w:val="00F8394A"/>
    <w:rsid w:val="00F83AFC"/>
    <w:rsid w:val="00F8416F"/>
    <w:rsid w:val="00F84539"/>
    <w:rsid w:val="00F84741"/>
    <w:rsid w:val="00F855A4"/>
    <w:rsid w:val="00F86122"/>
    <w:rsid w:val="00F87CE8"/>
    <w:rsid w:val="00F90B85"/>
    <w:rsid w:val="00F925CD"/>
    <w:rsid w:val="00F929B9"/>
    <w:rsid w:val="00F938EE"/>
    <w:rsid w:val="00F940BB"/>
    <w:rsid w:val="00F94D12"/>
    <w:rsid w:val="00F96CAB"/>
    <w:rsid w:val="00F96E5C"/>
    <w:rsid w:val="00F96EA6"/>
    <w:rsid w:val="00F97832"/>
    <w:rsid w:val="00FA045F"/>
    <w:rsid w:val="00FA0E8E"/>
    <w:rsid w:val="00FA17D9"/>
    <w:rsid w:val="00FA1AB3"/>
    <w:rsid w:val="00FA1F51"/>
    <w:rsid w:val="00FA23D4"/>
    <w:rsid w:val="00FA27AD"/>
    <w:rsid w:val="00FA2A40"/>
    <w:rsid w:val="00FA32DC"/>
    <w:rsid w:val="00FA3302"/>
    <w:rsid w:val="00FA3AD8"/>
    <w:rsid w:val="00FA3F19"/>
    <w:rsid w:val="00FA4768"/>
    <w:rsid w:val="00FA476F"/>
    <w:rsid w:val="00FA48E5"/>
    <w:rsid w:val="00FA4B1E"/>
    <w:rsid w:val="00FA4B2C"/>
    <w:rsid w:val="00FA527F"/>
    <w:rsid w:val="00FA5A04"/>
    <w:rsid w:val="00FA62EC"/>
    <w:rsid w:val="00FA6532"/>
    <w:rsid w:val="00FA6979"/>
    <w:rsid w:val="00FB0952"/>
    <w:rsid w:val="00FB09FE"/>
    <w:rsid w:val="00FB0F4B"/>
    <w:rsid w:val="00FB1030"/>
    <w:rsid w:val="00FB1D12"/>
    <w:rsid w:val="00FB2072"/>
    <w:rsid w:val="00FB20AF"/>
    <w:rsid w:val="00FB23CD"/>
    <w:rsid w:val="00FB27BC"/>
    <w:rsid w:val="00FB2F87"/>
    <w:rsid w:val="00FB31AD"/>
    <w:rsid w:val="00FB36F6"/>
    <w:rsid w:val="00FB3F02"/>
    <w:rsid w:val="00FB3F0A"/>
    <w:rsid w:val="00FB592A"/>
    <w:rsid w:val="00FB6506"/>
    <w:rsid w:val="00FB6DDD"/>
    <w:rsid w:val="00FB6F46"/>
    <w:rsid w:val="00FB7E40"/>
    <w:rsid w:val="00FB7ECD"/>
    <w:rsid w:val="00FC1332"/>
    <w:rsid w:val="00FC1D32"/>
    <w:rsid w:val="00FC25DD"/>
    <w:rsid w:val="00FC2B58"/>
    <w:rsid w:val="00FC2FBA"/>
    <w:rsid w:val="00FC307E"/>
    <w:rsid w:val="00FC3D5D"/>
    <w:rsid w:val="00FC3FE5"/>
    <w:rsid w:val="00FC4B85"/>
    <w:rsid w:val="00FC4DAE"/>
    <w:rsid w:val="00FC53DA"/>
    <w:rsid w:val="00FC56E6"/>
    <w:rsid w:val="00FC5A74"/>
    <w:rsid w:val="00FC5AAE"/>
    <w:rsid w:val="00FC695A"/>
    <w:rsid w:val="00FC69AB"/>
    <w:rsid w:val="00FC6EC1"/>
    <w:rsid w:val="00FC75A8"/>
    <w:rsid w:val="00FC7BEF"/>
    <w:rsid w:val="00FD016F"/>
    <w:rsid w:val="00FD0257"/>
    <w:rsid w:val="00FD0364"/>
    <w:rsid w:val="00FD14E0"/>
    <w:rsid w:val="00FD1F61"/>
    <w:rsid w:val="00FD3F3D"/>
    <w:rsid w:val="00FD4416"/>
    <w:rsid w:val="00FD4B57"/>
    <w:rsid w:val="00FD4DF9"/>
    <w:rsid w:val="00FD502B"/>
    <w:rsid w:val="00FD565E"/>
    <w:rsid w:val="00FD56B8"/>
    <w:rsid w:val="00FD6BA5"/>
    <w:rsid w:val="00FD6BFB"/>
    <w:rsid w:val="00FD78A8"/>
    <w:rsid w:val="00FD78C3"/>
    <w:rsid w:val="00FD7F05"/>
    <w:rsid w:val="00FE02AE"/>
    <w:rsid w:val="00FE02ED"/>
    <w:rsid w:val="00FE0871"/>
    <w:rsid w:val="00FE0EE5"/>
    <w:rsid w:val="00FE1478"/>
    <w:rsid w:val="00FE1620"/>
    <w:rsid w:val="00FE1F0E"/>
    <w:rsid w:val="00FE1F9D"/>
    <w:rsid w:val="00FE2B11"/>
    <w:rsid w:val="00FE2C43"/>
    <w:rsid w:val="00FE2C59"/>
    <w:rsid w:val="00FE3386"/>
    <w:rsid w:val="00FE360A"/>
    <w:rsid w:val="00FE3A82"/>
    <w:rsid w:val="00FE3CC8"/>
    <w:rsid w:val="00FE459D"/>
    <w:rsid w:val="00FE49FB"/>
    <w:rsid w:val="00FE4E22"/>
    <w:rsid w:val="00FE55E7"/>
    <w:rsid w:val="00FE57E1"/>
    <w:rsid w:val="00FE5861"/>
    <w:rsid w:val="00FE6DCA"/>
    <w:rsid w:val="00FE78E7"/>
    <w:rsid w:val="00FE7B7E"/>
    <w:rsid w:val="00FE7D0F"/>
    <w:rsid w:val="00FF01E6"/>
    <w:rsid w:val="00FF139D"/>
    <w:rsid w:val="00FF1A5A"/>
    <w:rsid w:val="00FF4AF2"/>
    <w:rsid w:val="00FF505F"/>
    <w:rsid w:val="00FF5790"/>
    <w:rsid w:val="00FF5E52"/>
    <w:rsid w:val="00FF5F87"/>
    <w:rsid w:val="00FF5FE4"/>
    <w:rsid w:val="00FF667E"/>
    <w:rsid w:val="00FF70E6"/>
    <w:rsid w:val="00FF79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B2274D"/>
  <w15:docId w15:val="{47AE46A2-8419-4122-B5D5-F1E2B18D1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2FA3"/>
    <w:pPr>
      <w:spacing w:after="240" w:line="264" w:lineRule="auto"/>
      <w:jc w:val="both"/>
    </w:pPr>
    <w:rPr>
      <w:rFonts w:eastAsiaTheme="minorEastAsia"/>
      <w:sz w:val="23"/>
      <w:lang w:eastAsia="el-GR"/>
    </w:rPr>
  </w:style>
  <w:style w:type="paragraph" w:styleId="Heading1">
    <w:name w:val="heading 1"/>
    <w:basedOn w:val="Normal"/>
    <w:next w:val="Normal"/>
    <w:link w:val="Heading1Char"/>
    <w:uiPriority w:val="9"/>
    <w:qFormat/>
    <w:rsid w:val="007F6B40"/>
    <w:pPr>
      <w:keepNext/>
      <w:keepLines/>
      <w:pBdr>
        <w:bottom w:val="single" w:sz="18" w:space="1" w:color="C2D69B" w:themeColor="accent3" w:themeTint="99"/>
      </w:pBdr>
      <w:spacing w:after="960" w:line="600" w:lineRule="exact"/>
      <w:jc w:val="left"/>
      <w:outlineLvl w:val="0"/>
    </w:pPr>
    <w:rPr>
      <w:rFonts w:ascii="Calibri Light" w:eastAsiaTheme="majorEastAsia" w:hAnsi="Calibri Light" w:cstheme="majorBidi"/>
      <w:b/>
      <w:bCs/>
      <w:color w:val="4F81BD" w:themeColor="accent1"/>
      <w:w w:val="90"/>
      <w:sz w:val="48"/>
      <w:szCs w:val="28"/>
    </w:rPr>
  </w:style>
  <w:style w:type="paragraph" w:styleId="Heading2">
    <w:name w:val="heading 2"/>
    <w:basedOn w:val="Normal"/>
    <w:next w:val="Normal"/>
    <w:link w:val="Heading2Char"/>
    <w:uiPriority w:val="9"/>
    <w:unhideWhenUsed/>
    <w:qFormat/>
    <w:rsid w:val="00FE49FB"/>
    <w:pPr>
      <w:keepNext/>
      <w:keepLines/>
      <w:spacing w:before="720" w:after="120"/>
      <w:jc w:val="left"/>
      <w:outlineLvl w:val="1"/>
    </w:pPr>
    <w:rPr>
      <w:rFonts w:ascii="Calibri Light" w:eastAsiaTheme="majorEastAsia" w:hAnsi="Calibri Light" w:cstheme="majorBidi"/>
      <w:b/>
      <w:color w:val="4F81BD" w:themeColor="accent1"/>
      <w:sz w:val="28"/>
      <w:szCs w:val="26"/>
    </w:rPr>
  </w:style>
  <w:style w:type="paragraph" w:styleId="Heading3">
    <w:name w:val="heading 3"/>
    <w:basedOn w:val="Normal"/>
    <w:next w:val="Normal"/>
    <w:link w:val="Heading3Char"/>
    <w:uiPriority w:val="9"/>
    <w:unhideWhenUsed/>
    <w:qFormat/>
    <w:rsid w:val="00583C70"/>
    <w:pPr>
      <w:keepNext/>
      <w:keepLines/>
      <w:spacing w:before="600"/>
      <w:jc w:val="left"/>
      <w:outlineLvl w:val="2"/>
    </w:pPr>
    <w:rPr>
      <w:rFonts w:ascii="Calibri Light" w:eastAsiaTheme="majorEastAsia" w:hAnsi="Calibri Light" w:cstheme="majorBidi"/>
      <w:color w:val="4F81BD" w:themeColor="accent1"/>
      <w:sz w:val="32"/>
      <w:szCs w:val="24"/>
    </w:rPr>
  </w:style>
  <w:style w:type="paragraph" w:styleId="Heading4">
    <w:name w:val="heading 4"/>
    <w:basedOn w:val="Normal"/>
    <w:next w:val="Normal"/>
    <w:link w:val="Heading4Char"/>
    <w:uiPriority w:val="9"/>
    <w:unhideWhenUsed/>
    <w:qFormat/>
    <w:rsid w:val="00E9162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987A40"/>
    <w:pPr>
      <w:keepNext/>
      <w:keepLines/>
      <w:spacing w:before="240" w:after="80" w:line="276" w:lineRule="auto"/>
      <w:jc w:val="left"/>
      <w:outlineLvl w:val="4"/>
    </w:pPr>
    <w:rPr>
      <w:rFonts w:ascii="Arial" w:eastAsia="Arial" w:hAnsi="Arial" w:cs="Arial"/>
      <w:color w:val="666666"/>
      <w:sz w:val="22"/>
    </w:rPr>
  </w:style>
  <w:style w:type="paragraph" w:styleId="Heading6">
    <w:name w:val="heading 6"/>
    <w:basedOn w:val="Normal"/>
    <w:next w:val="Normal"/>
    <w:link w:val="Heading6Char"/>
    <w:uiPriority w:val="9"/>
    <w:semiHidden/>
    <w:unhideWhenUsed/>
    <w:qFormat/>
    <w:rsid w:val="00987A40"/>
    <w:pPr>
      <w:keepNext/>
      <w:keepLines/>
      <w:spacing w:before="240" w:after="80" w:line="276" w:lineRule="auto"/>
      <w:jc w:val="left"/>
      <w:outlineLvl w:val="5"/>
    </w:pPr>
    <w:rPr>
      <w:rFonts w:ascii="Arial" w:eastAsia="Arial" w:hAnsi="Arial" w:cs="Arial"/>
      <w:i/>
      <w:color w:val="666666"/>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6B40"/>
    <w:rPr>
      <w:rFonts w:ascii="Calibri Light" w:eastAsiaTheme="majorEastAsia" w:hAnsi="Calibri Light" w:cstheme="majorBidi"/>
      <w:b/>
      <w:bCs/>
      <w:color w:val="4F81BD" w:themeColor="accent1"/>
      <w:w w:val="90"/>
      <w:sz w:val="48"/>
      <w:szCs w:val="28"/>
      <w:lang w:eastAsia="el-GR"/>
    </w:rPr>
  </w:style>
  <w:style w:type="character" w:customStyle="1" w:styleId="Heading2Char">
    <w:name w:val="Heading 2 Char"/>
    <w:basedOn w:val="DefaultParagraphFont"/>
    <w:link w:val="Heading2"/>
    <w:uiPriority w:val="9"/>
    <w:rsid w:val="00FE49FB"/>
    <w:rPr>
      <w:rFonts w:ascii="Calibri Light" w:eastAsiaTheme="majorEastAsia" w:hAnsi="Calibri Light" w:cstheme="majorBidi"/>
      <w:b/>
      <w:color w:val="4F81BD" w:themeColor="accent1"/>
      <w:sz w:val="28"/>
      <w:szCs w:val="26"/>
      <w:lang w:eastAsia="el-GR"/>
    </w:rPr>
  </w:style>
  <w:style w:type="character" w:customStyle="1" w:styleId="Heading3Char">
    <w:name w:val="Heading 3 Char"/>
    <w:basedOn w:val="DefaultParagraphFont"/>
    <w:link w:val="Heading3"/>
    <w:uiPriority w:val="9"/>
    <w:rsid w:val="00583C70"/>
    <w:rPr>
      <w:rFonts w:ascii="Calibri Light" w:eastAsiaTheme="majorEastAsia" w:hAnsi="Calibri Light" w:cstheme="majorBidi"/>
      <w:color w:val="4F81BD" w:themeColor="accent1"/>
      <w:sz w:val="32"/>
      <w:szCs w:val="24"/>
      <w:lang w:eastAsia="el-GR"/>
    </w:rPr>
  </w:style>
  <w:style w:type="character" w:customStyle="1" w:styleId="Heading4Char">
    <w:name w:val="Heading 4 Char"/>
    <w:basedOn w:val="DefaultParagraphFont"/>
    <w:link w:val="Heading4"/>
    <w:uiPriority w:val="9"/>
    <w:rsid w:val="00E91624"/>
    <w:rPr>
      <w:rFonts w:asciiTheme="majorHAnsi" w:eastAsiaTheme="majorEastAsia" w:hAnsiTheme="majorHAnsi" w:cstheme="majorBidi"/>
      <w:i/>
      <w:iCs/>
      <w:color w:val="365F91" w:themeColor="accent1" w:themeShade="BF"/>
      <w:sz w:val="23"/>
      <w:lang w:eastAsia="el-GR"/>
    </w:rPr>
  </w:style>
  <w:style w:type="character" w:customStyle="1" w:styleId="Heading5Char">
    <w:name w:val="Heading 5 Char"/>
    <w:basedOn w:val="DefaultParagraphFont"/>
    <w:link w:val="Heading5"/>
    <w:uiPriority w:val="9"/>
    <w:semiHidden/>
    <w:rsid w:val="00987A40"/>
    <w:rPr>
      <w:rFonts w:ascii="Arial" w:eastAsia="Arial" w:hAnsi="Arial" w:cs="Arial"/>
      <w:color w:val="666666"/>
      <w:lang w:eastAsia="el-GR"/>
    </w:rPr>
  </w:style>
  <w:style w:type="character" w:customStyle="1" w:styleId="Heading6Char">
    <w:name w:val="Heading 6 Char"/>
    <w:basedOn w:val="DefaultParagraphFont"/>
    <w:link w:val="Heading6"/>
    <w:uiPriority w:val="9"/>
    <w:semiHidden/>
    <w:rsid w:val="00987A40"/>
    <w:rPr>
      <w:rFonts w:ascii="Arial" w:eastAsia="Arial" w:hAnsi="Arial" w:cs="Arial"/>
      <w:i/>
      <w:color w:val="666666"/>
      <w:lang w:eastAsia="el-GR"/>
    </w:rPr>
  </w:style>
  <w:style w:type="paragraph" w:customStyle="1" w:styleId="Default">
    <w:name w:val="Default"/>
    <w:rsid w:val="00901E9C"/>
    <w:pPr>
      <w:autoSpaceDE w:val="0"/>
      <w:autoSpaceDN w:val="0"/>
      <w:adjustRightInd w:val="0"/>
      <w:spacing w:after="0" w:line="240" w:lineRule="auto"/>
    </w:pPr>
    <w:rPr>
      <w:rFonts w:ascii="Lato Black" w:hAnsi="Lato Black" w:cs="Lato Black"/>
      <w:color w:val="000000"/>
      <w:sz w:val="24"/>
      <w:szCs w:val="24"/>
    </w:rPr>
  </w:style>
  <w:style w:type="paragraph" w:styleId="BalloonText">
    <w:name w:val="Balloon Text"/>
    <w:basedOn w:val="Normal"/>
    <w:link w:val="BalloonTextChar"/>
    <w:uiPriority w:val="99"/>
    <w:semiHidden/>
    <w:unhideWhenUsed/>
    <w:rsid w:val="00537E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7EF0"/>
    <w:rPr>
      <w:rFonts w:ascii="Tahoma" w:eastAsiaTheme="minorEastAsia" w:hAnsi="Tahoma" w:cs="Tahoma"/>
      <w:sz w:val="16"/>
      <w:szCs w:val="16"/>
      <w:lang w:eastAsia="el-GR"/>
    </w:rPr>
  </w:style>
  <w:style w:type="paragraph" w:styleId="ListParagraph">
    <w:name w:val="List Paragraph"/>
    <w:aliases w:val="1st level - Bullet List Paragraph,Bullet EY,Bullet list,Lettre d'introduction,List L1,List Paragraph compact,List Paragraph1,List Paragraph11,Normal bullet 2,Normal bullet 21,Numbered List,Paragraph,Paragraphe de liste 2,Reference list"/>
    <w:basedOn w:val="Normal"/>
    <w:link w:val="ListParagraphChar"/>
    <w:uiPriority w:val="34"/>
    <w:qFormat/>
    <w:rsid w:val="003B1F6E"/>
    <w:pPr>
      <w:ind w:left="720"/>
      <w:contextualSpacing/>
    </w:pPr>
    <w:rPr>
      <w:rFonts w:eastAsiaTheme="minorHAnsi"/>
      <w:lang w:eastAsia="en-US"/>
    </w:rPr>
  </w:style>
  <w:style w:type="character" w:customStyle="1" w:styleId="ListParagraphChar">
    <w:name w:val="List Paragraph Char"/>
    <w:aliases w:val="1st level - Bullet List Paragraph Char,Bullet EY Char,Bullet list Char,Lettre d'introduction Char,List L1 Char,List Paragraph compact Char,List Paragraph1 Char,List Paragraph11 Char,Normal bullet 2 Char,Normal bullet 21 Char"/>
    <w:link w:val="ListParagraph"/>
    <w:uiPriority w:val="34"/>
    <w:qFormat/>
    <w:locked/>
    <w:rsid w:val="007E6722"/>
  </w:style>
  <w:style w:type="paragraph" w:styleId="Header">
    <w:name w:val="header"/>
    <w:basedOn w:val="Normal"/>
    <w:link w:val="HeaderChar"/>
    <w:uiPriority w:val="99"/>
    <w:unhideWhenUsed/>
    <w:rsid w:val="00404883"/>
    <w:pPr>
      <w:tabs>
        <w:tab w:val="center" w:pos="4153"/>
        <w:tab w:val="right" w:pos="8306"/>
      </w:tabs>
      <w:spacing w:after="0" w:line="240" w:lineRule="auto"/>
    </w:pPr>
  </w:style>
  <w:style w:type="character" w:customStyle="1" w:styleId="HeaderChar">
    <w:name w:val="Header Char"/>
    <w:basedOn w:val="DefaultParagraphFont"/>
    <w:link w:val="Header"/>
    <w:uiPriority w:val="99"/>
    <w:rsid w:val="00404883"/>
    <w:rPr>
      <w:rFonts w:eastAsiaTheme="minorEastAsia"/>
      <w:lang w:eastAsia="el-GR"/>
    </w:rPr>
  </w:style>
  <w:style w:type="paragraph" w:styleId="Footer">
    <w:name w:val="footer"/>
    <w:basedOn w:val="Normal"/>
    <w:link w:val="FooterChar"/>
    <w:uiPriority w:val="99"/>
    <w:unhideWhenUsed/>
    <w:rsid w:val="00404883"/>
    <w:pPr>
      <w:tabs>
        <w:tab w:val="center" w:pos="4153"/>
        <w:tab w:val="right" w:pos="8306"/>
      </w:tabs>
      <w:spacing w:after="0" w:line="240" w:lineRule="auto"/>
    </w:pPr>
  </w:style>
  <w:style w:type="character" w:customStyle="1" w:styleId="FooterChar">
    <w:name w:val="Footer Char"/>
    <w:basedOn w:val="DefaultParagraphFont"/>
    <w:link w:val="Footer"/>
    <w:uiPriority w:val="99"/>
    <w:rsid w:val="00404883"/>
    <w:rPr>
      <w:rFonts w:eastAsiaTheme="minorEastAsia"/>
      <w:lang w:eastAsia="el-GR"/>
    </w:rPr>
  </w:style>
  <w:style w:type="paragraph" w:customStyle="1" w:styleId="1">
    <w:name w:val="Παράγραφος λίστας1"/>
    <w:rsid w:val="005A31FF"/>
    <w:pPr>
      <w:suppressAutoHyphens/>
      <w:ind w:left="720"/>
    </w:pPr>
    <w:rPr>
      <w:rFonts w:ascii="Calibri" w:eastAsia="Arial" w:hAnsi="Calibri" w:cs="font266"/>
      <w:kern w:val="1"/>
      <w:lang w:val="en-GB" w:eastAsia="ar-SA"/>
    </w:rPr>
  </w:style>
  <w:style w:type="table" w:styleId="TableGrid">
    <w:name w:val="Table Grid"/>
    <w:basedOn w:val="TableNormal"/>
    <w:uiPriority w:val="59"/>
    <w:rsid w:val="005A31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54672"/>
    <w:pPr>
      <w:outlineLvl w:val="9"/>
    </w:pPr>
    <w:rPr>
      <w:lang w:eastAsia="en-US"/>
    </w:rPr>
  </w:style>
  <w:style w:type="paragraph" w:styleId="Subtitle">
    <w:name w:val="Subtitle"/>
    <w:basedOn w:val="Normal"/>
    <w:next w:val="Normal"/>
    <w:link w:val="SubtitleChar"/>
    <w:uiPriority w:val="11"/>
    <w:qFormat/>
    <w:rsid w:val="0065467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54672"/>
    <w:rPr>
      <w:rFonts w:asciiTheme="majorHAnsi" w:eastAsiaTheme="majorEastAsia" w:hAnsiTheme="majorHAnsi" w:cstheme="majorBidi"/>
      <w:i/>
      <w:iCs/>
      <w:color w:val="4F81BD" w:themeColor="accent1"/>
      <w:spacing w:val="15"/>
      <w:sz w:val="24"/>
      <w:szCs w:val="24"/>
      <w:lang w:eastAsia="el-GR"/>
    </w:rPr>
  </w:style>
  <w:style w:type="paragraph" w:styleId="TOC1">
    <w:name w:val="toc 1"/>
    <w:basedOn w:val="Normal"/>
    <w:next w:val="Normal"/>
    <w:autoRedefine/>
    <w:uiPriority w:val="39"/>
    <w:unhideWhenUsed/>
    <w:rsid w:val="00233204"/>
    <w:pPr>
      <w:tabs>
        <w:tab w:val="left" w:pos="284"/>
        <w:tab w:val="right" w:leader="dot" w:pos="9923"/>
      </w:tabs>
      <w:spacing w:after="100" w:line="280" w:lineRule="atLeast"/>
      <w:jc w:val="left"/>
    </w:pPr>
    <w:rPr>
      <w:b/>
      <w:noProof/>
      <w:sz w:val="24"/>
      <w:lang w:val="en-US"/>
    </w:rPr>
  </w:style>
  <w:style w:type="character" w:styleId="Hyperlink">
    <w:name w:val="Hyperlink"/>
    <w:basedOn w:val="DefaultParagraphFont"/>
    <w:uiPriority w:val="99"/>
    <w:unhideWhenUsed/>
    <w:rsid w:val="00654672"/>
    <w:rPr>
      <w:color w:val="0000FF" w:themeColor="hyperlink"/>
      <w:u w:val="single"/>
    </w:rPr>
  </w:style>
  <w:style w:type="character" w:styleId="CommentReference">
    <w:name w:val="annotation reference"/>
    <w:basedOn w:val="DefaultParagraphFont"/>
    <w:uiPriority w:val="99"/>
    <w:semiHidden/>
    <w:unhideWhenUsed/>
    <w:rsid w:val="004631E6"/>
    <w:rPr>
      <w:sz w:val="16"/>
      <w:szCs w:val="16"/>
    </w:rPr>
  </w:style>
  <w:style w:type="paragraph" w:styleId="CommentText">
    <w:name w:val="annotation text"/>
    <w:basedOn w:val="Normal"/>
    <w:link w:val="CommentTextChar"/>
    <w:uiPriority w:val="99"/>
    <w:unhideWhenUsed/>
    <w:rsid w:val="004631E6"/>
    <w:pPr>
      <w:spacing w:line="240" w:lineRule="auto"/>
    </w:pPr>
    <w:rPr>
      <w:sz w:val="20"/>
      <w:szCs w:val="20"/>
    </w:rPr>
  </w:style>
  <w:style w:type="character" w:customStyle="1" w:styleId="CommentTextChar">
    <w:name w:val="Comment Text Char"/>
    <w:basedOn w:val="DefaultParagraphFont"/>
    <w:link w:val="CommentText"/>
    <w:uiPriority w:val="99"/>
    <w:rsid w:val="004631E6"/>
    <w:rPr>
      <w:rFonts w:eastAsiaTheme="minorEastAsia"/>
      <w:sz w:val="20"/>
      <w:szCs w:val="20"/>
      <w:lang w:eastAsia="el-GR"/>
    </w:rPr>
  </w:style>
  <w:style w:type="paragraph" w:styleId="CommentSubject">
    <w:name w:val="annotation subject"/>
    <w:basedOn w:val="CommentText"/>
    <w:next w:val="CommentText"/>
    <w:link w:val="CommentSubjectChar"/>
    <w:uiPriority w:val="99"/>
    <w:semiHidden/>
    <w:unhideWhenUsed/>
    <w:rsid w:val="004631E6"/>
    <w:rPr>
      <w:b/>
      <w:bCs/>
    </w:rPr>
  </w:style>
  <w:style w:type="character" w:customStyle="1" w:styleId="CommentSubjectChar">
    <w:name w:val="Comment Subject Char"/>
    <w:basedOn w:val="CommentTextChar"/>
    <w:link w:val="CommentSubject"/>
    <w:uiPriority w:val="99"/>
    <w:semiHidden/>
    <w:rsid w:val="004631E6"/>
    <w:rPr>
      <w:rFonts w:eastAsiaTheme="minorEastAsia"/>
      <w:b/>
      <w:bCs/>
      <w:sz w:val="20"/>
      <w:szCs w:val="20"/>
      <w:lang w:eastAsia="el-GR"/>
    </w:rPr>
  </w:style>
  <w:style w:type="paragraph" w:customStyle="1" w:styleId="ParagraphNumbering">
    <w:name w:val="Paragraph Numbering"/>
    <w:basedOn w:val="Normal"/>
    <w:uiPriority w:val="1"/>
    <w:qFormat/>
    <w:rsid w:val="004356B9"/>
    <w:pPr>
      <w:numPr>
        <w:numId w:val="1"/>
      </w:numPr>
    </w:pPr>
    <w:rPr>
      <w:rFonts w:ascii="Times New Roman" w:eastAsia="Calibri" w:hAnsi="Times New Roman" w:cs="Times New Roman"/>
      <w:sz w:val="24"/>
      <w:szCs w:val="24"/>
      <w:lang w:val="en-US" w:eastAsia="en-US"/>
    </w:rPr>
  </w:style>
  <w:style w:type="paragraph" w:styleId="BodyTextIndent2">
    <w:name w:val="Body Text Indent 2"/>
    <w:basedOn w:val="Normal"/>
    <w:link w:val="BodyTextIndent2Char"/>
    <w:semiHidden/>
    <w:rsid w:val="004356B9"/>
    <w:pPr>
      <w:spacing w:after="0" w:line="240" w:lineRule="auto"/>
      <w:ind w:left="1560" w:hanging="1560"/>
    </w:pPr>
    <w:rPr>
      <w:rFonts w:ascii="Times New Roman" w:eastAsia="Times New Roman" w:hAnsi="Times New Roman" w:cs="Times New Roman"/>
      <w:b/>
      <w:sz w:val="28"/>
      <w:szCs w:val="20"/>
    </w:rPr>
  </w:style>
  <w:style w:type="character" w:customStyle="1" w:styleId="BodyTextIndent2Char">
    <w:name w:val="Body Text Indent 2 Char"/>
    <w:basedOn w:val="DefaultParagraphFont"/>
    <w:link w:val="BodyTextIndent2"/>
    <w:semiHidden/>
    <w:rsid w:val="004356B9"/>
    <w:rPr>
      <w:rFonts w:ascii="Times New Roman" w:eastAsia="Times New Roman" w:hAnsi="Times New Roman" w:cs="Times New Roman"/>
      <w:b/>
      <w:sz w:val="28"/>
      <w:szCs w:val="20"/>
      <w:lang w:eastAsia="el-GR"/>
    </w:rPr>
  </w:style>
  <w:style w:type="paragraph" w:styleId="BodyText3">
    <w:name w:val="Body Text 3"/>
    <w:basedOn w:val="Normal"/>
    <w:link w:val="BodyText3Char"/>
    <w:uiPriority w:val="99"/>
    <w:unhideWhenUsed/>
    <w:rsid w:val="004356B9"/>
    <w:rPr>
      <w:rFonts w:eastAsiaTheme="minorHAnsi"/>
      <w:sz w:val="16"/>
      <w:szCs w:val="16"/>
      <w:lang w:val="en-US" w:eastAsia="en-US"/>
    </w:rPr>
  </w:style>
  <w:style w:type="character" w:customStyle="1" w:styleId="BodyText3Char">
    <w:name w:val="Body Text 3 Char"/>
    <w:basedOn w:val="DefaultParagraphFont"/>
    <w:link w:val="BodyText3"/>
    <w:uiPriority w:val="99"/>
    <w:rsid w:val="004356B9"/>
    <w:rPr>
      <w:sz w:val="16"/>
      <w:szCs w:val="16"/>
      <w:lang w:val="en-US"/>
    </w:rPr>
  </w:style>
  <w:style w:type="paragraph" w:styleId="Revision">
    <w:name w:val="Revision"/>
    <w:hidden/>
    <w:uiPriority w:val="99"/>
    <w:semiHidden/>
    <w:rsid w:val="00E708C3"/>
    <w:pPr>
      <w:spacing w:after="0" w:line="240" w:lineRule="auto"/>
    </w:pPr>
    <w:rPr>
      <w:rFonts w:eastAsiaTheme="minorEastAsia"/>
      <w:lang w:eastAsia="el-GR"/>
    </w:rPr>
  </w:style>
  <w:style w:type="paragraph" w:styleId="Caption">
    <w:name w:val="caption"/>
    <w:basedOn w:val="Normal"/>
    <w:next w:val="Normal"/>
    <w:link w:val="CaptionChar"/>
    <w:unhideWhenUsed/>
    <w:qFormat/>
    <w:rsid w:val="006E29A9"/>
    <w:pPr>
      <w:shd w:val="clear" w:color="auto" w:fill="4F81BD" w:themeFill="accent1"/>
      <w:spacing w:after="60" w:line="240" w:lineRule="auto"/>
    </w:pPr>
    <w:rPr>
      <w:rFonts w:eastAsiaTheme="minorHAnsi"/>
      <w:b/>
      <w:iCs/>
      <w:color w:val="FFFFFF" w:themeColor="background1"/>
      <w:sz w:val="24"/>
      <w:szCs w:val="18"/>
      <w:lang w:val="en-US" w:eastAsia="en-US"/>
    </w:rPr>
  </w:style>
  <w:style w:type="character" w:customStyle="1" w:styleId="CaptionChar">
    <w:name w:val="Caption Char"/>
    <w:basedOn w:val="DefaultParagraphFont"/>
    <w:link w:val="Caption"/>
    <w:rsid w:val="006E29A9"/>
    <w:rPr>
      <w:b/>
      <w:iCs/>
      <w:color w:val="FFFFFF" w:themeColor="background1"/>
      <w:sz w:val="24"/>
      <w:szCs w:val="18"/>
      <w:shd w:val="clear" w:color="auto" w:fill="4F81BD" w:themeFill="accent1"/>
      <w:lang w:val="en-US"/>
    </w:rPr>
  </w:style>
  <w:style w:type="paragraph" w:styleId="TOC2">
    <w:name w:val="toc 2"/>
    <w:basedOn w:val="Normal"/>
    <w:next w:val="Normal"/>
    <w:autoRedefine/>
    <w:uiPriority w:val="39"/>
    <w:unhideWhenUsed/>
    <w:rsid w:val="002D6D82"/>
    <w:pPr>
      <w:tabs>
        <w:tab w:val="left" w:pos="1276"/>
        <w:tab w:val="right" w:leader="dot" w:pos="9923"/>
      </w:tabs>
      <w:spacing w:after="100" w:line="240" w:lineRule="exact"/>
      <w:ind w:left="1276" w:hanging="992"/>
      <w:jc w:val="left"/>
    </w:pPr>
  </w:style>
  <w:style w:type="paragraph" w:styleId="TableofFigures">
    <w:name w:val="table of figures"/>
    <w:basedOn w:val="Normal"/>
    <w:next w:val="Normal"/>
    <w:uiPriority w:val="99"/>
    <w:unhideWhenUsed/>
    <w:rsid w:val="007D5C51"/>
    <w:pPr>
      <w:spacing w:after="0"/>
    </w:pPr>
  </w:style>
  <w:style w:type="paragraph" w:styleId="FootnoteText">
    <w:name w:val="footnote text"/>
    <w:aliases w:val="Footnote Text Char2,Footnote Text Char1 Char,Footnote Text Char2 Char Char,Footnote Text Char1 Char Char Char,Footnote Text Char2 Char Char Char Char,Footnote Text Char Char1 Char Char Char Char,Footnote Text Char2 Cha,Footnote"/>
    <w:basedOn w:val="Normal"/>
    <w:link w:val="FootnoteTextChar"/>
    <w:uiPriority w:val="99"/>
    <w:unhideWhenUsed/>
    <w:qFormat/>
    <w:rsid w:val="00DB556D"/>
    <w:pPr>
      <w:spacing w:after="0" w:line="240" w:lineRule="auto"/>
    </w:pPr>
    <w:rPr>
      <w:sz w:val="20"/>
      <w:szCs w:val="20"/>
    </w:rPr>
  </w:style>
  <w:style w:type="character" w:customStyle="1" w:styleId="FootnoteTextChar">
    <w:name w:val="Footnote Text Char"/>
    <w:aliases w:val="Footnote Text Char2 Char,Footnote Text Char1 Char Char,Footnote Text Char2 Char Char Char,Footnote Text Char1 Char Char Char Char,Footnote Text Char2 Char Char Char Char Char,Footnote Text Char Char1 Char Char Char Char Char"/>
    <w:basedOn w:val="DefaultParagraphFont"/>
    <w:link w:val="FootnoteText"/>
    <w:uiPriority w:val="99"/>
    <w:rsid w:val="00DB556D"/>
    <w:rPr>
      <w:rFonts w:eastAsiaTheme="minorEastAsia"/>
      <w:sz w:val="20"/>
      <w:szCs w:val="20"/>
      <w:lang w:eastAsia="el-GR"/>
    </w:rPr>
  </w:style>
  <w:style w:type="character" w:styleId="FootnoteReference">
    <w:name w:val="footnote reference"/>
    <w:aliases w:val="Footnote Reference Number,Footnote Reference_LVL6,Footnote Reference_LVL61,Footnote Reference_LVL62,Footnote Reference_LVL63,Footnote Reference_LVL64,C26 Footnote Number,Footnote Reference_LVL65,Footnote symbol,Footnote Reference1"/>
    <w:basedOn w:val="DefaultParagraphFont"/>
    <w:uiPriority w:val="99"/>
    <w:unhideWhenUsed/>
    <w:rsid w:val="00DB556D"/>
    <w:rPr>
      <w:vertAlign w:val="superscript"/>
    </w:rPr>
  </w:style>
  <w:style w:type="paragraph" w:styleId="NoSpacing">
    <w:name w:val="No Spacing"/>
    <w:link w:val="NoSpacingChar"/>
    <w:uiPriority w:val="1"/>
    <w:qFormat/>
    <w:rsid w:val="00271936"/>
    <w:pPr>
      <w:spacing w:after="0" w:line="240" w:lineRule="auto"/>
    </w:pPr>
    <w:rPr>
      <w:rFonts w:eastAsiaTheme="minorEastAsia"/>
    </w:rPr>
  </w:style>
  <w:style w:type="character" w:customStyle="1" w:styleId="NoSpacingChar">
    <w:name w:val="No Spacing Char"/>
    <w:basedOn w:val="DefaultParagraphFont"/>
    <w:link w:val="NoSpacing"/>
    <w:uiPriority w:val="1"/>
    <w:rsid w:val="00271936"/>
    <w:rPr>
      <w:rFonts w:eastAsiaTheme="minorEastAsia"/>
    </w:rPr>
  </w:style>
  <w:style w:type="paragraph" w:customStyle="1" w:styleId="a">
    <w:name w:val="Υποσημείωση"/>
    <w:rsid w:val="000A6E79"/>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lang w:val="en-US"/>
    </w:rPr>
  </w:style>
  <w:style w:type="paragraph" w:customStyle="1" w:styleId="Figure">
    <w:name w:val="Figure"/>
    <w:basedOn w:val="Caption"/>
    <w:link w:val="FigureChar"/>
    <w:qFormat/>
    <w:rsid w:val="00EF68A7"/>
    <w:pPr>
      <w:jc w:val="left"/>
    </w:pPr>
  </w:style>
  <w:style w:type="character" w:customStyle="1" w:styleId="FigureChar">
    <w:name w:val="Figure Char"/>
    <w:basedOn w:val="CaptionChar"/>
    <w:link w:val="Figure"/>
    <w:rsid w:val="00EF68A7"/>
    <w:rPr>
      <w:b/>
      <w:iCs/>
      <w:color w:val="FFFFFF" w:themeColor="background1"/>
      <w:sz w:val="24"/>
      <w:szCs w:val="18"/>
      <w:shd w:val="clear" w:color="auto" w:fill="4F81BD" w:themeFill="accent1"/>
      <w:lang w:val="en-US"/>
    </w:rPr>
  </w:style>
  <w:style w:type="paragraph" w:styleId="HTMLPreformatted">
    <w:name w:val="HTML Preformatted"/>
    <w:basedOn w:val="Normal"/>
    <w:link w:val="HTMLPreformattedChar"/>
    <w:uiPriority w:val="99"/>
    <w:semiHidden/>
    <w:unhideWhenUsed/>
    <w:rsid w:val="00A93E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93E51"/>
    <w:rPr>
      <w:rFonts w:ascii="Courier New" w:eastAsia="Times New Roman" w:hAnsi="Courier New" w:cs="Courier New"/>
      <w:sz w:val="20"/>
      <w:szCs w:val="20"/>
      <w:lang w:eastAsia="el-GR"/>
    </w:rPr>
  </w:style>
  <w:style w:type="character" w:customStyle="1" w:styleId="y2iqfc">
    <w:name w:val="y2iqfc"/>
    <w:basedOn w:val="DefaultParagraphFont"/>
    <w:rsid w:val="00A93E51"/>
  </w:style>
  <w:style w:type="paragraph" w:styleId="NormalWeb">
    <w:name w:val="Normal (Web)"/>
    <w:basedOn w:val="Normal"/>
    <w:uiPriority w:val="99"/>
    <w:rsid w:val="00A93E51"/>
    <w:pPr>
      <w:suppressAutoHyphens/>
      <w:autoSpaceDN w:val="0"/>
      <w:spacing w:before="280" w:after="280" w:line="240" w:lineRule="auto"/>
      <w:jc w:val="left"/>
      <w:textAlignment w:val="baseline"/>
    </w:pPr>
    <w:rPr>
      <w:rFonts w:ascii="Times New Roman" w:eastAsia="Times New Roman" w:hAnsi="Times New Roman" w:cs="Calibri"/>
      <w:kern w:val="3"/>
      <w:sz w:val="24"/>
      <w:szCs w:val="24"/>
      <w:lang w:eastAsia="ar-SA"/>
    </w:rPr>
  </w:style>
  <w:style w:type="paragraph" w:customStyle="1" w:styleId="Table">
    <w:name w:val="Table"/>
    <w:basedOn w:val="Caption"/>
    <w:link w:val="TableChar"/>
    <w:qFormat/>
    <w:rsid w:val="00C03AA2"/>
    <w:pPr>
      <w:jc w:val="left"/>
    </w:pPr>
  </w:style>
  <w:style w:type="character" w:customStyle="1" w:styleId="TableChar">
    <w:name w:val="Table Char"/>
    <w:basedOn w:val="CaptionChar"/>
    <w:link w:val="Table"/>
    <w:rsid w:val="00C03AA2"/>
    <w:rPr>
      <w:b/>
      <w:iCs/>
      <w:color w:val="FFFFFF" w:themeColor="background1"/>
      <w:sz w:val="24"/>
      <w:szCs w:val="18"/>
      <w:shd w:val="clear" w:color="auto" w:fill="4F81BD" w:themeFill="accent1"/>
      <w:lang w:val="en-US"/>
    </w:rPr>
  </w:style>
  <w:style w:type="paragraph" w:customStyle="1" w:styleId="Source">
    <w:name w:val="Source"/>
    <w:basedOn w:val="Normal"/>
    <w:link w:val="SourceChar"/>
    <w:qFormat/>
    <w:rsid w:val="00A80B43"/>
    <w:pPr>
      <w:spacing w:line="240" w:lineRule="auto"/>
      <w:jc w:val="left"/>
    </w:pPr>
    <w:rPr>
      <w:rFonts w:ascii="Calibri Light" w:hAnsi="Calibri Light"/>
      <w:i/>
      <w:sz w:val="18"/>
      <w:lang w:val="en-US"/>
    </w:rPr>
  </w:style>
  <w:style w:type="character" w:customStyle="1" w:styleId="SourceChar">
    <w:name w:val="Source Char"/>
    <w:basedOn w:val="DefaultParagraphFont"/>
    <w:link w:val="Source"/>
    <w:rsid w:val="00A80B43"/>
    <w:rPr>
      <w:rFonts w:ascii="Calibri Light" w:eastAsiaTheme="minorEastAsia" w:hAnsi="Calibri Light"/>
      <w:i/>
      <w:sz w:val="18"/>
      <w:lang w:val="en-US" w:eastAsia="el-GR"/>
    </w:rPr>
  </w:style>
  <w:style w:type="paragraph" w:styleId="TOC3">
    <w:name w:val="toc 3"/>
    <w:basedOn w:val="Normal"/>
    <w:next w:val="Normal"/>
    <w:autoRedefine/>
    <w:uiPriority w:val="39"/>
    <w:unhideWhenUsed/>
    <w:rsid w:val="000A4CEB"/>
    <w:pPr>
      <w:tabs>
        <w:tab w:val="left" w:pos="1320"/>
        <w:tab w:val="right" w:leader="dot" w:pos="9911"/>
      </w:tabs>
      <w:spacing w:after="60"/>
      <w:ind w:left="1276" w:hanging="850"/>
      <w:jc w:val="left"/>
    </w:pPr>
  </w:style>
  <w:style w:type="character" w:styleId="Strong">
    <w:name w:val="Strong"/>
    <w:basedOn w:val="DefaultParagraphFont"/>
    <w:uiPriority w:val="22"/>
    <w:qFormat/>
    <w:rsid w:val="00AC728F"/>
    <w:rPr>
      <w:b/>
      <w:bCs/>
    </w:rPr>
  </w:style>
  <w:style w:type="paragraph" w:customStyle="1" w:styleId="Text1">
    <w:name w:val="Text 1"/>
    <w:basedOn w:val="Normal"/>
    <w:rsid w:val="006824F1"/>
    <w:pPr>
      <w:spacing w:line="240" w:lineRule="auto"/>
      <w:ind w:left="482"/>
    </w:pPr>
    <w:rPr>
      <w:rFonts w:ascii="Times New Roman" w:eastAsia="Times New Roman" w:hAnsi="Times New Roman" w:cs="Times New Roman"/>
      <w:sz w:val="24"/>
      <w:szCs w:val="20"/>
      <w:lang w:val="en-GB" w:eastAsia="en-US"/>
    </w:rPr>
  </w:style>
  <w:style w:type="paragraph" w:customStyle="1" w:styleId="P68B1DB1-afc3">
    <w:name w:val="P68B1DB1-afc3"/>
    <w:basedOn w:val="Caption"/>
    <w:rsid w:val="00FB1D12"/>
    <w:pPr>
      <w:shd w:val="clear" w:color="auto" w:fill="auto"/>
      <w:spacing w:after="120" w:line="300" w:lineRule="auto"/>
    </w:pPr>
    <w:rPr>
      <w:rFonts w:ascii="Arial" w:eastAsia="Times New Roman" w:hAnsi="Arial" w:cs="Arial"/>
      <w:iCs w:val="0"/>
      <w:color w:val="auto"/>
      <w:sz w:val="18"/>
      <w:szCs w:val="20"/>
      <w:lang w:val="el-GR" w:eastAsia="el-GR"/>
    </w:rPr>
  </w:style>
  <w:style w:type="paragraph" w:customStyle="1" w:styleId="figureright-handed">
    <w:name w:val="figure right-handed"/>
    <w:basedOn w:val="Figure"/>
    <w:link w:val="figureright-handedChar"/>
    <w:qFormat/>
    <w:rsid w:val="002D7C5D"/>
    <w:pPr>
      <w:jc w:val="right"/>
    </w:pPr>
    <w:rPr>
      <w:b w:val="0"/>
    </w:rPr>
  </w:style>
  <w:style w:type="character" w:customStyle="1" w:styleId="figureright-handedChar">
    <w:name w:val="figure right-handed Char"/>
    <w:basedOn w:val="FigureChar"/>
    <w:link w:val="figureright-handed"/>
    <w:rsid w:val="002D7C5D"/>
    <w:rPr>
      <w:b w:val="0"/>
      <w:iCs/>
      <w:color w:val="FFFFFF" w:themeColor="background1"/>
      <w:sz w:val="24"/>
      <w:szCs w:val="18"/>
      <w:shd w:val="clear" w:color="auto" w:fill="4F81BD" w:themeFill="accent1"/>
      <w:lang w:val="en-US"/>
    </w:rPr>
  </w:style>
  <w:style w:type="paragraph" w:customStyle="1" w:styleId="Body">
    <w:name w:val="Body"/>
    <w:rsid w:val="002928DD"/>
    <w:pPr>
      <w:pBdr>
        <w:top w:val="nil"/>
        <w:left w:val="nil"/>
        <w:bottom w:val="nil"/>
        <w:right w:val="nil"/>
        <w:between w:val="nil"/>
        <w:bar w:val="nil"/>
      </w:pBdr>
    </w:pPr>
    <w:rPr>
      <w:rFonts w:ascii="Calibri" w:eastAsia="Arial Unicode MS" w:hAnsi="Calibri" w:cs="Arial Unicode MS"/>
      <w:color w:val="000000"/>
      <w:u w:color="000000"/>
      <w:bdr w:val="nil"/>
      <w:lang w:eastAsia="el-GR"/>
    </w:rPr>
  </w:style>
  <w:style w:type="table" w:customStyle="1" w:styleId="GridTable1Light1">
    <w:name w:val="Grid Table 1 Light1"/>
    <w:basedOn w:val="TableNormal"/>
    <w:uiPriority w:val="46"/>
    <w:rsid w:val="002928DD"/>
    <w:pPr>
      <w:spacing w:after="0" w:line="240" w:lineRule="auto"/>
    </w:pPr>
    <w:rPr>
      <w:lang w:val="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SubtleEmphasis">
    <w:name w:val="Subtle Emphasis"/>
    <w:basedOn w:val="DefaultParagraphFont"/>
    <w:uiPriority w:val="19"/>
    <w:qFormat/>
    <w:rsid w:val="002928DD"/>
    <w:rPr>
      <w:i/>
      <w:iCs/>
      <w:color w:val="404040" w:themeColor="text1" w:themeTint="BF"/>
    </w:rPr>
  </w:style>
  <w:style w:type="paragraph" w:customStyle="1" w:styleId="Tabletext">
    <w:name w:val="Table text"/>
    <w:basedOn w:val="Normal"/>
    <w:link w:val="TabletextChar"/>
    <w:qFormat/>
    <w:rsid w:val="00235F2C"/>
    <w:pPr>
      <w:spacing w:after="0" w:line="240" w:lineRule="exact"/>
      <w:jc w:val="left"/>
    </w:pPr>
    <w:rPr>
      <w:rFonts w:ascii="Calibri" w:eastAsia="Times New Roman" w:hAnsi="Calibri"/>
      <w:sz w:val="21"/>
      <w:lang w:val="en-US"/>
    </w:rPr>
  </w:style>
  <w:style w:type="character" w:customStyle="1" w:styleId="TabletextChar">
    <w:name w:val="Table text Char"/>
    <w:basedOn w:val="DefaultParagraphFont"/>
    <w:link w:val="Tabletext"/>
    <w:rsid w:val="00235F2C"/>
    <w:rPr>
      <w:rFonts w:ascii="Calibri" w:eastAsia="Times New Roman" w:hAnsi="Calibri"/>
      <w:sz w:val="21"/>
      <w:lang w:val="en-US" w:eastAsia="el-GR"/>
    </w:rPr>
  </w:style>
  <w:style w:type="table" w:customStyle="1" w:styleId="TableNormal1">
    <w:name w:val="Table Normal1"/>
    <w:rsid w:val="00987A40"/>
    <w:pPr>
      <w:spacing w:after="0"/>
    </w:pPr>
    <w:rPr>
      <w:rFonts w:ascii="Arial" w:eastAsia="Arial" w:hAnsi="Arial" w:cs="Arial"/>
      <w:lang w:eastAsia="el-GR"/>
    </w:rPr>
    <w:tblPr>
      <w:tblCellMar>
        <w:top w:w="0" w:type="dxa"/>
        <w:left w:w="0" w:type="dxa"/>
        <w:bottom w:w="0" w:type="dxa"/>
        <w:right w:w="0" w:type="dxa"/>
      </w:tblCellMar>
    </w:tblPr>
  </w:style>
  <w:style w:type="paragraph" w:styleId="Title">
    <w:name w:val="Title"/>
    <w:basedOn w:val="Normal"/>
    <w:next w:val="Normal"/>
    <w:link w:val="TitleChar"/>
    <w:uiPriority w:val="10"/>
    <w:qFormat/>
    <w:rsid w:val="00987A40"/>
    <w:pPr>
      <w:keepNext/>
      <w:keepLines/>
      <w:spacing w:after="60" w:line="276" w:lineRule="auto"/>
      <w:jc w:val="left"/>
    </w:pPr>
    <w:rPr>
      <w:rFonts w:ascii="Arial" w:eastAsia="Arial" w:hAnsi="Arial" w:cs="Arial"/>
      <w:sz w:val="52"/>
      <w:szCs w:val="52"/>
    </w:rPr>
  </w:style>
  <w:style w:type="character" w:customStyle="1" w:styleId="TitleChar">
    <w:name w:val="Title Char"/>
    <w:basedOn w:val="DefaultParagraphFont"/>
    <w:link w:val="Title"/>
    <w:uiPriority w:val="10"/>
    <w:rsid w:val="00987A40"/>
    <w:rPr>
      <w:rFonts w:ascii="Arial" w:eastAsia="Arial" w:hAnsi="Arial" w:cs="Arial"/>
      <w:sz w:val="52"/>
      <w:szCs w:val="52"/>
      <w:lang w:eastAsia="el-GR"/>
    </w:rPr>
  </w:style>
  <w:style w:type="character" w:customStyle="1" w:styleId="FootnoteCharacters">
    <w:name w:val="Footnote Characters"/>
    <w:rsid w:val="00930D50"/>
    <w:rPr>
      <w:vertAlign w:val="superscript"/>
    </w:rPr>
  </w:style>
  <w:style w:type="table" w:customStyle="1" w:styleId="TableNormal2">
    <w:name w:val="Table Normal2"/>
    <w:rsid w:val="00480A0F"/>
    <w:pPr>
      <w:spacing w:after="0"/>
    </w:pPr>
    <w:rPr>
      <w:rFonts w:ascii="Arial" w:eastAsia="Arial" w:hAnsi="Arial" w:cs="Arial"/>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480A0F"/>
    <w:rPr>
      <w:color w:val="800080" w:themeColor="followedHyperlink"/>
      <w:u w:val="single"/>
    </w:rPr>
  </w:style>
  <w:style w:type="paragraph" w:styleId="TOC4">
    <w:name w:val="toc 4"/>
    <w:basedOn w:val="Normal"/>
    <w:next w:val="Normal"/>
    <w:autoRedefine/>
    <w:uiPriority w:val="39"/>
    <w:unhideWhenUsed/>
    <w:rsid w:val="00A63D56"/>
    <w:pPr>
      <w:spacing w:after="100" w:line="259" w:lineRule="auto"/>
      <w:ind w:left="660"/>
      <w:jc w:val="left"/>
    </w:pPr>
    <w:rPr>
      <w:sz w:val="22"/>
    </w:rPr>
  </w:style>
  <w:style w:type="paragraph" w:styleId="TOC5">
    <w:name w:val="toc 5"/>
    <w:basedOn w:val="Normal"/>
    <w:next w:val="Normal"/>
    <w:autoRedefine/>
    <w:uiPriority w:val="39"/>
    <w:unhideWhenUsed/>
    <w:rsid w:val="00A63D56"/>
    <w:pPr>
      <w:spacing w:after="100" w:line="259" w:lineRule="auto"/>
      <w:ind w:left="880"/>
      <w:jc w:val="left"/>
    </w:pPr>
    <w:rPr>
      <w:sz w:val="22"/>
    </w:rPr>
  </w:style>
  <w:style w:type="paragraph" w:styleId="TOC6">
    <w:name w:val="toc 6"/>
    <w:basedOn w:val="Normal"/>
    <w:next w:val="Normal"/>
    <w:autoRedefine/>
    <w:uiPriority w:val="39"/>
    <w:unhideWhenUsed/>
    <w:rsid w:val="00A63D56"/>
    <w:pPr>
      <w:spacing w:after="100" w:line="259" w:lineRule="auto"/>
      <w:ind w:left="1100"/>
      <w:jc w:val="left"/>
    </w:pPr>
    <w:rPr>
      <w:sz w:val="22"/>
    </w:rPr>
  </w:style>
  <w:style w:type="paragraph" w:styleId="TOC7">
    <w:name w:val="toc 7"/>
    <w:basedOn w:val="Normal"/>
    <w:next w:val="Normal"/>
    <w:autoRedefine/>
    <w:uiPriority w:val="39"/>
    <w:unhideWhenUsed/>
    <w:rsid w:val="00A63D56"/>
    <w:pPr>
      <w:spacing w:after="100" w:line="259" w:lineRule="auto"/>
      <w:ind w:left="1320"/>
      <w:jc w:val="left"/>
    </w:pPr>
    <w:rPr>
      <w:sz w:val="22"/>
    </w:rPr>
  </w:style>
  <w:style w:type="paragraph" w:styleId="TOC8">
    <w:name w:val="toc 8"/>
    <w:basedOn w:val="Normal"/>
    <w:next w:val="Normal"/>
    <w:autoRedefine/>
    <w:uiPriority w:val="39"/>
    <w:unhideWhenUsed/>
    <w:rsid w:val="00A63D56"/>
    <w:pPr>
      <w:spacing w:after="100" w:line="259" w:lineRule="auto"/>
      <w:ind w:left="1540"/>
      <w:jc w:val="left"/>
    </w:pPr>
    <w:rPr>
      <w:sz w:val="22"/>
    </w:rPr>
  </w:style>
  <w:style w:type="paragraph" w:styleId="TOC9">
    <w:name w:val="toc 9"/>
    <w:basedOn w:val="Normal"/>
    <w:next w:val="Normal"/>
    <w:autoRedefine/>
    <w:uiPriority w:val="39"/>
    <w:unhideWhenUsed/>
    <w:rsid w:val="00A63D56"/>
    <w:pPr>
      <w:spacing w:after="100" w:line="259" w:lineRule="auto"/>
      <w:ind w:left="1760"/>
      <w:jc w:val="left"/>
    </w:pPr>
    <w:rPr>
      <w:sz w:val="22"/>
    </w:rPr>
  </w:style>
  <w:style w:type="character" w:customStyle="1" w:styleId="10">
    <w:name w:val="Ανεπίλυτη αναφορά1"/>
    <w:basedOn w:val="DefaultParagraphFont"/>
    <w:uiPriority w:val="99"/>
    <w:semiHidden/>
    <w:unhideWhenUsed/>
    <w:rsid w:val="00A63D56"/>
    <w:rPr>
      <w:color w:val="605E5C"/>
      <w:shd w:val="clear" w:color="auto" w:fill="E1DFDD"/>
    </w:rPr>
  </w:style>
  <w:style w:type="paragraph" w:customStyle="1" w:styleId="footnotedescription">
    <w:name w:val="footnote description"/>
    <w:next w:val="Normal"/>
    <w:link w:val="footnotedescriptionChar"/>
    <w:hidden/>
    <w:rsid w:val="00E03C4A"/>
    <w:pPr>
      <w:spacing w:after="0" w:line="244" w:lineRule="auto"/>
    </w:pPr>
    <w:rPr>
      <w:rFonts w:ascii="Cambria" w:eastAsia="Cambria" w:hAnsi="Cambria" w:cs="Cambria"/>
      <w:color w:val="000000"/>
      <w:sz w:val="18"/>
      <w:lang w:eastAsia="el-GR"/>
    </w:rPr>
  </w:style>
  <w:style w:type="character" w:customStyle="1" w:styleId="footnotedescriptionChar">
    <w:name w:val="footnote description Char"/>
    <w:link w:val="footnotedescription"/>
    <w:rsid w:val="00E03C4A"/>
    <w:rPr>
      <w:rFonts w:ascii="Cambria" w:eastAsia="Cambria" w:hAnsi="Cambria" w:cs="Cambria"/>
      <w:color w:val="000000"/>
      <w:sz w:val="18"/>
      <w:lang w:eastAsia="el-GR"/>
    </w:rPr>
  </w:style>
  <w:style w:type="character" w:customStyle="1" w:styleId="footnotemark">
    <w:name w:val="footnote mark"/>
    <w:hidden/>
    <w:rsid w:val="00E03C4A"/>
    <w:rPr>
      <w:rFonts w:ascii="Cambria" w:eastAsia="Cambria" w:hAnsi="Cambria" w:cs="Cambria"/>
      <w:color w:val="000000"/>
      <w:sz w:val="18"/>
      <w:vertAlign w:val="superscript"/>
    </w:rPr>
  </w:style>
  <w:style w:type="character" w:customStyle="1" w:styleId="mesotitlosChar">
    <w:name w:val="mesotitlos Char"/>
    <w:basedOn w:val="DefaultParagraphFont"/>
    <w:link w:val="mesotitlos"/>
    <w:locked/>
    <w:rsid w:val="00E03AFB"/>
    <w:rPr>
      <w:rFonts w:ascii="Calibri" w:eastAsiaTheme="minorEastAsia" w:hAnsi="Calibri" w:cs="Calibri"/>
      <w:b/>
      <w:sz w:val="24"/>
      <w:lang w:val="en-US" w:eastAsia="el-GR"/>
    </w:rPr>
  </w:style>
  <w:style w:type="paragraph" w:customStyle="1" w:styleId="mesotitlos">
    <w:name w:val="mesotitlos"/>
    <w:basedOn w:val="Normal"/>
    <w:link w:val="mesotitlosChar"/>
    <w:qFormat/>
    <w:rsid w:val="00E03AFB"/>
    <w:pPr>
      <w:spacing w:before="240" w:after="120"/>
    </w:pPr>
    <w:rPr>
      <w:rFonts w:ascii="Calibri" w:hAnsi="Calibri" w:cs="Calibri"/>
      <w:b/>
      <w:sz w:val="24"/>
      <w:lang w:val="en-US"/>
    </w:rPr>
  </w:style>
  <w:style w:type="character" w:customStyle="1" w:styleId="rynqvb">
    <w:name w:val="rynqvb"/>
    <w:basedOn w:val="DefaultParagraphFont"/>
    <w:rsid w:val="00E03AFB"/>
  </w:style>
  <w:style w:type="paragraph" w:styleId="EndnoteText">
    <w:name w:val="endnote text"/>
    <w:basedOn w:val="Normal"/>
    <w:link w:val="EndnoteTextChar"/>
    <w:uiPriority w:val="99"/>
    <w:semiHidden/>
    <w:unhideWhenUsed/>
    <w:rsid w:val="0086197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61977"/>
    <w:rPr>
      <w:rFonts w:eastAsiaTheme="minorEastAsia"/>
      <w:sz w:val="20"/>
      <w:szCs w:val="20"/>
      <w:lang w:eastAsia="el-GR"/>
    </w:rPr>
  </w:style>
  <w:style w:type="character" w:styleId="EndnoteReference">
    <w:name w:val="endnote reference"/>
    <w:basedOn w:val="DefaultParagraphFont"/>
    <w:uiPriority w:val="99"/>
    <w:semiHidden/>
    <w:unhideWhenUsed/>
    <w:rsid w:val="00861977"/>
    <w:rPr>
      <w:vertAlign w:val="superscript"/>
    </w:rPr>
  </w:style>
  <w:style w:type="character" w:styleId="UnresolvedMention">
    <w:name w:val="Unresolved Mention"/>
    <w:basedOn w:val="DefaultParagraphFont"/>
    <w:uiPriority w:val="99"/>
    <w:semiHidden/>
    <w:unhideWhenUsed/>
    <w:rsid w:val="004028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3401">
      <w:bodyDiv w:val="1"/>
      <w:marLeft w:val="0"/>
      <w:marRight w:val="0"/>
      <w:marTop w:val="0"/>
      <w:marBottom w:val="0"/>
      <w:divBdr>
        <w:top w:val="none" w:sz="0" w:space="0" w:color="auto"/>
        <w:left w:val="none" w:sz="0" w:space="0" w:color="auto"/>
        <w:bottom w:val="none" w:sz="0" w:space="0" w:color="auto"/>
        <w:right w:val="none" w:sz="0" w:space="0" w:color="auto"/>
      </w:divBdr>
    </w:div>
    <w:div w:id="2513404">
      <w:bodyDiv w:val="1"/>
      <w:marLeft w:val="0"/>
      <w:marRight w:val="0"/>
      <w:marTop w:val="0"/>
      <w:marBottom w:val="0"/>
      <w:divBdr>
        <w:top w:val="none" w:sz="0" w:space="0" w:color="auto"/>
        <w:left w:val="none" w:sz="0" w:space="0" w:color="auto"/>
        <w:bottom w:val="none" w:sz="0" w:space="0" w:color="auto"/>
        <w:right w:val="none" w:sz="0" w:space="0" w:color="auto"/>
      </w:divBdr>
    </w:div>
    <w:div w:id="3015354">
      <w:bodyDiv w:val="1"/>
      <w:marLeft w:val="0"/>
      <w:marRight w:val="0"/>
      <w:marTop w:val="0"/>
      <w:marBottom w:val="0"/>
      <w:divBdr>
        <w:top w:val="none" w:sz="0" w:space="0" w:color="auto"/>
        <w:left w:val="none" w:sz="0" w:space="0" w:color="auto"/>
        <w:bottom w:val="none" w:sz="0" w:space="0" w:color="auto"/>
        <w:right w:val="none" w:sz="0" w:space="0" w:color="auto"/>
      </w:divBdr>
    </w:div>
    <w:div w:id="10494955">
      <w:bodyDiv w:val="1"/>
      <w:marLeft w:val="0"/>
      <w:marRight w:val="0"/>
      <w:marTop w:val="0"/>
      <w:marBottom w:val="0"/>
      <w:divBdr>
        <w:top w:val="none" w:sz="0" w:space="0" w:color="auto"/>
        <w:left w:val="none" w:sz="0" w:space="0" w:color="auto"/>
        <w:bottom w:val="none" w:sz="0" w:space="0" w:color="auto"/>
        <w:right w:val="none" w:sz="0" w:space="0" w:color="auto"/>
      </w:divBdr>
    </w:div>
    <w:div w:id="14618813">
      <w:bodyDiv w:val="1"/>
      <w:marLeft w:val="0"/>
      <w:marRight w:val="0"/>
      <w:marTop w:val="0"/>
      <w:marBottom w:val="0"/>
      <w:divBdr>
        <w:top w:val="none" w:sz="0" w:space="0" w:color="auto"/>
        <w:left w:val="none" w:sz="0" w:space="0" w:color="auto"/>
        <w:bottom w:val="none" w:sz="0" w:space="0" w:color="auto"/>
        <w:right w:val="none" w:sz="0" w:space="0" w:color="auto"/>
      </w:divBdr>
    </w:div>
    <w:div w:id="15926820">
      <w:bodyDiv w:val="1"/>
      <w:marLeft w:val="0"/>
      <w:marRight w:val="0"/>
      <w:marTop w:val="0"/>
      <w:marBottom w:val="0"/>
      <w:divBdr>
        <w:top w:val="none" w:sz="0" w:space="0" w:color="auto"/>
        <w:left w:val="none" w:sz="0" w:space="0" w:color="auto"/>
        <w:bottom w:val="none" w:sz="0" w:space="0" w:color="auto"/>
        <w:right w:val="none" w:sz="0" w:space="0" w:color="auto"/>
      </w:divBdr>
    </w:div>
    <w:div w:id="18090164">
      <w:bodyDiv w:val="1"/>
      <w:marLeft w:val="0"/>
      <w:marRight w:val="0"/>
      <w:marTop w:val="0"/>
      <w:marBottom w:val="0"/>
      <w:divBdr>
        <w:top w:val="none" w:sz="0" w:space="0" w:color="auto"/>
        <w:left w:val="none" w:sz="0" w:space="0" w:color="auto"/>
        <w:bottom w:val="none" w:sz="0" w:space="0" w:color="auto"/>
        <w:right w:val="none" w:sz="0" w:space="0" w:color="auto"/>
      </w:divBdr>
    </w:div>
    <w:div w:id="18550058">
      <w:bodyDiv w:val="1"/>
      <w:marLeft w:val="0"/>
      <w:marRight w:val="0"/>
      <w:marTop w:val="0"/>
      <w:marBottom w:val="0"/>
      <w:divBdr>
        <w:top w:val="none" w:sz="0" w:space="0" w:color="auto"/>
        <w:left w:val="none" w:sz="0" w:space="0" w:color="auto"/>
        <w:bottom w:val="none" w:sz="0" w:space="0" w:color="auto"/>
        <w:right w:val="none" w:sz="0" w:space="0" w:color="auto"/>
      </w:divBdr>
    </w:div>
    <w:div w:id="25328918">
      <w:bodyDiv w:val="1"/>
      <w:marLeft w:val="0"/>
      <w:marRight w:val="0"/>
      <w:marTop w:val="0"/>
      <w:marBottom w:val="0"/>
      <w:divBdr>
        <w:top w:val="none" w:sz="0" w:space="0" w:color="auto"/>
        <w:left w:val="none" w:sz="0" w:space="0" w:color="auto"/>
        <w:bottom w:val="none" w:sz="0" w:space="0" w:color="auto"/>
        <w:right w:val="none" w:sz="0" w:space="0" w:color="auto"/>
      </w:divBdr>
    </w:div>
    <w:div w:id="29453596">
      <w:bodyDiv w:val="1"/>
      <w:marLeft w:val="0"/>
      <w:marRight w:val="0"/>
      <w:marTop w:val="0"/>
      <w:marBottom w:val="0"/>
      <w:divBdr>
        <w:top w:val="none" w:sz="0" w:space="0" w:color="auto"/>
        <w:left w:val="none" w:sz="0" w:space="0" w:color="auto"/>
        <w:bottom w:val="none" w:sz="0" w:space="0" w:color="auto"/>
        <w:right w:val="none" w:sz="0" w:space="0" w:color="auto"/>
      </w:divBdr>
    </w:div>
    <w:div w:id="31195811">
      <w:bodyDiv w:val="1"/>
      <w:marLeft w:val="0"/>
      <w:marRight w:val="0"/>
      <w:marTop w:val="0"/>
      <w:marBottom w:val="0"/>
      <w:divBdr>
        <w:top w:val="none" w:sz="0" w:space="0" w:color="auto"/>
        <w:left w:val="none" w:sz="0" w:space="0" w:color="auto"/>
        <w:bottom w:val="none" w:sz="0" w:space="0" w:color="auto"/>
        <w:right w:val="none" w:sz="0" w:space="0" w:color="auto"/>
      </w:divBdr>
    </w:div>
    <w:div w:id="32774571">
      <w:bodyDiv w:val="1"/>
      <w:marLeft w:val="0"/>
      <w:marRight w:val="0"/>
      <w:marTop w:val="0"/>
      <w:marBottom w:val="0"/>
      <w:divBdr>
        <w:top w:val="none" w:sz="0" w:space="0" w:color="auto"/>
        <w:left w:val="none" w:sz="0" w:space="0" w:color="auto"/>
        <w:bottom w:val="none" w:sz="0" w:space="0" w:color="auto"/>
        <w:right w:val="none" w:sz="0" w:space="0" w:color="auto"/>
      </w:divBdr>
    </w:div>
    <w:div w:id="37050871">
      <w:bodyDiv w:val="1"/>
      <w:marLeft w:val="0"/>
      <w:marRight w:val="0"/>
      <w:marTop w:val="0"/>
      <w:marBottom w:val="0"/>
      <w:divBdr>
        <w:top w:val="none" w:sz="0" w:space="0" w:color="auto"/>
        <w:left w:val="none" w:sz="0" w:space="0" w:color="auto"/>
        <w:bottom w:val="none" w:sz="0" w:space="0" w:color="auto"/>
        <w:right w:val="none" w:sz="0" w:space="0" w:color="auto"/>
      </w:divBdr>
    </w:div>
    <w:div w:id="41253804">
      <w:bodyDiv w:val="1"/>
      <w:marLeft w:val="0"/>
      <w:marRight w:val="0"/>
      <w:marTop w:val="0"/>
      <w:marBottom w:val="0"/>
      <w:divBdr>
        <w:top w:val="none" w:sz="0" w:space="0" w:color="auto"/>
        <w:left w:val="none" w:sz="0" w:space="0" w:color="auto"/>
        <w:bottom w:val="none" w:sz="0" w:space="0" w:color="auto"/>
        <w:right w:val="none" w:sz="0" w:space="0" w:color="auto"/>
      </w:divBdr>
    </w:div>
    <w:div w:id="49109998">
      <w:bodyDiv w:val="1"/>
      <w:marLeft w:val="0"/>
      <w:marRight w:val="0"/>
      <w:marTop w:val="0"/>
      <w:marBottom w:val="0"/>
      <w:divBdr>
        <w:top w:val="none" w:sz="0" w:space="0" w:color="auto"/>
        <w:left w:val="none" w:sz="0" w:space="0" w:color="auto"/>
        <w:bottom w:val="none" w:sz="0" w:space="0" w:color="auto"/>
        <w:right w:val="none" w:sz="0" w:space="0" w:color="auto"/>
      </w:divBdr>
    </w:div>
    <w:div w:id="53503147">
      <w:bodyDiv w:val="1"/>
      <w:marLeft w:val="0"/>
      <w:marRight w:val="0"/>
      <w:marTop w:val="0"/>
      <w:marBottom w:val="0"/>
      <w:divBdr>
        <w:top w:val="none" w:sz="0" w:space="0" w:color="auto"/>
        <w:left w:val="none" w:sz="0" w:space="0" w:color="auto"/>
        <w:bottom w:val="none" w:sz="0" w:space="0" w:color="auto"/>
        <w:right w:val="none" w:sz="0" w:space="0" w:color="auto"/>
      </w:divBdr>
    </w:div>
    <w:div w:id="54934441">
      <w:bodyDiv w:val="1"/>
      <w:marLeft w:val="0"/>
      <w:marRight w:val="0"/>
      <w:marTop w:val="0"/>
      <w:marBottom w:val="0"/>
      <w:divBdr>
        <w:top w:val="none" w:sz="0" w:space="0" w:color="auto"/>
        <w:left w:val="none" w:sz="0" w:space="0" w:color="auto"/>
        <w:bottom w:val="none" w:sz="0" w:space="0" w:color="auto"/>
        <w:right w:val="none" w:sz="0" w:space="0" w:color="auto"/>
      </w:divBdr>
    </w:div>
    <w:div w:id="55518166">
      <w:bodyDiv w:val="1"/>
      <w:marLeft w:val="0"/>
      <w:marRight w:val="0"/>
      <w:marTop w:val="0"/>
      <w:marBottom w:val="0"/>
      <w:divBdr>
        <w:top w:val="none" w:sz="0" w:space="0" w:color="auto"/>
        <w:left w:val="none" w:sz="0" w:space="0" w:color="auto"/>
        <w:bottom w:val="none" w:sz="0" w:space="0" w:color="auto"/>
        <w:right w:val="none" w:sz="0" w:space="0" w:color="auto"/>
      </w:divBdr>
    </w:div>
    <w:div w:id="56051090">
      <w:bodyDiv w:val="1"/>
      <w:marLeft w:val="0"/>
      <w:marRight w:val="0"/>
      <w:marTop w:val="0"/>
      <w:marBottom w:val="0"/>
      <w:divBdr>
        <w:top w:val="none" w:sz="0" w:space="0" w:color="auto"/>
        <w:left w:val="none" w:sz="0" w:space="0" w:color="auto"/>
        <w:bottom w:val="none" w:sz="0" w:space="0" w:color="auto"/>
        <w:right w:val="none" w:sz="0" w:space="0" w:color="auto"/>
      </w:divBdr>
    </w:div>
    <w:div w:id="64451682">
      <w:bodyDiv w:val="1"/>
      <w:marLeft w:val="0"/>
      <w:marRight w:val="0"/>
      <w:marTop w:val="0"/>
      <w:marBottom w:val="0"/>
      <w:divBdr>
        <w:top w:val="none" w:sz="0" w:space="0" w:color="auto"/>
        <w:left w:val="none" w:sz="0" w:space="0" w:color="auto"/>
        <w:bottom w:val="none" w:sz="0" w:space="0" w:color="auto"/>
        <w:right w:val="none" w:sz="0" w:space="0" w:color="auto"/>
      </w:divBdr>
    </w:div>
    <w:div w:id="65536248">
      <w:bodyDiv w:val="1"/>
      <w:marLeft w:val="0"/>
      <w:marRight w:val="0"/>
      <w:marTop w:val="0"/>
      <w:marBottom w:val="0"/>
      <w:divBdr>
        <w:top w:val="none" w:sz="0" w:space="0" w:color="auto"/>
        <w:left w:val="none" w:sz="0" w:space="0" w:color="auto"/>
        <w:bottom w:val="none" w:sz="0" w:space="0" w:color="auto"/>
        <w:right w:val="none" w:sz="0" w:space="0" w:color="auto"/>
      </w:divBdr>
    </w:div>
    <w:div w:id="72356392">
      <w:bodyDiv w:val="1"/>
      <w:marLeft w:val="0"/>
      <w:marRight w:val="0"/>
      <w:marTop w:val="0"/>
      <w:marBottom w:val="0"/>
      <w:divBdr>
        <w:top w:val="none" w:sz="0" w:space="0" w:color="auto"/>
        <w:left w:val="none" w:sz="0" w:space="0" w:color="auto"/>
        <w:bottom w:val="none" w:sz="0" w:space="0" w:color="auto"/>
        <w:right w:val="none" w:sz="0" w:space="0" w:color="auto"/>
      </w:divBdr>
    </w:div>
    <w:div w:id="73552142">
      <w:bodyDiv w:val="1"/>
      <w:marLeft w:val="0"/>
      <w:marRight w:val="0"/>
      <w:marTop w:val="0"/>
      <w:marBottom w:val="0"/>
      <w:divBdr>
        <w:top w:val="none" w:sz="0" w:space="0" w:color="auto"/>
        <w:left w:val="none" w:sz="0" w:space="0" w:color="auto"/>
        <w:bottom w:val="none" w:sz="0" w:space="0" w:color="auto"/>
        <w:right w:val="none" w:sz="0" w:space="0" w:color="auto"/>
      </w:divBdr>
    </w:div>
    <w:div w:id="77529119">
      <w:bodyDiv w:val="1"/>
      <w:marLeft w:val="0"/>
      <w:marRight w:val="0"/>
      <w:marTop w:val="0"/>
      <w:marBottom w:val="0"/>
      <w:divBdr>
        <w:top w:val="none" w:sz="0" w:space="0" w:color="auto"/>
        <w:left w:val="none" w:sz="0" w:space="0" w:color="auto"/>
        <w:bottom w:val="none" w:sz="0" w:space="0" w:color="auto"/>
        <w:right w:val="none" w:sz="0" w:space="0" w:color="auto"/>
      </w:divBdr>
    </w:div>
    <w:div w:id="83381099">
      <w:bodyDiv w:val="1"/>
      <w:marLeft w:val="0"/>
      <w:marRight w:val="0"/>
      <w:marTop w:val="0"/>
      <w:marBottom w:val="0"/>
      <w:divBdr>
        <w:top w:val="none" w:sz="0" w:space="0" w:color="auto"/>
        <w:left w:val="none" w:sz="0" w:space="0" w:color="auto"/>
        <w:bottom w:val="none" w:sz="0" w:space="0" w:color="auto"/>
        <w:right w:val="none" w:sz="0" w:space="0" w:color="auto"/>
      </w:divBdr>
    </w:div>
    <w:div w:id="83845446">
      <w:bodyDiv w:val="1"/>
      <w:marLeft w:val="0"/>
      <w:marRight w:val="0"/>
      <w:marTop w:val="0"/>
      <w:marBottom w:val="0"/>
      <w:divBdr>
        <w:top w:val="none" w:sz="0" w:space="0" w:color="auto"/>
        <w:left w:val="none" w:sz="0" w:space="0" w:color="auto"/>
        <w:bottom w:val="none" w:sz="0" w:space="0" w:color="auto"/>
        <w:right w:val="none" w:sz="0" w:space="0" w:color="auto"/>
      </w:divBdr>
    </w:div>
    <w:div w:id="84620966">
      <w:bodyDiv w:val="1"/>
      <w:marLeft w:val="0"/>
      <w:marRight w:val="0"/>
      <w:marTop w:val="0"/>
      <w:marBottom w:val="0"/>
      <w:divBdr>
        <w:top w:val="none" w:sz="0" w:space="0" w:color="auto"/>
        <w:left w:val="none" w:sz="0" w:space="0" w:color="auto"/>
        <w:bottom w:val="none" w:sz="0" w:space="0" w:color="auto"/>
        <w:right w:val="none" w:sz="0" w:space="0" w:color="auto"/>
      </w:divBdr>
    </w:div>
    <w:div w:id="85199912">
      <w:bodyDiv w:val="1"/>
      <w:marLeft w:val="0"/>
      <w:marRight w:val="0"/>
      <w:marTop w:val="0"/>
      <w:marBottom w:val="0"/>
      <w:divBdr>
        <w:top w:val="none" w:sz="0" w:space="0" w:color="auto"/>
        <w:left w:val="none" w:sz="0" w:space="0" w:color="auto"/>
        <w:bottom w:val="none" w:sz="0" w:space="0" w:color="auto"/>
        <w:right w:val="none" w:sz="0" w:space="0" w:color="auto"/>
      </w:divBdr>
    </w:div>
    <w:div w:id="87119206">
      <w:bodyDiv w:val="1"/>
      <w:marLeft w:val="0"/>
      <w:marRight w:val="0"/>
      <w:marTop w:val="0"/>
      <w:marBottom w:val="0"/>
      <w:divBdr>
        <w:top w:val="none" w:sz="0" w:space="0" w:color="auto"/>
        <w:left w:val="none" w:sz="0" w:space="0" w:color="auto"/>
        <w:bottom w:val="none" w:sz="0" w:space="0" w:color="auto"/>
        <w:right w:val="none" w:sz="0" w:space="0" w:color="auto"/>
      </w:divBdr>
    </w:div>
    <w:div w:id="87310040">
      <w:bodyDiv w:val="1"/>
      <w:marLeft w:val="0"/>
      <w:marRight w:val="0"/>
      <w:marTop w:val="0"/>
      <w:marBottom w:val="0"/>
      <w:divBdr>
        <w:top w:val="none" w:sz="0" w:space="0" w:color="auto"/>
        <w:left w:val="none" w:sz="0" w:space="0" w:color="auto"/>
        <w:bottom w:val="none" w:sz="0" w:space="0" w:color="auto"/>
        <w:right w:val="none" w:sz="0" w:space="0" w:color="auto"/>
      </w:divBdr>
    </w:div>
    <w:div w:id="88156996">
      <w:bodyDiv w:val="1"/>
      <w:marLeft w:val="0"/>
      <w:marRight w:val="0"/>
      <w:marTop w:val="0"/>
      <w:marBottom w:val="0"/>
      <w:divBdr>
        <w:top w:val="none" w:sz="0" w:space="0" w:color="auto"/>
        <w:left w:val="none" w:sz="0" w:space="0" w:color="auto"/>
        <w:bottom w:val="none" w:sz="0" w:space="0" w:color="auto"/>
        <w:right w:val="none" w:sz="0" w:space="0" w:color="auto"/>
      </w:divBdr>
    </w:div>
    <w:div w:id="91323630">
      <w:bodyDiv w:val="1"/>
      <w:marLeft w:val="0"/>
      <w:marRight w:val="0"/>
      <w:marTop w:val="0"/>
      <w:marBottom w:val="0"/>
      <w:divBdr>
        <w:top w:val="none" w:sz="0" w:space="0" w:color="auto"/>
        <w:left w:val="none" w:sz="0" w:space="0" w:color="auto"/>
        <w:bottom w:val="none" w:sz="0" w:space="0" w:color="auto"/>
        <w:right w:val="none" w:sz="0" w:space="0" w:color="auto"/>
      </w:divBdr>
    </w:div>
    <w:div w:id="93865877">
      <w:bodyDiv w:val="1"/>
      <w:marLeft w:val="0"/>
      <w:marRight w:val="0"/>
      <w:marTop w:val="0"/>
      <w:marBottom w:val="0"/>
      <w:divBdr>
        <w:top w:val="none" w:sz="0" w:space="0" w:color="auto"/>
        <w:left w:val="none" w:sz="0" w:space="0" w:color="auto"/>
        <w:bottom w:val="none" w:sz="0" w:space="0" w:color="auto"/>
        <w:right w:val="none" w:sz="0" w:space="0" w:color="auto"/>
      </w:divBdr>
    </w:div>
    <w:div w:id="95449326">
      <w:bodyDiv w:val="1"/>
      <w:marLeft w:val="0"/>
      <w:marRight w:val="0"/>
      <w:marTop w:val="0"/>
      <w:marBottom w:val="0"/>
      <w:divBdr>
        <w:top w:val="none" w:sz="0" w:space="0" w:color="auto"/>
        <w:left w:val="none" w:sz="0" w:space="0" w:color="auto"/>
        <w:bottom w:val="none" w:sz="0" w:space="0" w:color="auto"/>
        <w:right w:val="none" w:sz="0" w:space="0" w:color="auto"/>
      </w:divBdr>
    </w:div>
    <w:div w:id="103883825">
      <w:bodyDiv w:val="1"/>
      <w:marLeft w:val="0"/>
      <w:marRight w:val="0"/>
      <w:marTop w:val="0"/>
      <w:marBottom w:val="0"/>
      <w:divBdr>
        <w:top w:val="none" w:sz="0" w:space="0" w:color="auto"/>
        <w:left w:val="none" w:sz="0" w:space="0" w:color="auto"/>
        <w:bottom w:val="none" w:sz="0" w:space="0" w:color="auto"/>
        <w:right w:val="none" w:sz="0" w:space="0" w:color="auto"/>
      </w:divBdr>
    </w:div>
    <w:div w:id="107894536">
      <w:bodyDiv w:val="1"/>
      <w:marLeft w:val="0"/>
      <w:marRight w:val="0"/>
      <w:marTop w:val="0"/>
      <w:marBottom w:val="0"/>
      <w:divBdr>
        <w:top w:val="none" w:sz="0" w:space="0" w:color="auto"/>
        <w:left w:val="none" w:sz="0" w:space="0" w:color="auto"/>
        <w:bottom w:val="none" w:sz="0" w:space="0" w:color="auto"/>
        <w:right w:val="none" w:sz="0" w:space="0" w:color="auto"/>
      </w:divBdr>
    </w:div>
    <w:div w:id="109864745">
      <w:bodyDiv w:val="1"/>
      <w:marLeft w:val="0"/>
      <w:marRight w:val="0"/>
      <w:marTop w:val="0"/>
      <w:marBottom w:val="0"/>
      <w:divBdr>
        <w:top w:val="none" w:sz="0" w:space="0" w:color="auto"/>
        <w:left w:val="none" w:sz="0" w:space="0" w:color="auto"/>
        <w:bottom w:val="none" w:sz="0" w:space="0" w:color="auto"/>
        <w:right w:val="none" w:sz="0" w:space="0" w:color="auto"/>
      </w:divBdr>
    </w:div>
    <w:div w:id="120460467">
      <w:bodyDiv w:val="1"/>
      <w:marLeft w:val="0"/>
      <w:marRight w:val="0"/>
      <w:marTop w:val="0"/>
      <w:marBottom w:val="0"/>
      <w:divBdr>
        <w:top w:val="none" w:sz="0" w:space="0" w:color="auto"/>
        <w:left w:val="none" w:sz="0" w:space="0" w:color="auto"/>
        <w:bottom w:val="none" w:sz="0" w:space="0" w:color="auto"/>
        <w:right w:val="none" w:sz="0" w:space="0" w:color="auto"/>
      </w:divBdr>
    </w:div>
    <w:div w:id="122618226">
      <w:bodyDiv w:val="1"/>
      <w:marLeft w:val="0"/>
      <w:marRight w:val="0"/>
      <w:marTop w:val="0"/>
      <w:marBottom w:val="0"/>
      <w:divBdr>
        <w:top w:val="none" w:sz="0" w:space="0" w:color="auto"/>
        <w:left w:val="none" w:sz="0" w:space="0" w:color="auto"/>
        <w:bottom w:val="none" w:sz="0" w:space="0" w:color="auto"/>
        <w:right w:val="none" w:sz="0" w:space="0" w:color="auto"/>
      </w:divBdr>
    </w:div>
    <w:div w:id="125784871">
      <w:bodyDiv w:val="1"/>
      <w:marLeft w:val="0"/>
      <w:marRight w:val="0"/>
      <w:marTop w:val="0"/>
      <w:marBottom w:val="0"/>
      <w:divBdr>
        <w:top w:val="none" w:sz="0" w:space="0" w:color="auto"/>
        <w:left w:val="none" w:sz="0" w:space="0" w:color="auto"/>
        <w:bottom w:val="none" w:sz="0" w:space="0" w:color="auto"/>
        <w:right w:val="none" w:sz="0" w:space="0" w:color="auto"/>
      </w:divBdr>
    </w:div>
    <w:div w:id="126511566">
      <w:bodyDiv w:val="1"/>
      <w:marLeft w:val="0"/>
      <w:marRight w:val="0"/>
      <w:marTop w:val="0"/>
      <w:marBottom w:val="0"/>
      <w:divBdr>
        <w:top w:val="none" w:sz="0" w:space="0" w:color="auto"/>
        <w:left w:val="none" w:sz="0" w:space="0" w:color="auto"/>
        <w:bottom w:val="none" w:sz="0" w:space="0" w:color="auto"/>
        <w:right w:val="none" w:sz="0" w:space="0" w:color="auto"/>
      </w:divBdr>
    </w:div>
    <w:div w:id="148327948">
      <w:bodyDiv w:val="1"/>
      <w:marLeft w:val="0"/>
      <w:marRight w:val="0"/>
      <w:marTop w:val="0"/>
      <w:marBottom w:val="0"/>
      <w:divBdr>
        <w:top w:val="none" w:sz="0" w:space="0" w:color="auto"/>
        <w:left w:val="none" w:sz="0" w:space="0" w:color="auto"/>
        <w:bottom w:val="none" w:sz="0" w:space="0" w:color="auto"/>
        <w:right w:val="none" w:sz="0" w:space="0" w:color="auto"/>
      </w:divBdr>
    </w:div>
    <w:div w:id="148401988">
      <w:bodyDiv w:val="1"/>
      <w:marLeft w:val="0"/>
      <w:marRight w:val="0"/>
      <w:marTop w:val="0"/>
      <w:marBottom w:val="0"/>
      <w:divBdr>
        <w:top w:val="none" w:sz="0" w:space="0" w:color="auto"/>
        <w:left w:val="none" w:sz="0" w:space="0" w:color="auto"/>
        <w:bottom w:val="none" w:sz="0" w:space="0" w:color="auto"/>
        <w:right w:val="none" w:sz="0" w:space="0" w:color="auto"/>
      </w:divBdr>
    </w:div>
    <w:div w:id="160590263">
      <w:bodyDiv w:val="1"/>
      <w:marLeft w:val="0"/>
      <w:marRight w:val="0"/>
      <w:marTop w:val="0"/>
      <w:marBottom w:val="0"/>
      <w:divBdr>
        <w:top w:val="none" w:sz="0" w:space="0" w:color="auto"/>
        <w:left w:val="none" w:sz="0" w:space="0" w:color="auto"/>
        <w:bottom w:val="none" w:sz="0" w:space="0" w:color="auto"/>
        <w:right w:val="none" w:sz="0" w:space="0" w:color="auto"/>
      </w:divBdr>
    </w:div>
    <w:div w:id="170604479">
      <w:bodyDiv w:val="1"/>
      <w:marLeft w:val="0"/>
      <w:marRight w:val="0"/>
      <w:marTop w:val="0"/>
      <w:marBottom w:val="0"/>
      <w:divBdr>
        <w:top w:val="none" w:sz="0" w:space="0" w:color="auto"/>
        <w:left w:val="none" w:sz="0" w:space="0" w:color="auto"/>
        <w:bottom w:val="none" w:sz="0" w:space="0" w:color="auto"/>
        <w:right w:val="none" w:sz="0" w:space="0" w:color="auto"/>
      </w:divBdr>
    </w:div>
    <w:div w:id="171071451">
      <w:bodyDiv w:val="1"/>
      <w:marLeft w:val="0"/>
      <w:marRight w:val="0"/>
      <w:marTop w:val="0"/>
      <w:marBottom w:val="0"/>
      <w:divBdr>
        <w:top w:val="none" w:sz="0" w:space="0" w:color="auto"/>
        <w:left w:val="none" w:sz="0" w:space="0" w:color="auto"/>
        <w:bottom w:val="none" w:sz="0" w:space="0" w:color="auto"/>
        <w:right w:val="none" w:sz="0" w:space="0" w:color="auto"/>
      </w:divBdr>
    </w:div>
    <w:div w:id="171650400">
      <w:bodyDiv w:val="1"/>
      <w:marLeft w:val="0"/>
      <w:marRight w:val="0"/>
      <w:marTop w:val="0"/>
      <w:marBottom w:val="0"/>
      <w:divBdr>
        <w:top w:val="none" w:sz="0" w:space="0" w:color="auto"/>
        <w:left w:val="none" w:sz="0" w:space="0" w:color="auto"/>
        <w:bottom w:val="none" w:sz="0" w:space="0" w:color="auto"/>
        <w:right w:val="none" w:sz="0" w:space="0" w:color="auto"/>
      </w:divBdr>
    </w:div>
    <w:div w:id="175851102">
      <w:bodyDiv w:val="1"/>
      <w:marLeft w:val="0"/>
      <w:marRight w:val="0"/>
      <w:marTop w:val="0"/>
      <w:marBottom w:val="0"/>
      <w:divBdr>
        <w:top w:val="none" w:sz="0" w:space="0" w:color="auto"/>
        <w:left w:val="none" w:sz="0" w:space="0" w:color="auto"/>
        <w:bottom w:val="none" w:sz="0" w:space="0" w:color="auto"/>
        <w:right w:val="none" w:sz="0" w:space="0" w:color="auto"/>
      </w:divBdr>
    </w:div>
    <w:div w:id="176117768">
      <w:bodyDiv w:val="1"/>
      <w:marLeft w:val="0"/>
      <w:marRight w:val="0"/>
      <w:marTop w:val="0"/>
      <w:marBottom w:val="0"/>
      <w:divBdr>
        <w:top w:val="none" w:sz="0" w:space="0" w:color="auto"/>
        <w:left w:val="none" w:sz="0" w:space="0" w:color="auto"/>
        <w:bottom w:val="none" w:sz="0" w:space="0" w:color="auto"/>
        <w:right w:val="none" w:sz="0" w:space="0" w:color="auto"/>
      </w:divBdr>
    </w:div>
    <w:div w:id="181170835">
      <w:bodyDiv w:val="1"/>
      <w:marLeft w:val="0"/>
      <w:marRight w:val="0"/>
      <w:marTop w:val="0"/>
      <w:marBottom w:val="0"/>
      <w:divBdr>
        <w:top w:val="none" w:sz="0" w:space="0" w:color="auto"/>
        <w:left w:val="none" w:sz="0" w:space="0" w:color="auto"/>
        <w:bottom w:val="none" w:sz="0" w:space="0" w:color="auto"/>
        <w:right w:val="none" w:sz="0" w:space="0" w:color="auto"/>
      </w:divBdr>
    </w:div>
    <w:div w:id="182935641">
      <w:bodyDiv w:val="1"/>
      <w:marLeft w:val="0"/>
      <w:marRight w:val="0"/>
      <w:marTop w:val="0"/>
      <w:marBottom w:val="0"/>
      <w:divBdr>
        <w:top w:val="none" w:sz="0" w:space="0" w:color="auto"/>
        <w:left w:val="none" w:sz="0" w:space="0" w:color="auto"/>
        <w:bottom w:val="none" w:sz="0" w:space="0" w:color="auto"/>
        <w:right w:val="none" w:sz="0" w:space="0" w:color="auto"/>
      </w:divBdr>
    </w:div>
    <w:div w:id="189076580">
      <w:bodyDiv w:val="1"/>
      <w:marLeft w:val="0"/>
      <w:marRight w:val="0"/>
      <w:marTop w:val="0"/>
      <w:marBottom w:val="0"/>
      <w:divBdr>
        <w:top w:val="none" w:sz="0" w:space="0" w:color="auto"/>
        <w:left w:val="none" w:sz="0" w:space="0" w:color="auto"/>
        <w:bottom w:val="none" w:sz="0" w:space="0" w:color="auto"/>
        <w:right w:val="none" w:sz="0" w:space="0" w:color="auto"/>
      </w:divBdr>
    </w:div>
    <w:div w:id="189299371">
      <w:bodyDiv w:val="1"/>
      <w:marLeft w:val="0"/>
      <w:marRight w:val="0"/>
      <w:marTop w:val="0"/>
      <w:marBottom w:val="0"/>
      <w:divBdr>
        <w:top w:val="none" w:sz="0" w:space="0" w:color="auto"/>
        <w:left w:val="none" w:sz="0" w:space="0" w:color="auto"/>
        <w:bottom w:val="none" w:sz="0" w:space="0" w:color="auto"/>
        <w:right w:val="none" w:sz="0" w:space="0" w:color="auto"/>
      </w:divBdr>
    </w:div>
    <w:div w:id="189342341">
      <w:bodyDiv w:val="1"/>
      <w:marLeft w:val="0"/>
      <w:marRight w:val="0"/>
      <w:marTop w:val="0"/>
      <w:marBottom w:val="0"/>
      <w:divBdr>
        <w:top w:val="none" w:sz="0" w:space="0" w:color="auto"/>
        <w:left w:val="none" w:sz="0" w:space="0" w:color="auto"/>
        <w:bottom w:val="none" w:sz="0" w:space="0" w:color="auto"/>
        <w:right w:val="none" w:sz="0" w:space="0" w:color="auto"/>
      </w:divBdr>
    </w:div>
    <w:div w:id="190539240">
      <w:bodyDiv w:val="1"/>
      <w:marLeft w:val="0"/>
      <w:marRight w:val="0"/>
      <w:marTop w:val="0"/>
      <w:marBottom w:val="0"/>
      <w:divBdr>
        <w:top w:val="none" w:sz="0" w:space="0" w:color="auto"/>
        <w:left w:val="none" w:sz="0" w:space="0" w:color="auto"/>
        <w:bottom w:val="none" w:sz="0" w:space="0" w:color="auto"/>
        <w:right w:val="none" w:sz="0" w:space="0" w:color="auto"/>
      </w:divBdr>
    </w:div>
    <w:div w:id="192808338">
      <w:bodyDiv w:val="1"/>
      <w:marLeft w:val="0"/>
      <w:marRight w:val="0"/>
      <w:marTop w:val="0"/>
      <w:marBottom w:val="0"/>
      <w:divBdr>
        <w:top w:val="none" w:sz="0" w:space="0" w:color="auto"/>
        <w:left w:val="none" w:sz="0" w:space="0" w:color="auto"/>
        <w:bottom w:val="none" w:sz="0" w:space="0" w:color="auto"/>
        <w:right w:val="none" w:sz="0" w:space="0" w:color="auto"/>
      </w:divBdr>
    </w:div>
    <w:div w:id="204951120">
      <w:bodyDiv w:val="1"/>
      <w:marLeft w:val="0"/>
      <w:marRight w:val="0"/>
      <w:marTop w:val="0"/>
      <w:marBottom w:val="0"/>
      <w:divBdr>
        <w:top w:val="none" w:sz="0" w:space="0" w:color="auto"/>
        <w:left w:val="none" w:sz="0" w:space="0" w:color="auto"/>
        <w:bottom w:val="none" w:sz="0" w:space="0" w:color="auto"/>
        <w:right w:val="none" w:sz="0" w:space="0" w:color="auto"/>
      </w:divBdr>
    </w:div>
    <w:div w:id="210918619">
      <w:bodyDiv w:val="1"/>
      <w:marLeft w:val="0"/>
      <w:marRight w:val="0"/>
      <w:marTop w:val="0"/>
      <w:marBottom w:val="0"/>
      <w:divBdr>
        <w:top w:val="none" w:sz="0" w:space="0" w:color="auto"/>
        <w:left w:val="none" w:sz="0" w:space="0" w:color="auto"/>
        <w:bottom w:val="none" w:sz="0" w:space="0" w:color="auto"/>
        <w:right w:val="none" w:sz="0" w:space="0" w:color="auto"/>
      </w:divBdr>
    </w:div>
    <w:div w:id="213347204">
      <w:bodyDiv w:val="1"/>
      <w:marLeft w:val="0"/>
      <w:marRight w:val="0"/>
      <w:marTop w:val="0"/>
      <w:marBottom w:val="0"/>
      <w:divBdr>
        <w:top w:val="none" w:sz="0" w:space="0" w:color="auto"/>
        <w:left w:val="none" w:sz="0" w:space="0" w:color="auto"/>
        <w:bottom w:val="none" w:sz="0" w:space="0" w:color="auto"/>
        <w:right w:val="none" w:sz="0" w:space="0" w:color="auto"/>
      </w:divBdr>
    </w:div>
    <w:div w:id="215049512">
      <w:bodyDiv w:val="1"/>
      <w:marLeft w:val="0"/>
      <w:marRight w:val="0"/>
      <w:marTop w:val="0"/>
      <w:marBottom w:val="0"/>
      <w:divBdr>
        <w:top w:val="none" w:sz="0" w:space="0" w:color="auto"/>
        <w:left w:val="none" w:sz="0" w:space="0" w:color="auto"/>
        <w:bottom w:val="none" w:sz="0" w:space="0" w:color="auto"/>
        <w:right w:val="none" w:sz="0" w:space="0" w:color="auto"/>
      </w:divBdr>
    </w:div>
    <w:div w:id="221527142">
      <w:bodyDiv w:val="1"/>
      <w:marLeft w:val="0"/>
      <w:marRight w:val="0"/>
      <w:marTop w:val="0"/>
      <w:marBottom w:val="0"/>
      <w:divBdr>
        <w:top w:val="none" w:sz="0" w:space="0" w:color="auto"/>
        <w:left w:val="none" w:sz="0" w:space="0" w:color="auto"/>
        <w:bottom w:val="none" w:sz="0" w:space="0" w:color="auto"/>
        <w:right w:val="none" w:sz="0" w:space="0" w:color="auto"/>
      </w:divBdr>
    </w:div>
    <w:div w:id="229275552">
      <w:bodyDiv w:val="1"/>
      <w:marLeft w:val="0"/>
      <w:marRight w:val="0"/>
      <w:marTop w:val="0"/>
      <w:marBottom w:val="0"/>
      <w:divBdr>
        <w:top w:val="none" w:sz="0" w:space="0" w:color="auto"/>
        <w:left w:val="none" w:sz="0" w:space="0" w:color="auto"/>
        <w:bottom w:val="none" w:sz="0" w:space="0" w:color="auto"/>
        <w:right w:val="none" w:sz="0" w:space="0" w:color="auto"/>
      </w:divBdr>
    </w:div>
    <w:div w:id="230778850">
      <w:bodyDiv w:val="1"/>
      <w:marLeft w:val="0"/>
      <w:marRight w:val="0"/>
      <w:marTop w:val="0"/>
      <w:marBottom w:val="0"/>
      <w:divBdr>
        <w:top w:val="none" w:sz="0" w:space="0" w:color="auto"/>
        <w:left w:val="none" w:sz="0" w:space="0" w:color="auto"/>
        <w:bottom w:val="none" w:sz="0" w:space="0" w:color="auto"/>
        <w:right w:val="none" w:sz="0" w:space="0" w:color="auto"/>
      </w:divBdr>
    </w:div>
    <w:div w:id="231161273">
      <w:bodyDiv w:val="1"/>
      <w:marLeft w:val="0"/>
      <w:marRight w:val="0"/>
      <w:marTop w:val="0"/>
      <w:marBottom w:val="0"/>
      <w:divBdr>
        <w:top w:val="none" w:sz="0" w:space="0" w:color="auto"/>
        <w:left w:val="none" w:sz="0" w:space="0" w:color="auto"/>
        <w:bottom w:val="none" w:sz="0" w:space="0" w:color="auto"/>
        <w:right w:val="none" w:sz="0" w:space="0" w:color="auto"/>
      </w:divBdr>
    </w:div>
    <w:div w:id="233904537">
      <w:bodyDiv w:val="1"/>
      <w:marLeft w:val="0"/>
      <w:marRight w:val="0"/>
      <w:marTop w:val="0"/>
      <w:marBottom w:val="0"/>
      <w:divBdr>
        <w:top w:val="none" w:sz="0" w:space="0" w:color="auto"/>
        <w:left w:val="none" w:sz="0" w:space="0" w:color="auto"/>
        <w:bottom w:val="none" w:sz="0" w:space="0" w:color="auto"/>
        <w:right w:val="none" w:sz="0" w:space="0" w:color="auto"/>
      </w:divBdr>
    </w:div>
    <w:div w:id="238370811">
      <w:bodyDiv w:val="1"/>
      <w:marLeft w:val="0"/>
      <w:marRight w:val="0"/>
      <w:marTop w:val="0"/>
      <w:marBottom w:val="0"/>
      <w:divBdr>
        <w:top w:val="none" w:sz="0" w:space="0" w:color="auto"/>
        <w:left w:val="none" w:sz="0" w:space="0" w:color="auto"/>
        <w:bottom w:val="none" w:sz="0" w:space="0" w:color="auto"/>
        <w:right w:val="none" w:sz="0" w:space="0" w:color="auto"/>
      </w:divBdr>
    </w:div>
    <w:div w:id="241961168">
      <w:bodyDiv w:val="1"/>
      <w:marLeft w:val="0"/>
      <w:marRight w:val="0"/>
      <w:marTop w:val="0"/>
      <w:marBottom w:val="0"/>
      <w:divBdr>
        <w:top w:val="none" w:sz="0" w:space="0" w:color="auto"/>
        <w:left w:val="none" w:sz="0" w:space="0" w:color="auto"/>
        <w:bottom w:val="none" w:sz="0" w:space="0" w:color="auto"/>
        <w:right w:val="none" w:sz="0" w:space="0" w:color="auto"/>
      </w:divBdr>
    </w:div>
    <w:div w:id="244925072">
      <w:bodyDiv w:val="1"/>
      <w:marLeft w:val="0"/>
      <w:marRight w:val="0"/>
      <w:marTop w:val="0"/>
      <w:marBottom w:val="0"/>
      <w:divBdr>
        <w:top w:val="none" w:sz="0" w:space="0" w:color="auto"/>
        <w:left w:val="none" w:sz="0" w:space="0" w:color="auto"/>
        <w:bottom w:val="none" w:sz="0" w:space="0" w:color="auto"/>
        <w:right w:val="none" w:sz="0" w:space="0" w:color="auto"/>
      </w:divBdr>
    </w:div>
    <w:div w:id="244925570">
      <w:bodyDiv w:val="1"/>
      <w:marLeft w:val="0"/>
      <w:marRight w:val="0"/>
      <w:marTop w:val="0"/>
      <w:marBottom w:val="0"/>
      <w:divBdr>
        <w:top w:val="none" w:sz="0" w:space="0" w:color="auto"/>
        <w:left w:val="none" w:sz="0" w:space="0" w:color="auto"/>
        <w:bottom w:val="none" w:sz="0" w:space="0" w:color="auto"/>
        <w:right w:val="none" w:sz="0" w:space="0" w:color="auto"/>
      </w:divBdr>
    </w:div>
    <w:div w:id="245575462">
      <w:bodyDiv w:val="1"/>
      <w:marLeft w:val="0"/>
      <w:marRight w:val="0"/>
      <w:marTop w:val="0"/>
      <w:marBottom w:val="0"/>
      <w:divBdr>
        <w:top w:val="none" w:sz="0" w:space="0" w:color="auto"/>
        <w:left w:val="none" w:sz="0" w:space="0" w:color="auto"/>
        <w:bottom w:val="none" w:sz="0" w:space="0" w:color="auto"/>
        <w:right w:val="none" w:sz="0" w:space="0" w:color="auto"/>
      </w:divBdr>
    </w:div>
    <w:div w:id="255745539">
      <w:bodyDiv w:val="1"/>
      <w:marLeft w:val="0"/>
      <w:marRight w:val="0"/>
      <w:marTop w:val="0"/>
      <w:marBottom w:val="0"/>
      <w:divBdr>
        <w:top w:val="none" w:sz="0" w:space="0" w:color="auto"/>
        <w:left w:val="none" w:sz="0" w:space="0" w:color="auto"/>
        <w:bottom w:val="none" w:sz="0" w:space="0" w:color="auto"/>
        <w:right w:val="none" w:sz="0" w:space="0" w:color="auto"/>
      </w:divBdr>
    </w:div>
    <w:div w:id="256912815">
      <w:bodyDiv w:val="1"/>
      <w:marLeft w:val="0"/>
      <w:marRight w:val="0"/>
      <w:marTop w:val="0"/>
      <w:marBottom w:val="0"/>
      <w:divBdr>
        <w:top w:val="none" w:sz="0" w:space="0" w:color="auto"/>
        <w:left w:val="none" w:sz="0" w:space="0" w:color="auto"/>
        <w:bottom w:val="none" w:sz="0" w:space="0" w:color="auto"/>
        <w:right w:val="none" w:sz="0" w:space="0" w:color="auto"/>
      </w:divBdr>
    </w:div>
    <w:div w:id="257911078">
      <w:bodyDiv w:val="1"/>
      <w:marLeft w:val="0"/>
      <w:marRight w:val="0"/>
      <w:marTop w:val="0"/>
      <w:marBottom w:val="0"/>
      <w:divBdr>
        <w:top w:val="none" w:sz="0" w:space="0" w:color="auto"/>
        <w:left w:val="none" w:sz="0" w:space="0" w:color="auto"/>
        <w:bottom w:val="none" w:sz="0" w:space="0" w:color="auto"/>
        <w:right w:val="none" w:sz="0" w:space="0" w:color="auto"/>
      </w:divBdr>
    </w:div>
    <w:div w:id="264194860">
      <w:bodyDiv w:val="1"/>
      <w:marLeft w:val="0"/>
      <w:marRight w:val="0"/>
      <w:marTop w:val="0"/>
      <w:marBottom w:val="0"/>
      <w:divBdr>
        <w:top w:val="none" w:sz="0" w:space="0" w:color="auto"/>
        <w:left w:val="none" w:sz="0" w:space="0" w:color="auto"/>
        <w:bottom w:val="none" w:sz="0" w:space="0" w:color="auto"/>
        <w:right w:val="none" w:sz="0" w:space="0" w:color="auto"/>
      </w:divBdr>
    </w:div>
    <w:div w:id="270868542">
      <w:bodyDiv w:val="1"/>
      <w:marLeft w:val="0"/>
      <w:marRight w:val="0"/>
      <w:marTop w:val="0"/>
      <w:marBottom w:val="0"/>
      <w:divBdr>
        <w:top w:val="none" w:sz="0" w:space="0" w:color="auto"/>
        <w:left w:val="none" w:sz="0" w:space="0" w:color="auto"/>
        <w:bottom w:val="none" w:sz="0" w:space="0" w:color="auto"/>
        <w:right w:val="none" w:sz="0" w:space="0" w:color="auto"/>
      </w:divBdr>
    </w:div>
    <w:div w:id="276956157">
      <w:bodyDiv w:val="1"/>
      <w:marLeft w:val="0"/>
      <w:marRight w:val="0"/>
      <w:marTop w:val="0"/>
      <w:marBottom w:val="0"/>
      <w:divBdr>
        <w:top w:val="none" w:sz="0" w:space="0" w:color="auto"/>
        <w:left w:val="none" w:sz="0" w:space="0" w:color="auto"/>
        <w:bottom w:val="none" w:sz="0" w:space="0" w:color="auto"/>
        <w:right w:val="none" w:sz="0" w:space="0" w:color="auto"/>
      </w:divBdr>
    </w:div>
    <w:div w:id="277880836">
      <w:bodyDiv w:val="1"/>
      <w:marLeft w:val="0"/>
      <w:marRight w:val="0"/>
      <w:marTop w:val="0"/>
      <w:marBottom w:val="0"/>
      <w:divBdr>
        <w:top w:val="none" w:sz="0" w:space="0" w:color="auto"/>
        <w:left w:val="none" w:sz="0" w:space="0" w:color="auto"/>
        <w:bottom w:val="none" w:sz="0" w:space="0" w:color="auto"/>
        <w:right w:val="none" w:sz="0" w:space="0" w:color="auto"/>
      </w:divBdr>
    </w:div>
    <w:div w:id="281958645">
      <w:bodyDiv w:val="1"/>
      <w:marLeft w:val="0"/>
      <w:marRight w:val="0"/>
      <w:marTop w:val="0"/>
      <w:marBottom w:val="0"/>
      <w:divBdr>
        <w:top w:val="none" w:sz="0" w:space="0" w:color="auto"/>
        <w:left w:val="none" w:sz="0" w:space="0" w:color="auto"/>
        <w:bottom w:val="none" w:sz="0" w:space="0" w:color="auto"/>
        <w:right w:val="none" w:sz="0" w:space="0" w:color="auto"/>
      </w:divBdr>
    </w:div>
    <w:div w:id="285307956">
      <w:bodyDiv w:val="1"/>
      <w:marLeft w:val="0"/>
      <w:marRight w:val="0"/>
      <w:marTop w:val="0"/>
      <w:marBottom w:val="0"/>
      <w:divBdr>
        <w:top w:val="none" w:sz="0" w:space="0" w:color="auto"/>
        <w:left w:val="none" w:sz="0" w:space="0" w:color="auto"/>
        <w:bottom w:val="none" w:sz="0" w:space="0" w:color="auto"/>
        <w:right w:val="none" w:sz="0" w:space="0" w:color="auto"/>
      </w:divBdr>
    </w:div>
    <w:div w:id="287205032">
      <w:bodyDiv w:val="1"/>
      <w:marLeft w:val="0"/>
      <w:marRight w:val="0"/>
      <w:marTop w:val="0"/>
      <w:marBottom w:val="0"/>
      <w:divBdr>
        <w:top w:val="none" w:sz="0" w:space="0" w:color="auto"/>
        <w:left w:val="none" w:sz="0" w:space="0" w:color="auto"/>
        <w:bottom w:val="none" w:sz="0" w:space="0" w:color="auto"/>
        <w:right w:val="none" w:sz="0" w:space="0" w:color="auto"/>
      </w:divBdr>
    </w:div>
    <w:div w:id="287245096">
      <w:bodyDiv w:val="1"/>
      <w:marLeft w:val="0"/>
      <w:marRight w:val="0"/>
      <w:marTop w:val="0"/>
      <w:marBottom w:val="0"/>
      <w:divBdr>
        <w:top w:val="none" w:sz="0" w:space="0" w:color="auto"/>
        <w:left w:val="none" w:sz="0" w:space="0" w:color="auto"/>
        <w:bottom w:val="none" w:sz="0" w:space="0" w:color="auto"/>
        <w:right w:val="none" w:sz="0" w:space="0" w:color="auto"/>
      </w:divBdr>
    </w:div>
    <w:div w:id="287587781">
      <w:bodyDiv w:val="1"/>
      <w:marLeft w:val="0"/>
      <w:marRight w:val="0"/>
      <w:marTop w:val="0"/>
      <w:marBottom w:val="0"/>
      <w:divBdr>
        <w:top w:val="none" w:sz="0" w:space="0" w:color="auto"/>
        <w:left w:val="none" w:sz="0" w:space="0" w:color="auto"/>
        <w:bottom w:val="none" w:sz="0" w:space="0" w:color="auto"/>
        <w:right w:val="none" w:sz="0" w:space="0" w:color="auto"/>
      </w:divBdr>
    </w:div>
    <w:div w:id="292491187">
      <w:bodyDiv w:val="1"/>
      <w:marLeft w:val="0"/>
      <w:marRight w:val="0"/>
      <w:marTop w:val="0"/>
      <w:marBottom w:val="0"/>
      <w:divBdr>
        <w:top w:val="none" w:sz="0" w:space="0" w:color="auto"/>
        <w:left w:val="none" w:sz="0" w:space="0" w:color="auto"/>
        <w:bottom w:val="none" w:sz="0" w:space="0" w:color="auto"/>
        <w:right w:val="none" w:sz="0" w:space="0" w:color="auto"/>
      </w:divBdr>
    </w:div>
    <w:div w:id="294264220">
      <w:bodyDiv w:val="1"/>
      <w:marLeft w:val="0"/>
      <w:marRight w:val="0"/>
      <w:marTop w:val="0"/>
      <w:marBottom w:val="0"/>
      <w:divBdr>
        <w:top w:val="none" w:sz="0" w:space="0" w:color="auto"/>
        <w:left w:val="none" w:sz="0" w:space="0" w:color="auto"/>
        <w:bottom w:val="none" w:sz="0" w:space="0" w:color="auto"/>
        <w:right w:val="none" w:sz="0" w:space="0" w:color="auto"/>
      </w:divBdr>
    </w:div>
    <w:div w:id="303512010">
      <w:bodyDiv w:val="1"/>
      <w:marLeft w:val="0"/>
      <w:marRight w:val="0"/>
      <w:marTop w:val="0"/>
      <w:marBottom w:val="0"/>
      <w:divBdr>
        <w:top w:val="none" w:sz="0" w:space="0" w:color="auto"/>
        <w:left w:val="none" w:sz="0" w:space="0" w:color="auto"/>
        <w:bottom w:val="none" w:sz="0" w:space="0" w:color="auto"/>
        <w:right w:val="none" w:sz="0" w:space="0" w:color="auto"/>
      </w:divBdr>
    </w:div>
    <w:div w:id="304048978">
      <w:bodyDiv w:val="1"/>
      <w:marLeft w:val="0"/>
      <w:marRight w:val="0"/>
      <w:marTop w:val="0"/>
      <w:marBottom w:val="0"/>
      <w:divBdr>
        <w:top w:val="none" w:sz="0" w:space="0" w:color="auto"/>
        <w:left w:val="none" w:sz="0" w:space="0" w:color="auto"/>
        <w:bottom w:val="none" w:sz="0" w:space="0" w:color="auto"/>
        <w:right w:val="none" w:sz="0" w:space="0" w:color="auto"/>
      </w:divBdr>
    </w:div>
    <w:div w:id="310332786">
      <w:bodyDiv w:val="1"/>
      <w:marLeft w:val="0"/>
      <w:marRight w:val="0"/>
      <w:marTop w:val="0"/>
      <w:marBottom w:val="0"/>
      <w:divBdr>
        <w:top w:val="none" w:sz="0" w:space="0" w:color="auto"/>
        <w:left w:val="none" w:sz="0" w:space="0" w:color="auto"/>
        <w:bottom w:val="none" w:sz="0" w:space="0" w:color="auto"/>
        <w:right w:val="none" w:sz="0" w:space="0" w:color="auto"/>
      </w:divBdr>
    </w:div>
    <w:div w:id="312953984">
      <w:bodyDiv w:val="1"/>
      <w:marLeft w:val="0"/>
      <w:marRight w:val="0"/>
      <w:marTop w:val="0"/>
      <w:marBottom w:val="0"/>
      <w:divBdr>
        <w:top w:val="none" w:sz="0" w:space="0" w:color="auto"/>
        <w:left w:val="none" w:sz="0" w:space="0" w:color="auto"/>
        <w:bottom w:val="none" w:sz="0" w:space="0" w:color="auto"/>
        <w:right w:val="none" w:sz="0" w:space="0" w:color="auto"/>
      </w:divBdr>
    </w:div>
    <w:div w:id="313876913">
      <w:bodyDiv w:val="1"/>
      <w:marLeft w:val="0"/>
      <w:marRight w:val="0"/>
      <w:marTop w:val="0"/>
      <w:marBottom w:val="0"/>
      <w:divBdr>
        <w:top w:val="none" w:sz="0" w:space="0" w:color="auto"/>
        <w:left w:val="none" w:sz="0" w:space="0" w:color="auto"/>
        <w:bottom w:val="none" w:sz="0" w:space="0" w:color="auto"/>
        <w:right w:val="none" w:sz="0" w:space="0" w:color="auto"/>
      </w:divBdr>
    </w:div>
    <w:div w:id="319846198">
      <w:bodyDiv w:val="1"/>
      <w:marLeft w:val="0"/>
      <w:marRight w:val="0"/>
      <w:marTop w:val="0"/>
      <w:marBottom w:val="0"/>
      <w:divBdr>
        <w:top w:val="none" w:sz="0" w:space="0" w:color="auto"/>
        <w:left w:val="none" w:sz="0" w:space="0" w:color="auto"/>
        <w:bottom w:val="none" w:sz="0" w:space="0" w:color="auto"/>
        <w:right w:val="none" w:sz="0" w:space="0" w:color="auto"/>
      </w:divBdr>
    </w:div>
    <w:div w:id="322634301">
      <w:bodyDiv w:val="1"/>
      <w:marLeft w:val="0"/>
      <w:marRight w:val="0"/>
      <w:marTop w:val="0"/>
      <w:marBottom w:val="0"/>
      <w:divBdr>
        <w:top w:val="none" w:sz="0" w:space="0" w:color="auto"/>
        <w:left w:val="none" w:sz="0" w:space="0" w:color="auto"/>
        <w:bottom w:val="none" w:sz="0" w:space="0" w:color="auto"/>
        <w:right w:val="none" w:sz="0" w:space="0" w:color="auto"/>
      </w:divBdr>
    </w:div>
    <w:div w:id="327483580">
      <w:bodyDiv w:val="1"/>
      <w:marLeft w:val="0"/>
      <w:marRight w:val="0"/>
      <w:marTop w:val="0"/>
      <w:marBottom w:val="0"/>
      <w:divBdr>
        <w:top w:val="none" w:sz="0" w:space="0" w:color="auto"/>
        <w:left w:val="none" w:sz="0" w:space="0" w:color="auto"/>
        <w:bottom w:val="none" w:sz="0" w:space="0" w:color="auto"/>
        <w:right w:val="none" w:sz="0" w:space="0" w:color="auto"/>
      </w:divBdr>
    </w:div>
    <w:div w:id="332031101">
      <w:bodyDiv w:val="1"/>
      <w:marLeft w:val="0"/>
      <w:marRight w:val="0"/>
      <w:marTop w:val="0"/>
      <w:marBottom w:val="0"/>
      <w:divBdr>
        <w:top w:val="none" w:sz="0" w:space="0" w:color="auto"/>
        <w:left w:val="none" w:sz="0" w:space="0" w:color="auto"/>
        <w:bottom w:val="none" w:sz="0" w:space="0" w:color="auto"/>
        <w:right w:val="none" w:sz="0" w:space="0" w:color="auto"/>
      </w:divBdr>
    </w:div>
    <w:div w:id="337001555">
      <w:bodyDiv w:val="1"/>
      <w:marLeft w:val="0"/>
      <w:marRight w:val="0"/>
      <w:marTop w:val="0"/>
      <w:marBottom w:val="0"/>
      <w:divBdr>
        <w:top w:val="none" w:sz="0" w:space="0" w:color="auto"/>
        <w:left w:val="none" w:sz="0" w:space="0" w:color="auto"/>
        <w:bottom w:val="none" w:sz="0" w:space="0" w:color="auto"/>
        <w:right w:val="none" w:sz="0" w:space="0" w:color="auto"/>
      </w:divBdr>
    </w:div>
    <w:div w:id="337469981">
      <w:bodyDiv w:val="1"/>
      <w:marLeft w:val="0"/>
      <w:marRight w:val="0"/>
      <w:marTop w:val="0"/>
      <w:marBottom w:val="0"/>
      <w:divBdr>
        <w:top w:val="none" w:sz="0" w:space="0" w:color="auto"/>
        <w:left w:val="none" w:sz="0" w:space="0" w:color="auto"/>
        <w:bottom w:val="none" w:sz="0" w:space="0" w:color="auto"/>
        <w:right w:val="none" w:sz="0" w:space="0" w:color="auto"/>
      </w:divBdr>
    </w:div>
    <w:div w:id="340162365">
      <w:bodyDiv w:val="1"/>
      <w:marLeft w:val="0"/>
      <w:marRight w:val="0"/>
      <w:marTop w:val="0"/>
      <w:marBottom w:val="0"/>
      <w:divBdr>
        <w:top w:val="none" w:sz="0" w:space="0" w:color="auto"/>
        <w:left w:val="none" w:sz="0" w:space="0" w:color="auto"/>
        <w:bottom w:val="none" w:sz="0" w:space="0" w:color="auto"/>
        <w:right w:val="none" w:sz="0" w:space="0" w:color="auto"/>
      </w:divBdr>
    </w:div>
    <w:div w:id="344404869">
      <w:bodyDiv w:val="1"/>
      <w:marLeft w:val="0"/>
      <w:marRight w:val="0"/>
      <w:marTop w:val="0"/>
      <w:marBottom w:val="0"/>
      <w:divBdr>
        <w:top w:val="none" w:sz="0" w:space="0" w:color="auto"/>
        <w:left w:val="none" w:sz="0" w:space="0" w:color="auto"/>
        <w:bottom w:val="none" w:sz="0" w:space="0" w:color="auto"/>
        <w:right w:val="none" w:sz="0" w:space="0" w:color="auto"/>
      </w:divBdr>
    </w:div>
    <w:div w:id="349720138">
      <w:bodyDiv w:val="1"/>
      <w:marLeft w:val="0"/>
      <w:marRight w:val="0"/>
      <w:marTop w:val="0"/>
      <w:marBottom w:val="0"/>
      <w:divBdr>
        <w:top w:val="none" w:sz="0" w:space="0" w:color="auto"/>
        <w:left w:val="none" w:sz="0" w:space="0" w:color="auto"/>
        <w:bottom w:val="none" w:sz="0" w:space="0" w:color="auto"/>
        <w:right w:val="none" w:sz="0" w:space="0" w:color="auto"/>
      </w:divBdr>
    </w:div>
    <w:div w:id="350108915">
      <w:bodyDiv w:val="1"/>
      <w:marLeft w:val="0"/>
      <w:marRight w:val="0"/>
      <w:marTop w:val="0"/>
      <w:marBottom w:val="0"/>
      <w:divBdr>
        <w:top w:val="none" w:sz="0" w:space="0" w:color="auto"/>
        <w:left w:val="none" w:sz="0" w:space="0" w:color="auto"/>
        <w:bottom w:val="none" w:sz="0" w:space="0" w:color="auto"/>
        <w:right w:val="none" w:sz="0" w:space="0" w:color="auto"/>
      </w:divBdr>
    </w:div>
    <w:div w:id="354843782">
      <w:bodyDiv w:val="1"/>
      <w:marLeft w:val="0"/>
      <w:marRight w:val="0"/>
      <w:marTop w:val="0"/>
      <w:marBottom w:val="0"/>
      <w:divBdr>
        <w:top w:val="none" w:sz="0" w:space="0" w:color="auto"/>
        <w:left w:val="none" w:sz="0" w:space="0" w:color="auto"/>
        <w:bottom w:val="none" w:sz="0" w:space="0" w:color="auto"/>
        <w:right w:val="none" w:sz="0" w:space="0" w:color="auto"/>
      </w:divBdr>
    </w:div>
    <w:div w:id="355278044">
      <w:bodyDiv w:val="1"/>
      <w:marLeft w:val="0"/>
      <w:marRight w:val="0"/>
      <w:marTop w:val="0"/>
      <w:marBottom w:val="0"/>
      <w:divBdr>
        <w:top w:val="none" w:sz="0" w:space="0" w:color="auto"/>
        <w:left w:val="none" w:sz="0" w:space="0" w:color="auto"/>
        <w:bottom w:val="none" w:sz="0" w:space="0" w:color="auto"/>
        <w:right w:val="none" w:sz="0" w:space="0" w:color="auto"/>
      </w:divBdr>
    </w:div>
    <w:div w:id="355352278">
      <w:bodyDiv w:val="1"/>
      <w:marLeft w:val="0"/>
      <w:marRight w:val="0"/>
      <w:marTop w:val="0"/>
      <w:marBottom w:val="0"/>
      <w:divBdr>
        <w:top w:val="none" w:sz="0" w:space="0" w:color="auto"/>
        <w:left w:val="none" w:sz="0" w:space="0" w:color="auto"/>
        <w:bottom w:val="none" w:sz="0" w:space="0" w:color="auto"/>
        <w:right w:val="none" w:sz="0" w:space="0" w:color="auto"/>
      </w:divBdr>
    </w:div>
    <w:div w:id="360127510">
      <w:bodyDiv w:val="1"/>
      <w:marLeft w:val="0"/>
      <w:marRight w:val="0"/>
      <w:marTop w:val="0"/>
      <w:marBottom w:val="0"/>
      <w:divBdr>
        <w:top w:val="none" w:sz="0" w:space="0" w:color="auto"/>
        <w:left w:val="none" w:sz="0" w:space="0" w:color="auto"/>
        <w:bottom w:val="none" w:sz="0" w:space="0" w:color="auto"/>
        <w:right w:val="none" w:sz="0" w:space="0" w:color="auto"/>
      </w:divBdr>
    </w:div>
    <w:div w:id="362287794">
      <w:bodyDiv w:val="1"/>
      <w:marLeft w:val="0"/>
      <w:marRight w:val="0"/>
      <w:marTop w:val="0"/>
      <w:marBottom w:val="0"/>
      <w:divBdr>
        <w:top w:val="none" w:sz="0" w:space="0" w:color="auto"/>
        <w:left w:val="none" w:sz="0" w:space="0" w:color="auto"/>
        <w:bottom w:val="none" w:sz="0" w:space="0" w:color="auto"/>
        <w:right w:val="none" w:sz="0" w:space="0" w:color="auto"/>
      </w:divBdr>
    </w:div>
    <w:div w:id="362677854">
      <w:bodyDiv w:val="1"/>
      <w:marLeft w:val="0"/>
      <w:marRight w:val="0"/>
      <w:marTop w:val="0"/>
      <w:marBottom w:val="0"/>
      <w:divBdr>
        <w:top w:val="none" w:sz="0" w:space="0" w:color="auto"/>
        <w:left w:val="none" w:sz="0" w:space="0" w:color="auto"/>
        <w:bottom w:val="none" w:sz="0" w:space="0" w:color="auto"/>
        <w:right w:val="none" w:sz="0" w:space="0" w:color="auto"/>
      </w:divBdr>
    </w:div>
    <w:div w:id="363017163">
      <w:bodyDiv w:val="1"/>
      <w:marLeft w:val="0"/>
      <w:marRight w:val="0"/>
      <w:marTop w:val="0"/>
      <w:marBottom w:val="0"/>
      <w:divBdr>
        <w:top w:val="none" w:sz="0" w:space="0" w:color="auto"/>
        <w:left w:val="none" w:sz="0" w:space="0" w:color="auto"/>
        <w:bottom w:val="none" w:sz="0" w:space="0" w:color="auto"/>
        <w:right w:val="none" w:sz="0" w:space="0" w:color="auto"/>
      </w:divBdr>
    </w:div>
    <w:div w:id="369646749">
      <w:bodyDiv w:val="1"/>
      <w:marLeft w:val="0"/>
      <w:marRight w:val="0"/>
      <w:marTop w:val="0"/>
      <w:marBottom w:val="0"/>
      <w:divBdr>
        <w:top w:val="none" w:sz="0" w:space="0" w:color="auto"/>
        <w:left w:val="none" w:sz="0" w:space="0" w:color="auto"/>
        <w:bottom w:val="none" w:sz="0" w:space="0" w:color="auto"/>
        <w:right w:val="none" w:sz="0" w:space="0" w:color="auto"/>
      </w:divBdr>
    </w:div>
    <w:div w:id="375931492">
      <w:bodyDiv w:val="1"/>
      <w:marLeft w:val="0"/>
      <w:marRight w:val="0"/>
      <w:marTop w:val="0"/>
      <w:marBottom w:val="0"/>
      <w:divBdr>
        <w:top w:val="none" w:sz="0" w:space="0" w:color="auto"/>
        <w:left w:val="none" w:sz="0" w:space="0" w:color="auto"/>
        <w:bottom w:val="none" w:sz="0" w:space="0" w:color="auto"/>
        <w:right w:val="none" w:sz="0" w:space="0" w:color="auto"/>
      </w:divBdr>
    </w:div>
    <w:div w:id="381708270">
      <w:bodyDiv w:val="1"/>
      <w:marLeft w:val="0"/>
      <w:marRight w:val="0"/>
      <w:marTop w:val="0"/>
      <w:marBottom w:val="0"/>
      <w:divBdr>
        <w:top w:val="none" w:sz="0" w:space="0" w:color="auto"/>
        <w:left w:val="none" w:sz="0" w:space="0" w:color="auto"/>
        <w:bottom w:val="none" w:sz="0" w:space="0" w:color="auto"/>
        <w:right w:val="none" w:sz="0" w:space="0" w:color="auto"/>
      </w:divBdr>
    </w:div>
    <w:div w:id="384568620">
      <w:bodyDiv w:val="1"/>
      <w:marLeft w:val="0"/>
      <w:marRight w:val="0"/>
      <w:marTop w:val="0"/>
      <w:marBottom w:val="0"/>
      <w:divBdr>
        <w:top w:val="none" w:sz="0" w:space="0" w:color="auto"/>
        <w:left w:val="none" w:sz="0" w:space="0" w:color="auto"/>
        <w:bottom w:val="none" w:sz="0" w:space="0" w:color="auto"/>
        <w:right w:val="none" w:sz="0" w:space="0" w:color="auto"/>
      </w:divBdr>
    </w:div>
    <w:div w:id="388459156">
      <w:bodyDiv w:val="1"/>
      <w:marLeft w:val="0"/>
      <w:marRight w:val="0"/>
      <w:marTop w:val="0"/>
      <w:marBottom w:val="0"/>
      <w:divBdr>
        <w:top w:val="none" w:sz="0" w:space="0" w:color="auto"/>
        <w:left w:val="none" w:sz="0" w:space="0" w:color="auto"/>
        <w:bottom w:val="none" w:sz="0" w:space="0" w:color="auto"/>
        <w:right w:val="none" w:sz="0" w:space="0" w:color="auto"/>
      </w:divBdr>
    </w:div>
    <w:div w:id="388499017">
      <w:bodyDiv w:val="1"/>
      <w:marLeft w:val="0"/>
      <w:marRight w:val="0"/>
      <w:marTop w:val="0"/>
      <w:marBottom w:val="0"/>
      <w:divBdr>
        <w:top w:val="none" w:sz="0" w:space="0" w:color="auto"/>
        <w:left w:val="none" w:sz="0" w:space="0" w:color="auto"/>
        <w:bottom w:val="none" w:sz="0" w:space="0" w:color="auto"/>
        <w:right w:val="none" w:sz="0" w:space="0" w:color="auto"/>
      </w:divBdr>
    </w:div>
    <w:div w:id="389963719">
      <w:bodyDiv w:val="1"/>
      <w:marLeft w:val="0"/>
      <w:marRight w:val="0"/>
      <w:marTop w:val="0"/>
      <w:marBottom w:val="0"/>
      <w:divBdr>
        <w:top w:val="none" w:sz="0" w:space="0" w:color="auto"/>
        <w:left w:val="none" w:sz="0" w:space="0" w:color="auto"/>
        <w:bottom w:val="none" w:sz="0" w:space="0" w:color="auto"/>
        <w:right w:val="none" w:sz="0" w:space="0" w:color="auto"/>
      </w:divBdr>
    </w:div>
    <w:div w:id="392000656">
      <w:bodyDiv w:val="1"/>
      <w:marLeft w:val="0"/>
      <w:marRight w:val="0"/>
      <w:marTop w:val="0"/>
      <w:marBottom w:val="0"/>
      <w:divBdr>
        <w:top w:val="none" w:sz="0" w:space="0" w:color="auto"/>
        <w:left w:val="none" w:sz="0" w:space="0" w:color="auto"/>
        <w:bottom w:val="none" w:sz="0" w:space="0" w:color="auto"/>
        <w:right w:val="none" w:sz="0" w:space="0" w:color="auto"/>
      </w:divBdr>
    </w:div>
    <w:div w:id="392779558">
      <w:bodyDiv w:val="1"/>
      <w:marLeft w:val="0"/>
      <w:marRight w:val="0"/>
      <w:marTop w:val="0"/>
      <w:marBottom w:val="0"/>
      <w:divBdr>
        <w:top w:val="none" w:sz="0" w:space="0" w:color="auto"/>
        <w:left w:val="none" w:sz="0" w:space="0" w:color="auto"/>
        <w:bottom w:val="none" w:sz="0" w:space="0" w:color="auto"/>
        <w:right w:val="none" w:sz="0" w:space="0" w:color="auto"/>
      </w:divBdr>
    </w:div>
    <w:div w:id="394936164">
      <w:bodyDiv w:val="1"/>
      <w:marLeft w:val="0"/>
      <w:marRight w:val="0"/>
      <w:marTop w:val="0"/>
      <w:marBottom w:val="0"/>
      <w:divBdr>
        <w:top w:val="none" w:sz="0" w:space="0" w:color="auto"/>
        <w:left w:val="none" w:sz="0" w:space="0" w:color="auto"/>
        <w:bottom w:val="none" w:sz="0" w:space="0" w:color="auto"/>
        <w:right w:val="none" w:sz="0" w:space="0" w:color="auto"/>
      </w:divBdr>
    </w:div>
    <w:div w:id="395475282">
      <w:bodyDiv w:val="1"/>
      <w:marLeft w:val="0"/>
      <w:marRight w:val="0"/>
      <w:marTop w:val="0"/>
      <w:marBottom w:val="0"/>
      <w:divBdr>
        <w:top w:val="none" w:sz="0" w:space="0" w:color="auto"/>
        <w:left w:val="none" w:sz="0" w:space="0" w:color="auto"/>
        <w:bottom w:val="none" w:sz="0" w:space="0" w:color="auto"/>
        <w:right w:val="none" w:sz="0" w:space="0" w:color="auto"/>
      </w:divBdr>
    </w:div>
    <w:div w:id="396050080">
      <w:bodyDiv w:val="1"/>
      <w:marLeft w:val="0"/>
      <w:marRight w:val="0"/>
      <w:marTop w:val="0"/>
      <w:marBottom w:val="0"/>
      <w:divBdr>
        <w:top w:val="none" w:sz="0" w:space="0" w:color="auto"/>
        <w:left w:val="none" w:sz="0" w:space="0" w:color="auto"/>
        <w:bottom w:val="none" w:sz="0" w:space="0" w:color="auto"/>
        <w:right w:val="none" w:sz="0" w:space="0" w:color="auto"/>
      </w:divBdr>
    </w:div>
    <w:div w:id="396712525">
      <w:bodyDiv w:val="1"/>
      <w:marLeft w:val="0"/>
      <w:marRight w:val="0"/>
      <w:marTop w:val="0"/>
      <w:marBottom w:val="0"/>
      <w:divBdr>
        <w:top w:val="none" w:sz="0" w:space="0" w:color="auto"/>
        <w:left w:val="none" w:sz="0" w:space="0" w:color="auto"/>
        <w:bottom w:val="none" w:sz="0" w:space="0" w:color="auto"/>
        <w:right w:val="none" w:sz="0" w:space="0" w:color="auto"/>
      </w:divBdr>
    </w:div>
    <w:div w:id="400104844">
      <w:bodyDiv w:val="1"/>
      <w:marLeft w:val="0"/>
      <w:marRight w:val="0"/>
      <w:marTop w:val="0"/>
      <w:marBottom w:val="0"/>
      <w:divBdr>
        <w:top w:val="none" w:sz="0" w:space="0" w:color="auto"/>
        <w:left w:val="none" w:sz="0" w:space="0" w:color="auto"/>
        <w:bottom w:val="none" w:sz="0" w:space="0" w:color="auto"/>
        <w:right w:val="none" w:sz="0" w:space="0" w:color="auto"/>
      </w:divBdr>
    </w:div>
    <w:div w:id="409160681">
      <w:bodyDiv w:val="1"/>
      <w:marLeft w:val="0"/>
      <w:marRight w:val="0"/>
      <w:marTop w:val="0"/>
      <w:marBottom w:val="0"/>
      <w:divBdr>
        <w:top w:val="none" w:sz="0" w:space="0" w:color="auto"/>
        <w:left w:val="none" w:sz="0" w:space="0" w:color="auto"/>
        <w:bottom w:val="none" w:sz="0" w:space="0" w:color="auto"/>
        <w:right w:val="none" w:sz="0" w:space="0" w:color="auto"/>
      </w:divBdr>
    </w:div>
    <w:div w:id="412625589">
      <w:bodyDiv w:val="1"/>
      <w:marLeft w:val="0"/>
      <w:marRight w:val="0"/>
      <w:marTop w:val="0"/>
      <w:marBottom w:val="0"/>
      <w:divBdr>
        <w:top w:val="none" w:sz="0" w:space="0" w:color="auto"/>
        <w:left w:val="none" w:sz="0" w:space="0" w:color="auto"/>
        <w:bottom w:val="none" w:sz="0" w:space="0" w:color="auto"/>
        <w:right w:val="none" w:sz="0" w:space="0" w:color="auto"/>
      </w:divBdr>
    </w:div>
    <w:div w:id="413012860">
      <w:bodyDiv w:val="1"/>
      <w:marLeft w:val="0"/>
      <w:marRight w:val="0"/>
      <w:marTop w:val="0"/>
      <w:marBottom w:val="0"/>
      <w:divBdr>
        <w:top w:val="none" w:sz="0" w:space="0" w:color="auto"/>
        <w:left w:val="none" w:sz="0" w:space="0" w:color="auto"/>
        <w:bottom w:val="none" w:sz="0" w:space="0" w:color="auto"/>
        <w:right w:val="none" w:sz="0" w:space="0" w:color="auto"/>
      </w:divBdr>
    </w:div>
    <w:div w:id="413819581">
      <w:bodyDiv w:val="1"/>
      <w:marLeft w:val="0"/>
      <w:marRight w:val="0"/>
      <w:marTop w:val="0"/>
      <w:marBottom w:val="0"/>
      <w:divBdr>
        <w:top w:val="none" w:sz="0" w:space="0" w:color="auto"/>
        <w:left w:val="none" w:sz="0" w:space="0" w:color="auto"/>
        <w:bottom w:val="none" w:sz="0" w:space="0" w:color="auto"/>
        <w:right w:val="none" w:sz="0" w:space="0" w:color="auto"/>
      </w:divBdr>
    </w:div>
    <w:div w:id="417602779">
      <w:bodyDiv w:val="1"/>
      <w:marLeft w:val="0"/>
      <w:marRight w:val="0"/>
      <w:marTop w:val="0"/>
      <w:marBottom w:val="0"/>
      <w:divBdr>
        <w:top w:val="none" w:sz="0" w:space="0" w:color="auto"/>
        <w:left w:val="none" w:sz="0" w:space="0" w:color="auto"/>
        <w:bottom w:val="none" w:sz="0" w:space="0" w:color="auto"/>
        <w:right w:val="none" w:sz="0" w:space="0" w:color="auto"/>
      </w:divBdr>
    </w:div>
    <w:div w:id="420030055">
      <w:bodyDiv w:val="1"/>
      <w:marLeft w:val="0"/>
      <w:marRight w:val="0"/>
      <w:marTop w:val="0"/>
      <w:marBottom w:val="0"/>
      <w:divBdr>
        <w:top w:val="none" w:sz="0" w:space="0" w:color="auto"/>
        <w:left w:val="none" w:sz="0" w:space="0" w:color="auto"/>
        <w:bottom w:val="none" w:sz="0" w:space="0" w:color="auto"/>
        <w:right w:val="none" w:sz="0" w:space="0" w:color="auto"/>
      </w:divBdr>
    </w:div>
    <w:div w:id="423691131">
      <w:bodyDiv w:val="1"/>
      <w:marLeft w:val="0"/>
      <w:marRight w:val="0"/>
      <w:marTop w:val="0"/>
      <w:marBottom w:val="0"/>
      <w:divBdr>
        <w:top w:val="none" w:sz="0" w:space="0" w:color="auto"/>
        <w:left w:val="none" w:sz="0" w:space="0" w:color="auto"/>
        <w:bottom w:val="none" w:sz="0" w:space="0" w:color="auto"/>
        <w:right w:val="none" w:sz="0" w:space="0" w:color="auto"/>
      </w:divBdr>
    </w:div>
    <w:div w:id="425275005">
      <w:bodyDiv w:val="1"/>
      <w:marLeft w:val="0"/>
      <w:marRight w:val="0"/>
      <w:marTop w:val="0"/>
      <w:marBottom w:val="0"/>
      <w:divBdr>
        <w:top w:val="none" w:sz="0" w:space="0" w:color="auto"/>
        <w:left w:val="none" w:sz="0" w:space="0" w:color="auto"/>
        <w:bottom w:val="none" w:sz="0" w:space="0" w:color="auto"/>
        <w:right w:val="none" w:sz="0" w:space="0" w:color="auto"/>
      </w:divBdr>
    </w:div>
    <w:div w:id="430706875">
      <w:bodyDiv w:val="1"/>
      <w:marLeft w:val="0"/>
      <w:marRight w:val="0"/>
      <w:marTop w:val="0"/>
      <w:marBottom w:val="0"/>
      <w:divBdr>
        <w:top w:val="none" w:sz="0" w:space="0" w:color="auto"/>
        <w:left w:val="none" w:sz="0" w:space="0" w:color="auto"/>
        <w:bottom w:val="none" w:sz="0" w:space="0" w:color="auto"/>
        <w:right w:val="none" w:sz="0" w:space="0" w:color="auto"/>
      </w:divBdr>
    </w:div>
    <w:div w:id="438263366">
      <w:bodyDiv w:val="1"/>
      <w:marLeft w:val="0"/>
      <w:marRight w:val="0"/>
      <w:marTop w:val="0"/>
      <w:marBottom w:val="0"/>
      <w:divBdr>
        <w:top w:val="none" w:sz="0" w:space="0" w:color="auto"/>
        <w:left w:val="none" w:sz="0" w:space="0" w:color="auto"/>
        <w:bottom w:val="none" w:sz="0" w:space="0" w:color="auto"/>
        <w:right w:val="none" w:sz="0" w:space="0" w:color="auto"/>
      </w:divBdr>
    </w:div>
    <w:div w:id="440422667">
      <w:bodyDiv w:val="1"/>
      <w:marLeft w:val="0"/>
      <w:marRight w:val="0"/>
      <w:marTop w:val="0"/>
      <w:marBottom w:val="0"/>
      <w:divBdr>
        <w:top w:val="none" w:sz="0" w:space="0" w:color="auto"/>
        <w:left w:val="none" w:sz="0" w:space="0" w:color="auto"/>
        <w:bottom w:val="none" w:sz="0" w:space="0" w:color="auto"/>
        <w:right w:val="none" w:sz="0" w:space="0" w:color="auto"/>
      </w:divBdr>
    </w:div>
    <w:div w:id="440613936">
      <w:bodyDiv w:val="1"/>
      <w:marLeft w:val="0"/>
      <w:marRight w:val="0"/>
      <w:marTop w:val="0"/>
      <w:marBottom w:val="0"/>
      <w:divBdr>
        <w:top w:val="none" w:sz="0" w:space="0" w:color="auto"/>
        <w:left w:val="none" w:sz="0" w:space="0" w:color="auto"/>
        <w:bottom w:val="none" w:sz="0" w:space="0" w:color="auto"/>
        <w:right w:val="none" w:sz="0" w:space="0" w:color="auto"/>
      </w:divBdr>
    </w:div>
    <w:div w:id="443497662">
      <w:bodyDiv w:val="1"/>
      <w:marLeft w:val="0"/>
      <w:marRight w:val="0"/>
      <w:marTop w:val="0"/>
      <w:marBottom w:val="0"/>
      <w:divBdr>
        <w:top w:val="none" w:sz="0" w:space="0" w:color="auto"/>
        <w:left w:val="none" w:sz="0" w:space="0" w:color="auto"/>
        <w:bottom w:val="none" w:sz="0" w:space="0" w:color="auto"/>
        <w:right w:val="none" w:sz="0" w:space="0" w:color="auto"/>
      </w:divBdr>
    </w:div>
    <w:div w:id="447041665">
      <w:bodyDiv w:val="1"/>
      <w:marLeft w:val="0"/>
      <w:marRight w:val="0"/>
      <w:marTop w:val="0"/>
      <w:marBottom w:val="0"/>
      <w:divBdr>
        <w:top w:val="none" w:sz="0" w:space="0" w:color="auto"/>
        <w:left w:val="none" w:sz="0" w:space="0" w:color="auto"/>
        <w:bottom w:val="none" w:sz="0" w:space="0" w:color="auto"/>
        <w:right w:val="none" w:sz="0" w:space="0" w:color="auto"/>
      </w:divBdr>
    </w:div>
    <w:div w:id="449209144">
      <w:bodyDiv w:val="1"/>
      <w:marLeft w:val="0"/>
      <w:marRight w:val="0"/>
      <w:marTop w:val="0"/>
      <w:marBottom w:val="0"/>
      <w:divBdr>
        <w:top w:val="none" w:sz="0" w:space="0" w:color="auto"/>
        <w:left w:val="none" w:sz="0" w:space="0" w:color="auto"/>
        <w:bottom w:val="none" w:sz="0" w:space="0" w:color="auto"/>
        <w:right w:val="none" w:sz="0" w:space="0" w:color="auto"/>
      </w:divBdr>
    </w:div>
    <w:div w:id="464279796">
      <w:bodyDiv w:val="1"/>
      <w:marLeft w:val="0"/>
      <w:marRight w:val="0"/>
      <w:marTop w:val="0"/>
      <w:marBottom w:val="0"/>
      <w:divBdr>
        <w:top w:val="none" w:sz="0" w:space="0" w:color="auto"/>
        <w:left w:val="none" w:sz="0" w:space="0" w:color="auto"/>
        <w:bottom w:val="none" w:sz="0" w:space="0" w:color="auto"/>
        <w:right w:val="none" w:sz="0" w:space="0" w:color="auto"/>
      </w:divBdr>
    </w:div>
    <w:div w:id="467282898">
      <w:bodyDiv w:val="1"/>
      <w:marLeft w:val="0"/>
      <w:marRight w:val="0"/>
      <w:marTop w:val="0"/>
      <w:marBottom w:val="0"/>
      <w:divBdr>
        <w:top w:val="none" w:sz="0" w:space="0" w:color="auto"/>
        <w:left w:val="none" w:sz="0" w:space="0" w:color="auto"/>
        <w:bottom w:val="none" w:sz="0" w:space="0" w:color="auto"/>
        <w:right w:val="none" w:sz="0" w:space="0" w:color="auto"/>
      </w:divBdr>
    </w:div>
    <w:div w:id="468977259">
      <w:bodyDiv w:val="1"/>
      <w:marLeft w:val="0"/>
      <w:marRight w:val="0"/>
      <w:marTop w:val="0"/>
      <w:marBottom w:val="0"/>
      <w:divBdr>
        <w:top w:val="none" w:sz="0" w:space="0" w:color="auto"/>
        <w:left w:val="none" w:sz="0" w:space="0" w:color="auto"/>
        <w:bottom w:val="none" w:sz="0" w:space="0" w:color="auto"/>
        <w:right w:val="none" w:sz="0" w:space="0" w:color="auto"/>
      </w:divBdr>
    </w:div>
    <w:div w:id="471606547">
      <w:bodyDiv w:val="1"/>
      <w:marLeft w:val="0"/>
      <w:marRight w:val="0"/>
      <w:marTop w:val="0"/>
      <w:marBottom w:val="0"/>
      <w:divBdr>
        <w:top w:val="none" w:sz="0" w:space="0" w:color="auto"/>
        <w:left w:val="none" w:sz="0" w:space="0" w:color="auto"/>
        <w:bottom w:val="none" w:sz="0" w:space="0" w:color="auto"/>
        <w:right w:val="none" w:sz="0" w:space="0" w:color="auto"/>
      </w:divBdr>
    </w:div>
    <w:div w:id="482236681">
      <w:bodyDiv w:val="1"/>
      <w:marLeft w:val="0"/>
      <w:marRight w:val="0"/>
      <w:marTop w:val="0"/>
      <w:marBottom w:val="0"/>
      <w:divBdr>
        <w:top w:val="none" w:sz="0" w:space="0" w:color="auto"/>
        <w:left w:val="none" w:sz="0" w:space="0" w:color="auto"/>
        <w:bottom w:val="none" w:sz="0" w:space="0" w:color="auto"/>
        <w:right w:val="none" w:sz="0" w:space="0" w:color="auto"/>
      </w:divBdr>
    </w:div>
    <w:div w:id="488252929">
      <w:bodyDiv w:val="1"/>
      <w:marLeft w:val="0"/>
      <w:marRight w:val="0"/>
      <w:marTop w:val="0"/>
      <w:marBottom w:val="0"/>
      <w:divBdr>
        <w:top w:val="none" w:sz="0" w:space="0" w:color="auto"/>
        <w:left w:val="none" w:sz="0" w:space="0" w:color="auto"/>
        <w:bottom w:val="none" w:sz="0" w:space="0" w:color="auto"/>
        <w:right w:val="none" w:sz="0" w:space="0" w:color="auto"/>
      </w:divBdr>
    </w:div>
    <w:div w:id="491721640">
      <w:bodyDiv w:val="1"/>
      <w:marLeft w:val="0"/>
      <w:marRight w:val="0"/>
      <w:marTop w:val="0"/>
      <w:marBottom w:val="0"/>
      <w:divBdr>
        <w:top w:val="none" w:sz="0" w:space="0" w:color="auto"/>
        <w:left w:val="none" w:sz="0" w:space="0" w:color="auto"/>
        <w:bottom w:val="none" w:sz="0" w:space="0" w:color="auto"/>
        <w:right w:val="none" w:sz="0" w:space="0" w:color="auto"/>
      </w:divBdr>
    </w:div>
    <w:div w:id="498926502">
      <w:bodyDiv w:val="1"/>
      <w:marLeft w:val="0"/>
      <w:marRight w:val="0"/>
      <w:marTop w:val="0"/>
      <w:marBottom w:val="0"/>
      <w:divBdr>
        <w:top w:val="none" w:sz="0" w:space="0" w:color="auto"/>
        <w:left w:val="none" w:sz="0" w:space="0" w:color="auto"/>
        <w:bottom w:val="none" w:sz="0" w:space="0" w:color="auto"/>
        <w:right w:val="none" w:sz="0" w:space="0" w:color="auto"/>
      </w:divBdr>
    </w:div>
    <w:div w:id="503593676">
      <w:bodyDiv w:val="1"/>
      <w:marLeft w:val="0"/>
      <w:marRight w:val="0"/>
      <w:marTop w:val="0"/>
      <w:marBottom w:val="0"/>
      <w:divBdr>
        <w:top w:val="none" w:sz="0" w:space="0" w:color="auto"/>
        <w:left w:val="none" w:sz="0" w:space="0" w:color="auto"/>
        <w:bottom w:val="none" w:sz="0" w:space="0" w:color="auto"/>
        <w:right w:val="none" w:sz="0" w:space="0" w:color="auto"/>
      </w:divBdr>
    </w:div>
    <w:div w:id="504980416">
      <w:bodyDiv w:val="1"/>
      <w:marLeft w:val="0"/>
      <w:marRight w:val="0"/>
      <w:marTop w:val="0"/>
      <w:marBottom w:val="0"/>
      <w:divBdr>
        <w:top w:val="none" w:sz="0" w:space="0" w:color="auto"/>
        <w:left w:val="none" w:sz="0" w:space="0" w:color="auto"/>
        <w:bottom w:val="none" w:sz="0" w:space="0" w:color="auto"/>
        <w:right w:val="none" w:sz="0" w:space="0" w:color="auto"/>
      </w:divBdr>
    </w:div>
    <w:div w:id="514347821">
      <w:bodyDiv w:val="1"/>
      <w:marLeft w:val="0"/>
      <w:marRight w:val="0"/>
      <w:marTop w:val="0"/>
      <w:marBottom w:val="0"/>
      <w:divBdr>
        <w:top w:val="none" w:sz="0" w:space="0" w:color="auto"/>
        <w:left w:val="none" w:sz="0" w:space="0" w:color="auto"/>
        <w:bottom w:val="none" w:sz="0" w:space="0" w:color="auto"/>
        <w:right w:val="none" w:sz="0" w:space="0" w:color="auto"/>
      </w:divBdr>
    </w:div>
    <w:div w:id="515075719">
      <w:bodyDiv w:val="1"/>
      <w:marLeft w:val="0"/>
      <w:marRight w:val="0"/>
      <w:marTop w:val="0"/>
      <w:marBottom w:val="0"/>
      <w:divBdr>
        <w:top w:val="none" w:sz="0" w:space="0" w:color="auto"/>
        <w:left w:val="none" w:sz="0" w:space="0" w:color="auto"/>
        <w:bottom w:val="none" w:sz="0" w:space="0" w:color="auto"/>
        <w:right w:val="none" w:sz="0" w:space="0" w:color="auto"/>
      </w:divBdr>
    </w:div>
    <w:div w:id="518200293">
      <w:bodyDiv w:val="1"/>
      <w:marLeft w:val="0"/>
      <w:marRight w:val="0"/>
      <w:marTop w:val="0"/>
      <w:marBottom w:val="0"/>
      <w:divBdr>
        <w:top w:val="none" w:sz="0" w:space="0" w:color="auto"/>
        <w:left w:val="none" w:sz="0" w:space="0" w:color="auto"/>
        <w:bottom w:val="none" w:sz="0" w:space="0" w:color="auto"/>
        <w:right w:val="none" w:sz="0" w:space="0" w:color="auto"/>
      </w:divBdr>
    </w:div>
    <w:div w:id="522940942">
      <w:bodyDiv w:val="1"/>
      <w:marLeft w:val="0"/>
      <w:marRight w:val="0"/>
      <w:marTop w:val="0"/>
      <w:marBottom w:val="0"/>
      <w:divBdr>
        <w:top w:val="none" w:sz="0" w:space="0" w:color="auto"/>
        <w:left w:val="none" w:sz="0" w:space="0" w:color="auto"/>
        <w:bottom w:val="none" w:sz="0" w:space="0" w:color="auto"/>
        <w:right w:val="none" w:sz="0" w:space="0" w:color="auto"/>
      </w:divBdr>
    </w:div>
    <w:div w:id="540016694">
      <w:bodyDiv w:val="1"/>
      <w:marLeft w:val="0"/>
      <w:marRight w:val="0"/>
      <w:marTop w:val="0"/>
      <w:marBottom w:val="0"/>
      <w:divBdr>
        <w:top w:val="none" w:sz="0" w:space="0" w:color="auto"/>
        <w:left w:val="none" w:sz="0" w:space="0" w:color="auto"/>
        <w:bottom w:val="none" w:sz="0" w:space="0" w:color="auto"/>
        <w:right w:val="none" w:sz="0" w:space="0" w:color="auto"/>
      </w:divBdr>
    </w:div>
    <w:div w:id="540216133">
      <w:bodyDiv w:val="1"/>
      <w:marLeft w:val="0"/>
      <w:marRight w:val="0"/>
      <w:marTop w:val="0"/>
      <w:marBottom w:val="0"/>
      <w:divBdr>
        <w:top w:val="none" w:sz="0" w:space="0" w:color="auto"/>
        <w:left w:val="none" w:sz="0" w:space="0" w:color="auto"/>
        <w:bottom w:val="none" w:sz="0" w:space="0" w:color="auto"/>
        <w:right w:val="none" w:sz="0" w:space="0" w:color="auto"/>
      </w:divBdr>
    </w:div>
    <w:div w:id="544680265">
      <w:bodyDiv w:val="1"/>
      <w:marLeft w:val="0"/>
      <w:marRight w:val="0"/>
      <w:marTop w:val="0"/>
      <w:marBottom w:val="0"/>
      <w:divBdr>
        <w:top w:val="none" w:sz="0" w:space="0" w:color="auto"/>
        <w:left w:val="none" w:sz="0" w:space="0" w:color="auto"/>
        <w:bottom w:val="none" w:sz="0" w:space="0" w:color="auto"/>
        <w:right w:val="none" w:sz="0" w:space="0" w:color="auto"/>
      </w:divBdr>
    </w:div>
    <w:div w:id="549027420">
      <w:bodyDiv w:val="1"/>
      <w:marLeft w:val="0"/>
      <w:marRight w:val="0"/>
      <w:marTop w:val="0"/>
      <w:marBottom w:val="0"/>
      <w:divBdr>
        <w:top w:val="none" w:sz="0" w:space="0" w:color="auto"/>
        <w:left w:val="none" w:sz="0" w:space="0" w:color="auto"/>
        <w:bottom w:val="none" w:sz="0" w:space="0" w:color="auto"/>
        <w:right w:val="none" w:sz="0" w:space="0" w:color="auto"/>
      </w:divBdr>
    </w:div>
    <w:div w:id="552543667">
      <w:bodyDiv w:val="1"/>
      <w:marLeft w:val="0"/>
      <w:marRight w:val="0"/>
      <w:marTop w:val="0"/>
      <w:marBottom w:val="0"/>
      <w:divBdr>
        <w:top w:val="none" w:sz="0" w:space="0" w:color="auto"/>
        <w:left w:val="none" w:sz="0" w:space="0" w:color="auto"/>
        <w:bottom w:val="none" w:sz="0" w:space="0" w:color="auto"/>
        <w:right w:val="none" w:sz="0" w:space="0" w:color="auto"/>
      </w:divBdr>
    </w:div>
    <w:div w:id="554462825">
      <w:bodyDiv w:val="1"/>
      <w:marLeft w:val="0"/>
      <w:marRight w:val="0"/>
      <w:marTop w:val="0"/>
      <w:marBottom w:val="0"/>
      <w:divBdr>
        <w:top w:val="none" w:sz="0" w:space="0" w:color="auto"/>
        <w:left w:val="none" w:sz="0" w:space="0" w:color="auto"/>
        <w:bottom w:val="none" w:sz="0" w:space="0" w:color="auto"/>
        <w:right w:val="none" w:sz="0" w:space="0" w:color="auto"/>
      </w:divBdr>
    </w:div>
    <w:div w:id="555776851">
      <w:bodyDiv w:val="1"/>
      <w:marLeft w:val="0"/>
      <w:marRight w:val="0"/>
      <w:marTop w:val="0"/>
      <w:marBottom w:val="0"/>
      <w:divBdr>
        <w:top w:val="none" w:sz="0" w:space="0" w:color="auto"/>
        <w:left w:val="none" w:sz="0" w:space="0" w:color="auto"/>
        <w:bottom w:val="none" w:sz="0" w:space="0" w:color="auto"/>
        <w:right w:val="none" w:sz="0" w:space="0" w:color="auto"/>
      </w:divBdr>
    </w:div>
    <w:div w:id="555899017">
      <w:bodyDiv w:val="1"/>
      <w:marLeft w:val="0"/>
      <w:marRight w:val="0"/>
      <w:marTop w:val="0"/>
      <w:marBottom w:val="0"/>
      <w:divBdr>
        <w:top w:val="none" w:sz="0" w:space="0" w:color="auto"/>
        <w:left w:val="none" w:sz="0" w:space="0" w:color="auto"/>
        <w:bottom w:val="none" w:sz="0" w:space="0" w:color="auto"/>
        <w:right w:val="none" w:sz="0" w:space="0" w:color="auto"/>
      </w:divBdr>
    </w:div>
    <w:div w:id="559899581">
      <w:bodyDiv w:val="1"/>
      <w:marLeft w:val="0"/>
      <w:marRight w:val="0"/>
      <w:marTop w:val="0"/>
      <w:marBottom w:val="0"/>
      <w:divBdr>
        <w:top w:val="none" w:sz="0" w:space="0" w:color="auto"/>
        <w:left w:val="none" w:sz="0" w:space="0" w:color="auto"/>
        <w:bottom w:val="none" w:sz="0" w:space="0" w:color="auto"/>
        <w:right w:val="none" w:sz="0" w:space="0" w:color="auto"/>
      </w:divBdr>
    </w:div>
    <w:div w:id="559905390">
      <w:bodyDiv w:val="1"/>
      <w:marLeft w:val="0"/>
      <w:marRight w:val="0"/>
      <w:marTop w:val="0"/>
      <w:marBottom w:val="0"/>
      <w:divBdr>
        <w:top w:val="none" w:sz="0" w:space="0" w:color="auto"/>
        <w:left w:val="none" w:sz="0" w:space="0" w:color="auto"/>
        <w:bottom w:val="none" w:sz="0" w:space="0" w:color="auto"/>
        <w:right w:val="none" w:sz="0" w:space="0" w:color="auto"/>
      </w:divBdr>
    </w:div>
    <w:div w:id="560142659">
      <w:bodyDiv w:val="1"/>
      <w:marLeft w:val="0"/>
      <w:marRight w:val="0"/>
      <w:marTop w:val="0"/>
      <w:marBottom w:val="0"/>
      <w:divBdr>
        <w:top w:val="none" w:sz="0" w:space="0" w:color="auto"/>
        <w:left w:val="none" w:sz="0" w:space="0" w:color="auto"/>
        <w:bottom w:val="none" w:sz="0" w:space="0" w:color="auto"/>
        <w:right w:val="none" w:sz="0" w:space="0" w:color="auto"/>
      </w:divBdr>
    </w:div>
    <w:div w:id="561138194">
      <w:bodyDiv w:val="1"/>
      <w:marLeft w:val="0"/>
      <w:marRight w:val="0"/>
      <w:marTop w:val="0"/>
      <w:marBottom w:val="0"/>
      <w:divBdr>
        <w:top w:val="none" w:sz="0" w:space="0" w:color="auto"/>
        <w:left w:val="none" w:sz="0" w:space="0" w:color="auto"/>
        <w:bottom w:val="none" w:sz="0" w:space="0" w:color="auto"/>
        <w:right w:val="none" w:sz="0" w:space="0" w:color="auto"/>
      </w:divBdr>
    </w:div>
    <w:div w:id="563562098">
      <w:bodyDiv w:val="1"/>
      <w:marLeft w:val="0"/>
      <w:marRight w:val="0"/>
      <w:marTop w:val="0"/>
      <w:marBottom w:val="0"/>
      <w:divBdr>
        <w:top w:val="none" w:sz="0" w:space="0" w:color="auto"/>
        <w:left w:val="none" w:sz="0" w:space="0" w:color="auto"/>
        <w:bottom w:val="none" w:sz="0" w:space="0" w:color="auto"/>
        <w:right w:val="none" w:sz="0" w:space="0" w:color="auto"/>
      </w:divBdr>
    </w:div>
    <w:div w:id="567888870">
      <w:bodyDiv w:val="1"/>
      <w:marLeft w:val="0"/>
      <w:marRight w:val="0"/>
      <w:marTop w:val="0"/>
      <w:marBottom w:val="0"/>
      <w:divBdr>
        <w:top w:val="none" w:sz="0" w:space="0" w:color="auto"/>
        <w:left w:val="none" w:sz="0" w:space="0" w:color="auto"/>
        <w:bottom w:val="none" w:sz="0" w:space="0" w:color="auto"/>
        <w:right w:val="none" w:sz="0" w:space="0" w:color="auto"/>
      </w:divBdr>
    </w:div>
    <w:div w:id="571700233">
      <w:bodyDiv w:val="1"/>
      <w:marLeft w:val="0"/>
      <w:marRight w:val="0"/>
      <w:marTop w:val="0"/>
      <w:marBottom w:val="0"/>
      <w:divBdr>
        <w:top w:val="none" w:sz="0" w:space="0" w:color="auto"/>
        <w:left w:val="none" w:sz="0" w:space="0" w:color="auto"/>
        <w:bottom w:val="none" w:sz="0" w:space="0" w:color="auto"/>
        <w:right w:val="none" w:sz="0" w:space="0" w:color="auto"/>
      </w:divBdr>
    </w:div>
    <w:div w:id="571768565">
      <w:bodyDiv w:val="1"/>
      <w:marLeft w:val="0"/>
      <w:marRight w:val="0"/>
      <w:marTop w:val="0"/>
      <w:marBottom w:val="0"/>
      <w:divBdr>
        <w:top w:val="none" w:sz="0" w:space="0" w:color="auto"/>
        <w:left w:val="none" w:sz="0" w:space="0" w:color="auto"/>
        <w:bottom w:val="none" w:sz="0" w:space="0" w:color="auto"/>
        <w:right w:val="none" w:sz="0" w:space="0" w:color="auto"/>
      </w:divBdr>
    </w:div>
    <w:div w:id="578053316">
      <w:bodyDiv w:val="1"/>
      <w:marLeft w:val="0"/>
      <w:marRight w:val="0"/>
      <w:marTop w:val="0"/>
      <w:marBottom w:val="0"/>
      <w:divBdr>
        <w:top w:val="none" w:sz="0" w:space="0" w:color="auto"/>
        <w:left w:val="none" w:sz="0" w:space="0" w:color="auto"/>
        <w:bottom w:val="none" w:sz="0" w:space="0" w:color="auto"/>
        <w:right w:val="none" w:sz="0" w:space="0" w:color="auto"/>
      </w:divBdr>
    </w:div>
    <w:div w:id="580062174">
      <w:bodyDiv w:val="1"/>
      <w:marLeft w:val="0"/>
      <w:marRight w:val="0"/>
      <w:marTop w:val="0"/>
      <w:marBottom w:val="0"/>
      <w:divBdr>
        <w:top w:val="none" w:sz="0" w:space="0" w:color="auto"/>
        <w:left w:val="none" w:sz="0" w:space="0" w:color="auto"/>
        <w:bottom w:val="none" w:sz="0" w:space="0" w:color="auto"/>
        <w:right w:val="none" w:sz="0" w:space="0" w:color="auto"/>
      </w:divBdr>
    </w:div>
    <w:div w:id="581063161">
      <w:bodyDiv w:val="1"/>
      <w:marLeft w:val="0"/>
      <w:marRight w:val="0"/>
      <w:marTop w:val="0"/>
      <w:marBottom w:val="0"/>
      <w:divBdr>
        <w:top w:val="none" w:sz="0" w:space="0" w:color="auto"/>
        <w:left w:val="none" w:sz="0" w:space="0" w:color="auto"/>
        <w:bottom w:val="none" w:sz="0" w:space="0" w:color="auto"/>
        <w:right w:val="none" w:sz="0" w:space="0" w:color="auto"/>
      </w:divBdr>
    </w:div>
    <w:div w:id="584073374">
      <w:bodyDiv w:val="1"/>
      <w:marLeft w:val="0"/>
      <w:marRight w:val="0"/>
      <w:marTop w:val="0"/>
      <w:marBottom w:val="0"/>
      <w:divBdr>
        <w:top w:val="none" w:sz="0" w:space="0" w:color="auto"/>
        <w:left w:val="none" w:sz="0" w:space="0" w:color="auto"/>
        <w:bottom w:val="none" w:sz="0" w:space="0" w:color="auto"/>
        <w:right w:val="none" w:sz="0" w:space="0" w:color="auto"/>
      </w:divBdr>
    </w:div>
    <w:div w:id="590896329">
      <w:bodyDiv w:val="1"/>
      <w:marLeft w:val="0"/>
      <w:marRight w:val="0"/>
      <w:marTop w:val="0"/>
      <w:marBottom w:val="0"/>
      <w:divBdr>
        <w:top w:val="none" w:sz="0" w:space="0" w:color="auto"/>
        <w:left w:val="none" w:sz="0" w:space="0" w:color="auto"/>
        <w:bottom w:val="none" w:sz="0" w:space="0" w:color="auto"/>
        <w:right w:val="none" w:sz="0" w:space="0" w:color="auto"/>
      </w:divBdr>
    </w:div>
    <w:div w:id="593056690">
      <w:bodyDiv w:val="1"/>
      <w:marLeft w:val="0"/>
      <w:marRight w:val="0"/>
      <w:marTop w:val="0"/>
      <w:marBottom w:val="0"/>
      <w:divBdr>
        <w:top w:val="none" w:sz="0" w:space="0" w:color="auto"/>
        <w:left w:val="none" w:sz="0" w:space="0" w:color="auto"/>
        <w:bottom w:val="none" w:sz="0" w:space="0" w:color="auto"/>
        <w:right w:val="none" w:sz="0" w:space="0" w:color="auto"/>
      </w:divBdr>
    </w:div>
    <w:div w:id="593904276">
      <w:bodyDiv w:val="1"/>
      <w:marLeft w:val="0"/>
      <w:marRight w:val="0"/>
      <w:marTop w:val="0"/>
      <w:marBottom w:val="0"/>
      <w:divBdr>
        <w:top w:val="none" w:sz="0" w:space="0" w:color="auto"/>
        <w:left w:val="none" w:sz="0" w:space="0" w:color="auto"/>
        <w:bottom w:val="none" w:sz="0" w:space="0" w:color="auto"/>
        <w:right w:val="none" w:sz="0" w:space="0" w:color="auto"/>
      </w:divBdr>
    </w:div>
    <w:div w:id="595332896">
      <w:bodyDiv w:val="1"/>
      <w:marLeft w:val="0"/>
      <w:marRight w:val="0"/>
      <w:marTop w:val="0"/>
      <w:marBottom w:val="0"/>
      <w:divBdr>
        <w:top w:val="none" w:sz="0" w:space="0" w:color="auto"/>
        <w:left w:val="none" w:sz="0" w:space="0" w:color="auto"/>
        <w:bottom w:val="none" w:sz="0" w:space="0" w:color="auto"/>
        <w:right w:val="none" w:sz="0" w:space="0" w:color="auto"/>
      </w:divBdr>
    </w:div>
    <w:div w:id="596208052">
      <w:bodyDiv w:val="1"/>
      <w:marLeft w:val="0"/>
      <w:marRight w:val="0"/>
      <w:marTop w:val="0"/>
      <w:marBottom w:val="0"/>
      <w:divBdr>
        <w:top w:val="none" w:sz="0" w:space="0" w:color="auto"/>
        <w:left w:val="none" w:sz="0" w:space="0" w:color="auto"/>
        <w:bottom w:val="none" w:sz="0" w:space="0" w:color="auto"/>
        <w:right w:val="none" w:sz="0" w:space="0" w:color="auto"/>
      </w:divBdr>
    </w:div>
    <w:div w:id="597757639">
      <w:bodyDiv w:val="1"/>
      <w:marLeft w:val="0"/>
      <w:marRight w:val="0"/>
      <w:marTop w:val="0"/>
      <w:marBottom w:val="0"/>
      <w:divBdr>
        <w:top w:val="none" w:sz="0" w:space="0" w:color="auto"/>
        <w:left w:val="none" w:sz="0" w:space="0" w:color="auto"/>
        <w:bottom w:val="none" w:sz="0" w:space="0" w:color="auto"/>
        <w:right w:val="none" w:sz="0" w:space="0" w:color="auto"/>
      </w:divBdr>
    </w:div>
    <w:div w:id="612250190">
      <w:bodyDiv w:val="1"/>
      <w:marLeft w:val="0"/>
      <w:marRight w:val="0"/>
      <w:marTop w:val="0"/>
      <w:marBottom w:val="0"/>
      <w:divBdr>
        <w:top w:val="none" w:sz="0" w:space="0" w:color="auto"/>
        <w:left w:val="none" w:sz="0" w:space="0" w:color="auto"/>
        <w:bottom w:val="none" w:sz="0" w:space="0" w:color="auto"/>
        <w:right w:val="none" w:sz="0" w:space="0" w:color="auto"/>
      </w:divBdr>
    </w:div>
    <w:div w:id="615255574">
      <w:bodyDiv w:val="1"/>
      <w:marLeft w:val="0"/>
      <w:marRight w:val="0"/>
      <w:marTop w:val="0"/>
      <w:marBottom w:val="0"/>
      <w:divBdr>
        <w:top w:val="none" w:sz="0" w:space="0" w:color="auto"/>
        <w:left w:val="none" w:sz="0" w:space="0" w:color="auto"/>
        <w:bottom w:val="none" w:sz="0" w:space="0" w:color="auto"/>
        <w:right w:val="none" w:sz="0" w:space="0" w:color="auto"/>
      </w:divBdr>
    </w:div>
    <w:div w:id="622345071">
      <w:bodyDiv w:val="1"/>
      <w:marLeft w:val="0"/>
      <w:marRight w:val="0"/>
      <w:marTop w:val="0"/>
      <w:marBottom w:val="0"/>
      <w:divBdr>
        <w:top w:val="none" w:sz="0" w:space="0" w:color="auto"/>
        <w:left w:val="none" w:sz="0" w:space="0" w:color="auto"/>
        <w:bottom w:val="none" w:sz="0" w:space="0" w:color="auto"/>
        <w:right w:val="none" w:sz="0" w:space="0" w:color="auto"/>
      </w:divBdr>
    </w:div>
    <w:div w:id="627206464">
      <w:bodyDiv w:val="1"/>
      <w:marLeft w:val="0"/>
      <w:marRight w:val="0"/>
      <w:marTop w:val="0"/>
      <w:marBottom w:val="0"/>
      <w:divBdr>
        <w:top w:val="none" w:sz="0" w:space="0" w:color="auto"/>
        <w:left w:val="none" w:sz="0" w:space="0" w:color="auto"/>
        <w:bottom w:val="none" w:sz="0" w:space="0" w:color="auto"/>
        <w:right w:val="none" w:sz="0" w:space="0" w:color="auto"/>
      </w:divBdr>
    </w:div>
    <w:div w:id="630137954">
      <w:bodyDiv w:val="1"/>
      <w:marLeft w:val="0"/>
      <w:marRight w:val="0"/>
      <w:marTop w:val="0"/>
      <w:marBottom w:val="0"/>
      <w:divBdr>
        <w:top w:val="none" w:sz="0" w:space="0" w:color="auto"/>
        <w:left w:val="none" w:sz="0" w:space="0" w:color="auto"/>
        <w:bottom w:val="none" w:sz="0" w:space="0" w:color="auto"/>
        <w:right w:val="none" w:sz="0" w:space="0" w:color="auto"/>
      </w:divBdr>
    </w:div>
    <w:div w:id="638847462">
      <w:bodyDiv w:val="1"/>
      <w:marLeft w:val="0"/>
      <w:marRight w:val="0"/>
      <w:marTop w:val="0"/>
      <w:marBottom w:val="0"/>
      <w:divBdr>
        <w:top w:val="none" w:sz="0" w:space="0" w:color="auto"/>
        <w:left w:val="none" w:sz="0" w:space="0" w:color="auto"/>
        <w:bottom w:val="none" w:sz="0" w:space="0" w:color="auto"/>
        <w:right w:val="none" w:sz="0" w:space="0" w:color="auto"/>
      </w:divBdr>
    </w:div>
    <w:div w:id="639506769">
      <w:bodyDiv w:val="1"/>
      <w:marLeft w:val="0"/>
      <w:marRight w:val="0"/>
      <w:marTop w:val="0"/>
      <w:marBottom w:val="0"/>
      <w:divBdr>
        <w:top w:val="none" w:sz="0" w:space="0" w:color="auto"/>
        <w:left w:val="none" w:sz="0" w:space="0" w:color="auto"/>
        <w:bottom w:val="none" w:sz="0" w:space="0" w:color="auto"/>
        <w:right w:val="none" w:sz="0" w:space="0" w:color="auto"/>
      </w:divBdr>
    </w:div>
    <w:div w:id="642732630">
      <w:bodyDiv w:val="1"/>
      <w:marLeft w:val="0"/>
      <w:marRight w:val="0"/>
      <w:marTop w:val="0"/>
      <w:marBottom w:val="0"/>
      <w:divBdr>
        <w:top w:val="none" w:sz="0" w:space="0" w:color="auto"/>
        <w:left w:val="none" w:sz="0" w:space="0" w:color="auto"/>
        <w:bottom w:val="none" w:sz="0" w:space="0" w:color="auto"/>
        <w:right w:val="none" w:sz="0" w:space="0" w:color="auto"/>
      </w:divBdr>
    </w:div>
    <w:div w:id="650644943">
      <w:bodyDiv w:val="1"/>
      <w:marLeft w:val="0"/>
      <w:marRight w:val="0"/>
      <w:marTop w:val="0"/>
      <w:marBottom w:val="0"/>
      <w:divBdr>
        <w:top w:val="none" w:sz="0" w:space="0" w:color="auto"/>
        <w:left w:val="none" w:sz="0" w:space="0" w:color="auto"/>
        <w:bottom w:val="none" w:sz="0" w:space="0" w:color="auto"/>
        <w:right w:val="none" w:sz="0" w:space="0" w:color="auto"/>
      </w:divBdr>
    </w:div>
    <w:div w:id="655648781">
      <w:bodyDiv w:val="1"/>
      <w:marLeft w:val="0"/>
      <w:marRight w:val="0"/>
      <w:marTop w:val="0"/>
      <w:marBottom w:val="0"/>
      <w:divBdr>
        <w:top w:val="none" w:sz="0" w:space="0" w:color="auto"/>
        <w:left w:val="none" w:sz="0" w:space="0" w:color="auto"/>
        <w:bottom w:val="none" w:sz="0" w:space="0" w:color="auto"/>
        <w:right w:val="none" w:sz="0" w:space="0" w:color="auto"/>
      </w:divBdr>
    </w:div>
    <w:div w:id="661271759">
      <w:bodyDiv w:val="1"/>
      <w:marLeft w:val="0"/>
      <w:marRight w:val="0"/>
      <w:marTop w:val="0"/>
      <w:marBottom w:val="0"/>
      <w:divBdr>
        <w:top w:val="none" w:sz="0" w:space="0" w:color="auto"/>
        <w:left w:val="none" w:sz="0" w:space="0" w:color="auto"/>
        <w:bottom w:val="none" w:sz="0" w:space="0" w:color="auto"/>
        <w:right w:val="none" w:sz="0" w:space="0" w:color="auto"/>
      </w:divBdr>
    </w:div>
    <w:div w:id="667832812">
      <w:bodyDiv w:val="1"/>
      <w:marLeft w:val="0"/>
      <w:marRight w:val="0"/>
      <w:marTop w:val="0"/>
      <w:marBottom w:val="0"/>
      <w:divBdr>
        <w:top w:val="none" w:sz="0" w:space="0" w:color="auto"/>
        <w:left w:val="none" w:sz="0" w:space="0" w:color="auto"/>
        <w:bottom w:val="none" w:sz="0" w:space="0" w:color="auto"/>
        <w:right w:val="none" w:sz="0" w:space="0" w:color="auto"/>
      </w:divBdr>
    </w:div>
    <w:div w:id="688144828">
      <w:bodyDiv w:val="1"/>
      <w:marLeft w:val="0"/>
      <w:marRight w:val="0"/>
      <w:marTop w:val="0"/>
      <w:marBottom w:val="0"/>
      <w:divBdr>
        <w:top w:val="none" w:sz="0" w:space="0" w:color="auto"/>
        <w:left w:val="none" w:sz="0" w:space="0" w:color="auto"/>
        <w:bottom w:val="none" w:sz="0" w:space="0" w:color="auto"/>
        <w:right w:val="none" w:sz="0" w:space="0" w:color="auto"/>
      </w:divBdr>
    </w:div>
    <w:div w:id="688334481">
      <w:bodyDiv w:val="1"/>
      <w:marLeft w:val="0"/>
      <w:marRight w:val="0"/>
      <w:marTop w:val="0"/>
      <w:marBottom w:val="0"/>
      <w:divBdr>
        <w:top w:val="none" w:sz="0" w:space="0" w:color="auto"/>
        <w:left w:val="none" w:sz="0" w:space="0" w:color="auto"/>
        <w:bottom w:val="none" w:sz="0" w:space="0" w:color="auto"/>
        <w:right w:val="none" w:sz="0" w:space="0" w:color="auto"/>
      </w:divBdr>
    </w:div>
    <w:div w:id="699627076">
      <w:bodyDiv w:val="1"/>
      <w:marLeft w:val="0"/>
      <w:marRight w:val="0"/>
      <w:marTop w:val="0"/>
      <w:marBottom w:val="0"/>
      <w:divBdr>
        <w:top w:val="none" w:sz="0" w:space="0" w:color="auto"/>
        <w:left w:val="none" w:sz="0" w:space="0" w:color="auto"/>
        <w:bottom w:val="none" w:sz="0" w:space="0" w:color="auto"/>
        <w:right w:val="none" w:sz="0" w:space="0" w:color="auto"/>
      </w:divBdr>
    </w:div>
    <w:div w:id="702754709">
      <w:bodyDiv w:val="1"/>
      <w:marLeft w:val="0"/>
      <w:marRight w:val="0"/>
      <w:marTop w:val="0"/>
      <w:marBottom w:val="0"/>
      <w:divBdr>
        <w:top w:val="none" w:sz="0" w:space="0" w:color="auto"/>
        <w:left w:val="none" w:sz="0" w:space="0" w:color="auto"/>
        <w:bottom w:val="none" w:sz="0" w:space="0" w:color="auto"/>
        <w:right w:val="none" w:sz="0" w:space="0" w:color="auto"/>
      </w:divBdr>
    </w:div>
    <w:div w:id="706490873">
      <w:bodyDiv w:val="1"/>
      <w:marLeft w:val="0"/>
      <w:marRight w:val="0"/>
      <w:marTop w:val="0"/>
      <w:marBottom w:val="0"/>
      <w:divBdr>
        <w:top w:val="none" w:sz="0" w:space="0" w:color="auto"/>
        <w:left w:val="none" w:sz="0" w:space="0" w:color="auto"/>
        <w:bottom w:val="none" w:sz="0" w:space="0" w:color="auto"/>
        <w:right w:val="none" w:sz="0" w:space="0" w:color="auto"/>
      </w:divBdr>
    </w:div>
    <w:div w:id="706760638">
      <w:bodyDiv w:val="1"/>
      <w:marLeft w:val="0"/>
      <w:marRight w:val="0"/>
      <w:marTop w:val="0"/>
      <w:marBottom w:val="0"/>
      <w:divBdr>
        <w:top w:val="none" w:sz="0" w:space="0" w:color="auto"/>
        <w:left w:val="none" w:sz="0" w:space="0" w:color="auto"/>
        <w:bottom w:val="none" w:sz="0" w:space="0" w:color="auto"/>
        <w:right w:val="none" w:sz="0" w:space="0" w:color="auto"/>
      </w:divBdr>
    </w:div>
    <w:div w:id="708995587">
      <w:bodyDiv w:val="1"/>
      <w:marLeft w:val="0"/>
      <w:marRight w:val="0"/>
      <w:marTop w:val="0"/>
      <w:marBottom w:val="0"/>
      <w:divBdr>
        <w:top w:val="none" w:sz="0" w:space="0" w:color="auto"/>
        <w:left w:val="none" w:sz="0" w:space="0" w:color="auto"/>
        <w:bottom w:val="none" w:sz="0" w:space="0" w:color="auto"/>
        <w:right w:val="none" w:sz="0" w:space="0" w:color="auto"/>
      </w:divBdr>
    </w:div>
    <w:div w:id="712922972">
      <w:bodyDiv w:val="1"/>
      <w:marLeft w:val="0"/>
      <w:marRight w:val="0"/>
      <w:marTop w:val="0"/>
      <w:marBottom w:val="0"/>
      <w:divBdr>
        <w:top w:val="none" w:sz="0" w:space="0" w:color="auto"/>
        <w:left w:val="none" w:sz="0" w:space="0" w:color="auto"/>
        <w:bottom w:val="none" w:sz="0" w:space="0" w:color="auto"/>
        <w:right w:val="none" w:sz="0" w:space="0" w:color="auto"/>
      </w:divBdr>
    </w:div>
    <w:div w:id="713846489">
      <w:bodyDiv w:val="1"/>
      <w:marLeft w:val="0"/>
      <w:marRight w:val="0"/>
      <w:marTop w:val="0"/>
      <w:marBottom w:val="0"/>
      <w:divBdr>
        <w:top w:val="none" w:sz="0" w:space="0" w:color="auto"/>
        <w:left w:val="none" w:sz="0" w:space="0" w:color="auto"/>
        <w:bottom w:val="none" w:sz="0" w:space="0" w:color="auto"/>
        <w:right w:val="none" w:sz="0" w:space="0" w:color="auto"/>
      </w:divBdr>
    </w:div>
    <w:div w:id="716709468">
      <w:bodyDiv w:val="1"/>
      <w:marLeft w:val="0"/>
      <w:marRight w:val="0"/>
      <w:marTop w:val="0"/>
      <w:marBottom w:val="0"/>
      <w:divBdr>
        <w:top w:val="none" w:sz="0" w:space="0" w:color="auto"/>
        <w:left w:val="none" w:sz="0" w:space="0" w:color="auto"/>
        <w:bottom w:val="none" w:sz="0" w:space="0" w:color="auto"/>
        <w:right w:val="none" w:sz="0" w:space="0" w:color="auto"/>
      </w:divBdr>
    </w:div>
    <w:div w:id="726296865">
      <w:bodyDiv w:val="1"/>
      <w:marLeft w:val="0"/>
      <w:marRight w:val="0"/>
      <w:marTop w:val="0"/>
      <w:marBottom w:val="0"/>
      <w:divBdr>
        <w:top w:val="none" w:sz="0" w:space="0" w:color="auto"/>
        <w:left w:val="none" w:sz="0" w:space="0" w:color="auto"/>
        <w:bottom w:val="none" w:sz="0" w:space="0" w:color="auto"/>
        <w:right w:val="none" w:sz="0" w:space="0" w:color="auto"/>
      </w:divBdr>
    </w:div>
    <w:div w:id="730277447">
      <w:bodyDiv w:val="1"/>
      <w:marLeft w:val="0"/>
      <w:marRight w:val="0"/>
      <w:marTop w:val="0"/>
      <w:marBottom w:val="0"/>
      <w:divBdr>
        <w:top w:val="none" w:sz="0" w:space="0" w:color="auto"/>
        <w:left w:val="none" w:sz="0" w:space="0" w:color="auto"/>
        <w:bottom w:val="none" w:sz="0" w:space="0" w:color="auto"/>
        <w:right w:val="none" w:sz="0" w:space="0" w:color="auto"/>
      </w:divBdr>
    </w:div>
    <w:div w:id="737438693">
      <w:bodyDiv w:val="1"/>
      <w:marLeft w:val="0"/>
      <w:marRight w:val="0"/>
      <w:marTop w:val="0"/>
      <w:marBottom w:val="0"/>
      <w:divBdr>
        <w:top w:val="none" w:sz="0" w:space="0" w:color="auto"/>
        <w:left w:val="none" w:sz="0" w:space="0" w:color="auto"/>
        <w:bottom w:val="none" w:sz="0" w:space="0" w:color="auto"/>
        <w:right w:val="none" w:sz="0" w:space="0" w:color="auto"/>
      </w:divBdr>
    </w:div>
    <w:div w:id="745346073">
      <w:bodyDiv w:val="1"/>
      <w:marLeft w:val="0"/>
      <w:marRight w:val="0"/>
      <w:marTop w:val="0"/>
      <w:marBottom w:val="0"/>
      <w:divBdr>
        <w:top w:val="none" w:sz="0" w:space="0" w:color="auto"/>
        <w:left w:val="none" w:sz="0" w:space="0" w:color="auto"/>
        <w:bottom w:val="none" w:sz="0" w:space="0" w:color="auto"/>
        <w:right w:val="none" w:sz="0" w:space="0" w:color="auto"/>
      </w:divBdr>
    </w:div>
    <w:div w:id="748115990">
      <w:bodyDiv w:val="1"/>
      <w:marLeft w:val="0"/>
      <w:marRight w:val="0"/>
      <w:marTop w:val="0"/>
      <w:marBottom w:val="0"/>
      <w:divBdr>
        <w:top w:val="none" w:sz="0" w:space="0" w:color="auto"/>
        <w:left w:val="none" w:sz="0" w:space="0" w:color="auto"/>
        <w:bottom w:val="none" w:sz="0" w:space="0" w:color="auto"/>
        <w:right w:val="none" w:sz="0" w:space="0" w:color="auto"/>
      </w:divBdr>
    </w:div>
    <w:div w:id="750614945">
      <w:bodyDiv w:val="1"/>
      <w:marLeft w:val="0"/>
      <w:marRight w:val="0"/>
      <w:marTop w:val="0"/>
      <w:marBottom w:val="0"/>
      <w:divBdr>
        <w:top w:val="none" w:sz="0" w:space="0" w:color="auto"/>
        <w:left w:val="none" w:sz="0" w:space="0" w:color="auto"/>
        <w:bottom w:val="none" w:sz="0" w:space="0" w:color="auto"/>
        <w:right w:val="none" w:sz="0" w:space="0" w:color="auto"/>
      </w:divBdr>
    </w:div>
    <w:div w:id="750738545">
      <w:bodyDiv w:val="1"/>
      <w:marLeft w:val="0"/>
      <w:marRight w:val="0"/>
      <w:marTop w:val="0"/>
      <w:marBottom w:val="0"/>
      <w:divBdr>
        <w:top w:val="none" w:sz="0" w:space="0" w:color="auto"/>
        <w:left w:val="none" w:sz="0" w:space="0" w:color="auto"/>
        <w:bottom w:val="none" w:sz="0" w:space="0" w:color="auto"/>
        <w:right w:val="none" w:sz="0" w:space="0" w:color="auto"/>
      </w:divBdr>
    </w:div>
    <w:div w:id="751581750">
      <w:bodyDiv w:val="1"/>
      <w:marLeft w:val="0"/>
      <w:marRight w:val="0"/>
      <w:marTop w:val="0"/>
      <w:marBottom w:val="0"/>
      <w:divBdr>
        <w:top w:val="none" w:sz="0" w:space="0" w:color="auto"/>
        <w:left w:val="none" w:sz="0" w:space="0" w:color="auto"/>
        <w:bottom w:val="none" w:sz="0" w:space="0" w:color="auto"/>
        <w:right w:val="none" w:sz="0" w:space="0" w:color="auto"/>
      </w:divBdr>
    </w:div>
    <w:div w:id="754327457">
      <w:bodyDiv w:val="1"/>
      <w:marLeft w:val="0"/>
      <w:marRight w:val="0"/>
      <w:marTop w:val="0"/>
      <w:marBottom w:val="0"/>
      <w:divBdr>
        <w:top w:val="none" w:sz="0" w:space="0" w:color="auto"/>
        <w:left w:val="none" w:sz="0" w:space="0" w:color="auto"/>
        <w:bottom w:val="none" w:sz="0" w:space="0" w:color="auto"/>
        <w:right w:val="none" w:sz="0" w:space="0" w:color="auto"/>
      </w:divBdr>
    </w:div>
    <w:div w:id="754666439">
      <w:bodyDiv w:val="1"/>
      <w:marLeft w:val="0"/>
      <w:marRight w:val="0"/>
      <w:marTop w:val="0"/>
      <w:marBottom w:val="0"/>
      <w:divBdr>
        <w:top w:val="none" w:sz="0" w:space="0" w:color="auto"/>
        <w:left w:val="none" w:sz="0" w:space="0" w:color="auto"/>
        <w:bottom w:val="none" w:sz="0" w:space="0" w:color="auto"/>
        <w:right w:val="none" w:sz="0" w:space="0" w:color="auto"/>
      </w:divBdr>
    </w:div>
    <w:div w:id="758255698">
      <w:bodyDiv w:val="1"/>
      <w:marLeft w:val="0"/>
      <w:marRight w:val="0"/>
      <w:marTop w:val="0"/>
      <w:marBottom w:val="0"/>
      <w:divBdr>
        <w:top w:val="none" w:sz="0" w:space="0" w:color="auto"/>
        <w:left w:val="none" w:sz="0" w:space="0" w:color="auto"/>
        <w:bottom w:val="none" w:sz="0" w:space="0" w:color="auto"/>
        <w:right w:val="none" w:sz="0" w:space="0" w:color="auto"/>
      </w:divBdr>
    </w:div>
    <w:div w:id="758335887">
      <w:bodyDiv w:val="1"/>
      <w:marLeft w:val="0"/>
      <w:marRight w:val="0"/>
      <w:marTop w:val="0"/>
      <w:marBottom w:val="0"/>
      <w:divBdr>
        <w:top w:val="none" w:sz="0" w:space="0" w:color="auto"/>
        <w:left w:val="none" w:sz="0" w:space="0" w:color="auto"/>
        <w:bottom w:val="none" w:sz="0" w:space="0" w:color="auto"/>
        <w:right w:val="none" w:sz="0" w:space="0" w:color="auto"/>
      </w:divBdr>
    </w:div>
    <w:div w:id="761074882">
      <w:bodyDiv w:val="1"/>
      <w:marLeft w:val="0"/>
      <w:marRight w:val="0"/>
      <w:marTop w:val="0"/>
      <w:marBottom w:val="0"/>
      <w:divBdr>
        <w:top w:val="none" w:sz="0" w:space="0" w:color="auto"/>
        <w:left w:val="none" w:sz="0" w:space="0" w:color="auto"/>
        <w:bottom w:val="none" w:sz="0" w:space="0" w:color="auto"/>
        <w:right w:val="none" w:sz="0" w:space="0" w:color="auto"/>
      </w:divBdr>
    </w:div>
    <w:div w:id="768550117">
      <w:bodyDiv w:val="1"/>
      <w:marLeft w:val="0"/>
      <w:marRight w:val="0"/>
      <w:marTop w:val="0"/>
      <w:marBottom w:val="0"/>
      <w:divBdr>
        <w:top w:val="none" w:sz="0" w:space="0" w:color="auto"/>
        <w:left w:val="none" w:sz="0" w:space="0" w:color="auto"/>
        <w:bottom w:val="none" w:sz="0" w:space="0" w:color="auto"/>
        <w:right w:val="none" w:sz="0" w:space="0" w:color="auto"/>
      </w:divBdr>
    </w:div>
    <w:div w:id="769200557">
      <w:bodyDiv w:val="1"/>
      <w:marLeft w:val="0"/>
      <w:marRight w:val="0"/>
      <w:marTop w:val="0"/>
      <w:marBottom w:val="0"/>
      <w:divBdr>
        <w:top w:val="none" w:sz="0" w:space="0" w:color="auto"/>
        <w:left w:val="none" w:sz="0" w:space="0" w:color="auto"/>
        <w:bottom w:val="none" w:sz="0" w:space="0" w:color="auto"/>
        <w:right w:val="none" w:sz="0" w:space="0" w:color="auto"/>
      </w:divBdr>
    </w:div>
    <w:div w:id="770395752">
      <w:bodyDiv w:val="1"/>
      <w:marLeft w:val="0"/>
      <w:marRight w:val="0"/>
      <w:marTop w:val="0"/>
      <w:marBottom w:val="0"/>
      <w:divBdr>
        <w:top w:val="none" w:sz="0" w:space="0" w:color="auto"/>
        <w:left w:val="none" w:sz="0" w:space="0" w:color="auto"/>
        <w:bottom w:val="none" w:sz="0" w:space="0" w:color="auto"/>
        <w:right w:val="none" w:sz="0" w:space="0" w:color="auto"/>
      </w:divBdr>
    </w:div>
    <w:div w:id="782456484">
      <w:bodyDiv w:val="1"/>
      <w:marLeft w:val="0"/>
      <w:marRight w:val="0"/>
      <w:marTop w:val="0"/>
      <w:marBottom w:val="0"/>
      <w:divBdr>
        <w:top w:val="none" w:sz="0" w:space="0" w:color="auto"/>
        <w:left w:val="none" w:sz="0" w:space="0" w:color="auto"/>
        <w:bottom w:val="none" w:sz="0" w:space="0" w:color="auto"/>
        <w:right w:val="none" w:sz="0" w:space="0" w:color="auto"/>
      </w:divBdr>
    </w:div>
    <w:div w:id="783964081">
      <w:bodyDiv w:val="1"/>
      <w:marLeft w:val="0"/>
      <w:marRight w:val="0"/>
      <w:marTop w:val="0"/>
      <w:marBottom w:val="0"/>
      <w:divBdr>
        <w:top w:val="none" w:sz="0" w:space="0" w:color="auto"/>
        <w:left w:val="none" w:sz="0" w:space="0" w:color="auto"/>
        <w:bottom w:val="none" w:sz="0" w:space="0" w:color="auto"/>
        <w:right w:val="none" w:sz="0" w:space="0" w:color="auto"/>
      </w:divBdr>
    </w:div>
    <w:div w:id="787355613">
      <w:bodyDiv w:val="1"/>
      <w:marLeft w:val="0"/>
      <w:marRight w:val="0"/>
      <w:marTop w:val="0"/>
      <w:marBottom w:val="0"/>
      <w:divBdr>
        <w:top w:val="none" w:sz="0" w:space="0" w:color="auto"/>
        <w:left w:val="none" w:sz="0" w:space="0" w:color="auto"/>
        <w:bottom w:val="none" w:sz="0" w:space="0" w:color="auto"/>
        <w:right w:val="none" w:sz="0" w:space="0" w:color="auto"/>
      </w:divBdr>
    </w:div>
    <w:div w:id="793790218">
      <w:bodyDiv w:val="1"/>
      <w:marLeft w:val="0"/>
      <w:marRight w:val="0"/>
      <w:marTop w:val="0"/>
      <w:marBottom w:val="0"/>
      <w:divBdr>
        <w:top w:val="none" w:sz="0" w:space="0" w:color="auto"/>
        <w:left w:val="none" w:sz="0" w:space="0" w:color="auto"/>
        <w:bottom w:val="none" w:sz="0" w:space="0" w:color="auto"/>
        <w:right w:val="none" w:sz="0" w:space="0" w:color="auto"/>
      </w:divBdr>
    </w:div>
    <w:div w:id="794828984">
      <w:bodyDiv w:val="1"/>
      <w:marLeft w:val="0"/>
      <w:marRight w:val="0"/>
      <w:marTop w:val="0"/>
      <w:marBottom w:val="0"/>
      <w:divBdr>
        <w:top w:val="none" w:sz="0" w:space="0" w:color="auto"/>
        <w:left w:val="none" w:sz="0" w:space="0" w:color="auto"/>
        <w:bottom w:val="none" w:sz="0" w:space="0" w:color="auto"/>
        <w:right w:val="none" w:sz="0" w:space="0" w:color="auto"/>
      </w:divBdr>
    </w:div>
    <w:div w:id="794911004">
      <w:bodyDiv w:val="1"/>
      <w:marLeft w:val="0"/>
      <w:marRight w:val="0"/>
      <w:marTop w:val="0"/>
      <w:marBottom w:val="0"/>
      <w:divBdr>
        <w:top w:val="none" w:sz="0" w:space="0" w:color="auto"/>
        <w:left w:val="none" w:sz="0" w:space="0" w:color="auto"/>
        <w:bottom w:val="none" w:sz="0" w:space="0" w:color="auto"/>
        <w:right w:val="none" w:sz="0" w:space="0" w:color="auto"/>
      </w:divBdr>
    </w:div>
    <w:div w:id="796727130">
      <w:bodyDiv w:val="1"/>
      <w:marLeft w:val="0"/>
      <w:marRight w:val="0"/>
      <w:marTop w:val="0"/>
      <w:marBottom w:val="0"/>
      <w:divBdr>
        <w:top w:val="none" w:sz="0" w:space="0" w:color="auto"/>
        <w:left w:val="none" w:sz="0" w:space="0" w:color="auto"/>
        <w:bottom w:val="none" w:sz="0" w:space="0" w:color="auto"/>
        <w:right w:val="none" w:sz="0" w:space="0" w:color="auto"/>
      </w:divBdr>
    </w:div>
    <w:div w:id="799297519">
      <w:bodyDiv w:val="1"/>
      <w:marLeft w:val="0"/>
      <w:marRight w:val="0"/>
      <w:marTop w:val="0"/>
      <w:marBottom w:val="0"/>
      <w:divBdr>
        <w:top w:val="none" w:sz="0" w:space="0" w:color="auto"/>
        <w:left w:val="none" w:sz="0" w:space="0" w:color="auto"/>
        <w:bottom w:val="none" w:sz="0" w:space="0" w:color="auto"/>
        <w:right w:val="none" w:sz="0" w:space="0" w:color="auto"/>
      </w:divBdr>
    </w:div>
    <w:div w:id="800462405">
      <w:bodyDiv w:val="1"/>
      <w:marLeft w:val="0"/>
      <w:marRight w:val="0"/>
      <w:marTop w:val="0"/>
      <w:marBottom w:val="0"/>
      <w:divBdr>
        <w:top w:val="none" w:sz="0" w:space="0" w:color="auto"/>
        <w:left w:val="none" w:sz="0" w:space="0" w:color="auto"/>
        <w:bottom w:val="none" w:sz="0" w:space="0" w:color="auto"/>
        <w:right w:val="none" w:sz="0" w:space="0" w:color="auto"/>
      </w:divBdr>
    </w:div>
    <w:div w:id="802886983">
      <w:bodyDiv w:val="1"/>
      <w:marLeft w:val="0"/>
      <w:marRight w:val="0"/>
      <w:marTop w:val="0"/>
      <w:marBottom w:val="0"/>
      <w:divBdr>
        <w:top w:val="none" w:sz="0" w:space="0" w:color="auto"/>
        <w:left w:val="none" w:sz="0" w:space="0" w:color="auto"/>
        <w:bottom w:val="none" w:sz="0" w:space="0" w:color="auto"/>
        <w:right w:val="none" w:sz="0" w:space="0" w:color="auto"/>
      </w:divBdr>
    </w:div>
    <w:div w:id="803740881">
      <w:bodyDiv w:val="1"/>
      <w:marLeft w:val="0"/>
      <w:marRight w:val="0"/>
      <w:marTop w:val="0"/>
      <w:marBottom w:val="0"/>
      <w:divBdr>
        <w:top w:val="none" w:sz="0" w:space="0" w:color="auto"/>
        <w:left w:val="none" w:sz="0" w:space="0" w:color="auto"/>
        <w:bottom w:val="none" w:sz="0" w:space="0" w:color="auto"/>
        <w:right w:val="none" w:sz="0" w:space="0" w:color="auto"/>
      </w:divBdr>
    </w:div>
    <w:div w:id="805510968">
      <w:bodyDiv w:val="1"/>
      <w:marLeft w:val="0"/>
      <w:marRight w:val="0"/>
      <w:marTop w:val="0"/>
      <w:marBottom w:val="0"/>
      <w:divBdr>
        <w:top w:val="none" w:sz="0" w:space="0" w:color="auto"/>
        <w:left w:val="none" w:sz="0" w:space="0" w:color="auto"/>
        <w:bottom w:val="none" w:sz="0" w:space="0" w:color="auto"/>
        <w:right w:val="none" w:sz="0" w:space="0" w:color="auto"/>
      </w:divBdr>
    </w:div>
    <w:div w:id="807354971">
      <w:bodyDiv w:val="1"/>
      <w:marLeft w:val="0"/>
      <w:marRight w:val="0"/>
      <w:marTop w:val="0"/>
      <w:marBottom w:val="0"/>
      <w:divBdr>
        <w:top w:val="none" w:sz="0" w:space="0" w:color="auto"/>
        <w:left w:val="none" w:sz="0" w:space="0" w:color="auto"/>
        <w:bottom w:val="none" w:sz="0" w:space="0" w:color="auto"/>
        <w:right w:val="none" w:sz="0" w:space="0" w:color="auto"/>
      </w:divBdr>
    </w:div>
    <w:div w:id="818419952">
      <w:bodyDiv w:val="1"/>
      <w:marLeft w:val="0"/>
      <w:marRight w:val="0"/>
      <w:marTop w:val="0"/>
      <w:marBottom w:val="0"/>
      <w:divBdr>
        <w:top w:val="none" w:sz="0" w:space="0" w:color="auto"/>
        <w:left w:val="none" w:sz="0" w:space="0" w:color="auto"/>
        <w:bottom w:val="none" w:sz="0" w:space="0" w:color="auto"/>
        <w:right w:val="none" w:sz="0" w:space="0" w:color="auto"/>
      </w:divBdr>
    </w:div>
    <w:div w:id="820921681">
      <w:bodyDiv w:val="1"/>
      <w:marLeft w:val="0"/>
      <w:marRight w:val="0"/>
      <w:marTop w:val="0"/>
      <w:marBottom w:val="0"/>
      <w:divBdr>
        <w:top w:val="none" w:sz="0" w:space="0" w:color="auto"/>
        <w:left w:val="none" w:sz="0" w:space="0" w:color="auto"/>
        <w:bottom w:val="none" w:sz="0" w:space="0" w:color="auto"/>
        <w:right w:val="none" w:sz="0" w:space="0" w:color="auto"/>
      </w:divBdr>
    </w:div>
    <w:div w:id="825631900">
      <w:bodyDiv w:val="1"/>
      <w:marLeft w:val="0"/>
      <w:marRight w:val="0"/>
      <w:marTop w:val="0"/>
      <w:marBottom w:val="0"/>
      <w:divBdr>
        <w:top w:val="none" w:sz="0" w:space="0" w:color="auto"/>
        <w:left w:val="none" w:sz="0" w:space="0" w:color="auto"/>
        <w:bottom w:val="none" w:sz="0" w:space="0" w:color="auto"/>
        <w:right w:val="none" w:sz="0" w:space="0" w:color="auto"/>
      </w:divBdr>
    </w:div>
    <w:div w:id="835658214">
      <w:bodyDiv w:val="1"/>
      <w:marLeft w:val="0"/>
      <w:marRight w:val="0"/>
      <w:marTop w:val="0"/>
      <w:marBottom w:val="0"/>
      <w:divBdr>
        <w:top w:val="none" w:sz="0" w:space="0" w:color="auto"/>
        <w:left w:val="none" w:sz="0" w:space="0" w:color="auto"/>
        <w:bottom w:val="none" w:sz="0" w:space="0" w:color="auto"/>
        <w:right w:val="none" w:sz="0" w:space="0" w:color="auto"/>
      </w:divBdr>
    </w:div>
    <w:div w:id="836924041">
      <w:bodyDiv w:val="1"/>
      <w:marLeft w:val="0"/>
      <w:marRight w:val="0"/>
      <w:marTop w:val="0"/>
      <w:marBottom w:val="0"/>
      <w:divBdr>
        <w:top w:val="none" w:sz="0" w:space="0" w:color="auto"/>
        <w:left w:val="none" w:sz="0" w:space="0" w:color="auto"/>
        <w:bottom w:val="none" w:sz="0" w:space="0" w:color="auto"/>
        <w:right w:val="none" w:sz="0" w:space="0" w:color="auto"/>
      </w:divBdr>
    </w:div>
    <w:div w:id="838541250">
      <w:bodyDiv w:val="1"/>
      <w:marLeft w:val="0"/>
      <w:marRight w:val="0"/>
      <w:marTop w:val="0"/>
      <w:marBottom w:val="0"/>
      <w:divBdr>
        <w:top w:val="none" w:sz="0" w:space="0" w:color="auto"/>
        <w:left w:val="none" w:sz="0" w:space="0" w:color="auto"/>
        <w:bottom w:val="none" w:sz="0" w:space="0" w:color="auto"/>
        <w:right w:val="none" w:sz="0" w:space="0" w:color="auto"/>
      </w:divBdr>
    </w:div>
    <w:div w:id="841820616">
      <w:bodyDiv w:val="1"/>
      <w:marLeft w:val="0"/>
      <w:marRight w:val="0"/>
      <w:marTop w:val="0"/>
      <w:marBottom w:val="0"/>
      <w:divBdr>
        <w:top w:val="none" w:sz="0" w:space="0" w:color="auto"/>
        <w:left w:val="none" w:sz="0" w:space="0" w:color="auto"/>
        <w:bottom w:val="none" w:sz="0" w:space="0" w:color="auto"/>
        <w:right w:val="none" w:sz="0" w:space="0" w:color="auto"/>
      </w:divBdr>
    </w:div>
    <w:div w:id="847913429">
      <w:bodyDiv w:val="1"/>
      <w:marLeft w:val="0"/>
      <w:marRight w:val="0"/>
      <w:marTop w:val="0"/>
      <w:marBottom w:val="0"/>
      <w:divBdr>
        <w:top w:val="none" w:sz="0" w:space="0" w:color="auto"/>
        <w:left w:val="none" w:sz="0" w:space="0" w:color="auto"/>
        <w:bottom w:val="none" w:sz="0" w:space="0" w:color="auto"/>
        <w:right w:val="none" w:sz="0" w:space="0" w:color="auto"/>
      </w:divBdr>
    </w:div>
    <w:div w:id="849174732">
      <w:bodyDiv w:val="1"/>
      <w:marLeft w:val="0"/>
      <w:marRight w:val="0"/>
      <w:marTop w:val="0"/>
      <w:marBottom w:val="0"/>
      <w:divBdr>
        <w:top w:val="none" w:sz="0" w:space="0" w:color="auto"/>
        <w:left w:val="none" w:sz="0" w:space="0" w:color="auto"/>
        <w:bottom w:val="none" w:sz="0" w:space="0" w:color="auto"/>
        <w:right w:val="none" w:sz="0" w:space="0" w:color="auto"/>
      </w:divBdr>
    </w:div>
    <w:div w:id="852914897">
      <w:bodyDiv w:val="1"/>
      <w:marLeft w:val="0"/>
      <w:marRight w:val="0"/>
      <w:marTop w:val="0"/>
      <w:marBottom w:val="0"/>
      <w:divBdr>
        <w:top w:val="none" w:sz="0" w:space="0" w:color="auto"/>
        <w:left w:val="none" w:sz="0" w:space="0" w:color="auto"/>
        <w:bottom w:val="none" w:sz="0" w:space="0" w:color="auto"/>
        <w:right w:val="none" w:sz="0" w:space="0" w:color="auto"/>
      </w:divBdr>
    </w:div>
    <w:div w:id="852961883">
      <w:bodyDiv w:val="1"/>
      <w:marLeft w:val="0"/>
      <w:marRight w:val="0"/>
      <w:marTop w:val="0"/>
      <w:marBottom w:val="0"/>
      <w:divBdr>
        <w:top w:val="none" w:sz="0" w:space="0" w:color="auto"/>
        <w:left w:val="none" w:sz="0" w:space="0" w:color="auto"/>
        <w:bottom w:val="none" w:sz="0" w:space="0" w:color="auto"/>
        <w:right w:val="none" w:sz="0" w:space="0" w:color="auto"/>
      </w:divBdr>
    </w:div>
    <w:div w:id="855315536">
      <w:bodyDiv w:val="1"/>
      <w:marLeft w:val="0"/>
      <w:marRight w:val="0"/>
      <w:marTop w:val="0"/>
      <w:marBottom w:val="0"/>
      <w:divBdr>
        <w:top w:val="none" w:sz="0" w:space="0" w:color="auto"/>
        <w:left w:val="none" w:sz="0" w:space="0" w:color="auto"/>
        <w:bottom w:val="none" w:sz="0" w:space="0" w:color="auto"/>
        <w:right w:val="none" w:sz="0" w:space="0" w:color="auto"/>
      </w:divBdr>
    </w:div>
    <w:div w:id="860124702">
      <w:bodyDiv w:val="1"/>
      <w:marLeft w:val="0"/>
      <w:marRight w:val="0"/>
      <w:marTop w:val="0"/>
      <w:marBottom w:val="0"/>
      <w:divBdr>
        <w:top w:val="none" w:sz="0" w:space="0" w:color="auto"/>
        <w:left w:val="none" w:sz="0" w:space="0" w:color="auto"/>
        <w:bottom w:val="none" w:sz="0" w:space="0" w:color="auto"/>
        <w:right w:val="none" w:sz="0" w:space="0" w:color="auto"/>
      </w:divBdr>
    </w:div>
    <w:div w:id="879976062">
      <w:bodyDiv w:val="1"/>
      <w:marLeft w:val="0"/>
      <w:marRight w:val="0"/>
      <w:marTop w:val="0"/>
      <w:marBottom w:val="0"/>
      <w:divBdr>
        <w:top w:val="none" w:sz="0" w:space="0" w:color="auto"/>
        <w:left w:val="none" w:sz="0" w:space="0" w:color="auto"/>
        <w:bottom w:val="none" w:sz="0" w:space="0" w:color="auto"/>
        <w:right w:val="none" w:sz="0" w:space="0" w:color="auto"/>
      </w:divBdr>
    </w:div>
    <w:div w:id="881329371">
      <w:bodyDiv w:val="1"/>
      <w:marLeft w:val="0"/>
      <w:marRight w:val="0"/>
      <w:marTop w:val="0"/>
      <w:marBottom w:val="0"/>
      <w:divBdr>
        <w:top w:val="none" w:sz="0" w:space="0" w:color="auto"/>
        <w:left w:val="none" w:sz="0" w:space="0" w:color="auto"/>
        <w:bottom w:val="none" w:sz="0" w:space="0" w:color="auto"/>
        <w:right w:val="none" w:sz="0" w:space="0" w:color="auto"/>
      </w:divBdr>
    </w:div>
    <w:div w:id="896816756">
      <w:bodyDiv w:val="1"/>
      <w:marLeft w:val="0"/>
      <w:marRight w:val="0"/>
      <w:marTop w:val="0"/>
      <w:marBottom w:val="0"/>
      <w:divBdr>
        <w:top w:val="none" w:sz="0" w:space="0" w:color="auto"/>
        <w:left w:val="none" w:sz="0" w:space="0" w:color="auto"/>
        <w:bottom w:val="none" w:sz="0" w:space="0" w:color="auto"/>
        <w:right w:val="none" w:sz="0" w:space="0" w:color="auto"/>
      </w:divBdr>
    </w:div>
    <w:div w:id="897284351">
      <w:bodyDiv w:val="1"/>
      <w:marLeft w:val="0"/>
      <w:marRight w:val="0"/>
      <w:marTop w:val="0"/>
      <w:marBottom w:val="0"/>
      <w:divBdr>
        <w:top w:val="none" w:sz="0" w:space="0" w:color="auto"/>
        <w:left w:val="none" w:sz="0" w:space="0" w:color="auto"/>
        <w:bottom w:val="none" w:sz="0" w:space="0" w:color="auto"/>
        <w:right w:val="none" w:sz="0" w:space="0" w:color="auto"/>
      </w:divBdr>
    </w:div>
    <w:div w:id="900289938">
      <w:bodyDiv w:val="1"/>
      <w:marLeft w:val="0"/>
      <w:marRight w:val="0"/>
      <w:marTop w:val="0"/>
      <w:marBottom w:val="0"/>
      <w:divBdr>
        <w:top w:val="none" w:sz="0" w:space="0" w:color="auto"/>
        <w:left w:val="none" w:sz="0" w:space="0" w:color="auto"/>
        <w:bottom w:val="none" w:sz="0" w:space="0" w:color="auto"/>
        <w:right w:val="none" w:sz="0" w:space="0" w:color="auto"/>
      </w:divBdr>
    </w:div>
    <w:div w:id="913006118">
      <w:bodyDiv w:val="1"/>
      <w:marLeft w:val="0"/>
      <w:marRight w:val="0"/>
      <w:marTop w:val="0"/>
      <w:marBottom w:val="0"/>
      <w:divBdr>
        <w:top w:val="none" w:sz="0" w:space="0" w:color="auto"/>
        <w:left w:val="none" w:sz="0" w:space="0" w:color="auto"/>
        <w:bottom w:val="none" w:sz="0" w:space="0" w:color="auto"/>
        <w:right w:val="none" w:sz="0" w:space="0" w:color="auto"/>
      </w:divBdr>
    </w:div>
    <w:div w:id="914977341">
      <w:bodyDiv w:val="1"/>
      <w:marLeft w:val="0"/>
      <w:marRight w:val="0"/>
      <w:marTop w:val="0"/>
      <w:marBottom w:val="0"/>
      <w:divBdr>
        <w:top w:val="none" w:sz="0" w:space="0" w:color="auto"/>
        <w:left w:val="none" w:sz="0" w:space="0" w:color="auto"/>
        <w:bottom w:val="none" w:sz="0" w:space="0" w:color="auto"/>
        <w:right w:val="none" w:sz="0" w:space="0" w:color="auto"/>
      </w:divBdr>
    </w:div>
    <w:div w:id="918322861">
      <w:bodyDiv w:val="1"/>
      <w:marLeft w:val="0"/>
      <w:marRight w:val="0"/>
      <w:marTop w:val="0"/>
      <w:marBottom w:val="0"/>
      <w:divBdr>
        <w:top w:val="none" w:sz="0" w:space="0" w:color="auto"/>
        <w:left w:val="none" w:sz="0" w:space="0" w:color="auto"/>
        <w:bottom w:val="none" w:sz="0" w:space="0" w:color="auto"/>
        <w:right w:val="none" w:sz="0" w:space="0" w:color="auto"/>
      </w:divBdr>
    </w:div>
    <w:div w:id="923880168">
      <w:bodyDiv w:val="1"/>
      <w:marLeft w:val="0"/>
      <w:marRight w:val="0"/>
      <w:marTop w:val="0"/>
      <w:marBottom w:val="0"/>
      <w:divBdr>
        <w:top w:val="none" w:sz="0" w:space="0" w:color="auto"/>
        <w:left w:val="none" w:sz="0" w:space="0" w:color="auto"/>
        <w:bottom w:val="none" w:sz="0" w:space="0" w:color="auto"/>
        <w:right w:val="none" w:sz="0" w:space="0" w:color="auto"/>
      </w:divBdr>
    </w:div>
    <w:div w:id="927156339">
      <w:bodyDiv w:val="1"/>
      <w:marLeft w:val="0"/>
      <w:marRight w:val="0"/>
      <w:marTop w:val="0"/>
      <w:marBottom w:val="0"/>
      <w:divBdr>
        <w:top w:val="none" w:sz="0" w:space="0" w:color="auto"/>
        <w:left w:val="none" w:sz="0" w:space="0" w:color="auto"/>
        <w:bottom w:val="none" w:sz="0" w:space="0" w:color="auto"/>
        <w:right w:val="none" w:sz="0" w:space="0" w:color="auto"/>
      </w:divBdr>
    </w:div>
    <w:div w:id="930503048">
      <w:bodyDiv w:val="1"/>
      <w:marLeft w:val="0"/>
      <w:marRight w:val="0"/>
      <w:marTop w:val="0"/>
      <w:marBottom w:val="0"/>
      <w:divBdr>
        <w:top w:val="none" w:sz="0" w:space="0" w:color="auto"/>
        <w:left w:val="none" w:sz="0" w:space="0" w:color="auto"/>
        <w:bottom w:val="none" w:sz="0" w:space="0" w:color="auto"/>
        <w:right w:val="none" w:sz="0" w:space="0" w:color="auto"/>
      </w:divBdr>
    </w:div>
    <w:div w:id="931858903">
      <w:bodyDiv w:val="1"/>
      <w:marLeft w:val="0"/>
      <w:marRight w:val="0"/>
      <w:marTop w:val="0"/>
      <w:marBottom w:val="0"/>
      <w:divBdr>
        <w:top w:val="none" w:sz="0" w:space="0" w:color="auto"/>
        <w:left w:val="none" w:sz="0" w:space="0" w:color="auto"/>
        <w:bottom w:val="none" w:sz="0" w:space="0" w:color="auto"/>
        <w:right w:val="none" w:sz="0" w:space="0" w:color="auto"/>
      </w:divBdr>
    </w:div>
    <w:div w:id="934747964">
      <w:bodyDiv w:val="1"/>
      <w:marLeft w:val="0"/>
      <w:marRight w:val="0"/>
      <w:marTop w:val="0"/>
      <w:marBottom w:val="0"/>
      <w:divBdr>
        <w:top w:val="none" w:sz="0" w:space="0" w:color="auto"/>
        <w:left w:val="none" w:sz="0" w:space="0" w:color="auto"/>
        <w:bottom w:val="none" w:sz="0" w:space="0" w:color="auto"/>
        <w:right w:val="none" w:sz="0" w:space="0" w:color="auto"/>
      </w:divBdr>
    </w:div>
    <w:div w:id="935551233">
      <w:bodyDiv w:val="1"/>
      <w:marLeft w:val="0"/>
      <w:marRight w:val="0"/>
      <w:marTop w:val="0"/>
      <w:marBottom w:val="0"/>
      <w:divBdr>
        <w:top w:val="none" w:sz="0" w:space="0" w:color="auto"/>
        <w:left w:val="none" w:sz="0" w:space="0" w:color="auto"/>
        <w:bottom w:val="none" w:sz="0" w:space="0" w:color="auto"/>
        <w:right w:val="none" w:sz="0" w:space="0" w:color="auto"/>
      </w:divBdr>
    </w:div>
    <w:div w:id="936212474">
      <w:bodyDiv w:val="1"/>
      <w:marLeft w:val="0"/>
      <w:marRight w:val="0"/>
      <w:marTop w:val="0"/>
      <w:marBottom w:val="0"/>
      <w:divBdr>
        <w:top w:val="none" w:sz="0" w:space="0" w:color="auto"/>
        <w:left w:val="none" w:sz="0" w:space="0" w:color="auto"/>
        <w:bottom w:val="none" w:sz="0" w:space="0" w:color="auto"/>
        <w:right w:val="none" w:sz="0" w:space="0" w:color="auto"/>
      </w:divBdr>
    </w:div>
    <w:div w:id="936518072">
      <w:bodyDiv w:val="1"/>
      <w:marLeft w:val="0"/>
      <w:marRight w:val="0"/>
      <w:marTop w:val="0"/>
      <w:marBottom w:val="0"/>
      <w:divBdr>
        <w:top w:val="none" w:sz="0" w:space="0" w:color="auto"/>
        <w:left w:val="none" w:sz="0" w:space="0" w:color="auto"/>
        <w:bottom w:val="none" w:sz="0" w:space="0" w:color="auto"/>
        <w:right w:val="none" w:sz="0" w:space="0" w:color="auto"/>
      </w:divBdr>
    </w:div>
    <w:div w:id="936787357">
      <w:bodyDiv w:val="1"/>
      <w:marLeft w:val="0"/>
      <w:marRight w:val="0"/>
      <w:marTop w:val="0"/>
      <w:marBottom w:val="0"/>
      <w:divBdr>
        <w:top w:val="none" w:sz="0" w:space="0" w:color="auto"/>
        <w:left w:val="none" w:sz="0" w:space="0" w:color="auto"/>
        <w:bottom w:val="none" w:sz="0" w:space="0" w:color="auto"/>
        <w:right w:val="none" w:sz="0" w:space="0" w:color="auto"/>
      </w:divBdr>
    </w:div>
    <w:div w:id="942154895">
      <w:bodyDiv w:val="1"/>
      <w:marLeft w:val="0"/>
      <w:marRight w:val="0"/>
      <w:marTop w:val="0"/>
      <w:marBottom w:val="0"/>
      <w:divBdr>
        <w:top w:val="none" w:sz="0" w:space="0" w:color="auto"/>
        <w:left w:val="none" w:sz="0" w:space="0" w:color="auto"/>
        <w:bottom w:val="none" w:sz="0" w:space="0" w:color="auto"/>
        <w:right w:val="none" w:sz="0" w:space="0" w:color="auto"/>
      </w:divBdr>
    </w:div>
    <w:div w:id="942614071">
      <w:bodyDiv w:val="1"/>
      <w:marLeft w:val="0"/>
      <w:marRight w:val="0"/>
      <w:marTop w:val="0"/>
      <w:marBottom w:val="0"/>
      <w:divBdr>
        <w:top w:val="none" w:sz="0" w:space="0" w:color="auto"/>
        <w:left w:val="none" w:sz="0" w:space="0" w:color="auto"/>
        <w:bottom w:val="none" w:sz="0" w:space="0" w:color="auto"/>
        <w:right w:val="none" w:sz="0" w:space="0" w:color="auto"/>
      </w:divBdr>
    </w:div>
    <w:div w:id="944264656">
      <w:bodyDiv w:val="1"/>
      <w:marLeft w:val="0"/>
      <w:marRight w:val="0"/>
      <w:marTop w:val="0"/>
      <w:marBottom w:val="0"/>
      <w:divBdr>
        <w:top w:val="none" w:sz="0" w:space="0" w:color="auto"/>
        <w:left w:val="none" w:sz="0" w:space="0" w:color="auto"/>
        <w:bottom w:val="none" w:sz="0" w:space="0" w:color="auto"/>
        <w:right w:val="none" w:sz="0" w:space="0" w:color="auto"/>
      </w:divBdr>
    </w:div>
    <w:div w:id="949817902">
      <w:bodyDiv w:val="1"/>
      <w:marLeft w:val="0"/>
      <w:marRight w:val="0"/>
      <w:marTop w:val="0"/>
      <w:marBottom w:val="0"/>
      <w:divBdr>
        <w:top w:val="none" w:sz="0" w:space="0" w:color="auto"/>
        <w:left w:val="none" w:sz="0" w:space="0" w:color="auto"/>
        <w:bottom w:val="none" w:sz="0" w:space="0" w:color="auto"/>
        <w:right w:val="none" w:sz="0" w:space="0" w:color="auto"/>
      </w:divBdr>
    </w:div>
    <w:div w:id="958143972">
      <w:bodyDiv w:val="1"/>
      <w:marLeft w:val="0"/>
      <w:marRight w:val="0"/>
      <w:marTop w:val="0"/>
      <w:marBottom w:val="0"/>
      <w:divBdr>
        <w:top w:val="none" w:sz="0" w:space="0" w:color="auto"/>
        <w:left w:val="none" w:sz="0" w:space="0" w:color="auto"/>
        <w:bottom w:val="none" w:sz="0" w:space="0" w:color="auto"/>
        <w:right w:val="none" w:sz="0" w:space="0" w:color="auto"/>
      </w:divBdr>
    </w:div>
    <w:div w:id="958603508">
      <w:bodyDiv w:val="1"/>
      <w:marLeft w:val="0"/>
      <w:marRight w:val="0"/>
      <w:marTop w:val="0"/>
      <w:marBottom w:val="0"/>
      <w:divBdr>
        <w:top w:val="none" w:sz="0" w:space="0" w:color="auto"/>
        <w:left w:val="none" w:sz="0" w:space="0" w:color="auto"/>
        <w:bottom w:val="none" w:sz="0" w:space="0" w:color="auto"/>
        <w:right w:val="none" w:sz="0" w:space="0" w:color="auto"/>
      </w:divBdr>
    </w:div>
    <w:div w:id="958608442">
      <w:bodyDiv w:val="1"/>
      <w:marLeft w:val="0"/>
      <w:marRight w:val="0"/>
      <w:marTop w:val="0"/>
      <w:marBottom w:val="0"/>
      <w:divBdr>
        <w:top w:val="none" w:sz="0" w:space="0" w:color="auto"/>
        <w:left w:val="none" w:sz="0" w:space="0" w:color="auto"/>
        <w:bottom w:val="none" w:sz="0" w:space="0" w:color="auto"/>
        <w:right w:val="none" w:sz="0" w:space="0" w:color="auto"/>
      </w:divBdr>
    </w:div>
    <w:div w:id="972448615">
      <w:bodyDiv w:val="1"/>
      <w:marLeft w:val="0"/>
      <w:marRight w:val="0"/>
      <w:marTop w:val="0"/>
      <w:marBottom w:val="0"/>
      <w:divBdr>
        <w:top w:val="none" w:sz="0" w:space="0" w:color="auto"/>
        <w:left w:val="none" w:sz="0" w:space="0" w:color="auto"/>
        <w:bottom w:val="none" w:sz="0" w:space="0" w:color="auto"/>
        <w:right w:val="none" w:sz="0" w:space="0" w:color="auto"/>
      </w:divBdr>
    </w:div>
    <w:div w:id="973019948">
      <w:bodyDiv w:val="1"/>
      <w:marLeft w:val="0"/>
      <w:marRight w:val="0"/>
      <w:marTop w:val="0"/>
      <w:marBottom w:val="0"/>
      <w:divBdr>
        <w:top w:val="none" w:sz="0" w:space="0" w:color="auto"/>
        <w:left w:val="none" w:sz="0" w:space="0" w:color="auto"/>
        <w:bottom w:val="none" w:sz="0" w:space="0" w:color="auto"/>
        <w:right w:val="none" w:sz="0" w:space="0" w:color="auto"/>
      </w:divBdr>
    </w:div>
    <w:div w:id="975767839">
      <w:bodyDiv w:val="1"/>
      <w:marLeft w:val="0"/>
      <w:marRight w:val="0"/>
      <w:marTop w:val="0"/>
      <w:marBottom w:val="0"/>
      <w:divBdr>
        <w:top w:val="none" w:sz="0" w:space="0" w:color="auto"/>
        <w:left w:val="none" w:sz="0" w:space="0" w:color="auto"/>
        <w:bottom w:val="none" w:sz="0" w:space="0" w:color="auto"/>
        <w:right w:val="none" w:sz="0" w:space="0" w:color="auto"/>
      </w:divBdr>
    </w:div>
    <w:div w:id="979193416">
      <w:bodyDiv w:val="1"/>
      <w:marLeft w:val="0"/>
      <w:marRight w:val="0"/>
      <w:marTop w:val="0"/>
      <w:marBottom w:val="0"/>
      <w:divBdr>
        <w:top w:val="none" w:sz="0" w:space="0" w:color="auto"/>
        <w:left w:val="none" w:sz="0" w:space="0" w:color="auto"/>
        <w:bottom w:val="none" w:sz="0" w:space="0" w:color="auto"/>
        <w:right w:val="none" w:sz="0" w:space="0" w:color="auto"/>
      </w:divBdr>
    </w:div>
    <w:div w:id="986010246">
      <w:bodyDiv w:val="1"/>
      <w:marLeft w:val="0"/>
      <w:marRight w:val="0"/>
      <w:marTop w:val="0"/>
      <w:marBottom w:val="0"/>
      <w:divBdr>
        <w:top w:val="none" w:sz="0" w:space="0" w:color="auto"/>
        <w:left w:val="none" w:sz="0" w:space="0" w:color="auto"/>
        <w:bottom w:val="none" w:sz="0" w:space="0" w:color="auto"/>
        <w:right w:val="none" w:sz="0" w:space="0" w:color="auto"/>
      </w:divBdr>
    </w:div>
    <w:div w:id="997418964">
      <w:bodyDiv w:val="1"/>
      <w:marLeft w:val="0"/>
      <w:marRight w:val="0"/>
      <w:marTop w:val="0"/>
      <w:marBottom w:val="0"/>
      <w:divBdr>
        <w:top w:val="none" w:sz="0" w:space="0" w:color="auto"/>
        <w:left w:val="none" w:sz="0" w:space="0" w:color="auto"/>
        <w:bottom w:val="none" w:sz="0" w:space="0" w:color="auto"/>
        <w:right w:val="none" w:sz="0" w:space="0" w:color="auto"/>
      </w:divBdr>
    </w:div>
    <w:div w:id="1004742566">
      <w:bodyDiv w:val="1"/>
      <w:marLeft w:val="0"/>
      <w:marRight w:val="0"/>
      <w:marTop w:val="0"/>
      <w:marBottom w:val="0"/>
      <w:divBdr>
        <w:top w:val="none" w:sz="0" w:space="0" w:color="auto"/>
        <w:left w:val="none" w:sz="0" w:space="0" w:color="auto"/>
        <w:bottom w:val="none" w:sz="0" w:space="0" w:color="auto"/>
        <w:right w:val="none" w:sz="0" w:space="0" w:color="auto"/>
      </w:divBdr>
    </w:div>
    <w:div w:id="1006708864">
      <w:bodyDiv w:val="1"/>
      <w:marLeft w:val="0"/>
      <w:marRight w:val="0"/>
      <w:marTop w:val="0"/>
      <w:marBottom w:val="0"/>
      <w:divBdr>
        <w:top w:val="none" w:sz="0" w:space="0" w:color="auto"/>
        <w:left w:val="none" w:sz="0" w:space="0" w:color="auto"/>
        <w:bottom w:val="none" w:sz="0" w:space="0" w:color="auto"/>
        <w:right w:val="none" w:sz="0" w:space="0" w:color="auto"/>
      </w:divBdr>
    </w:div>
    <w:div w:id="1007320756">
      <w:bodyDiv w:val="1"/>
      <w:marLeft w:val="0"/>
      <w:marRight w:val="0"/>
      <w:marTop w:val="0"/>
      <w:marBottom w:val="0"/>
      <w:divBdr>
        <w:top w:val="none" w:sz="0" w:space="0" w:color="auto"/>
        <w:left w:val="none" w:sz="0" w:space="0" w:color="auto"/>
        <w:bottom w:val="none" w:sz="0" w:space="0" w:color="auto"/>
        <w:right w:val="none" w:sz="0" w:space="0" w:color="auto"/>
      </w:divBdr>
    </w:div>
    <w:div w:id="1011488235">
      <w:bodyDiv w:val="1"/>
      <w:marLeft w:val="0"/>
      <w:marRight w:val="0"/>
      <w:marTop w:val="0"/>
      <w:marBottom w:val="0"/>
      <w:divBdr>
        <w:top w:val="none" w:sz="0" w:space="0" w:color="auto"/>
        <w:left w:val="none" w:sz="0" w:space="0" w:color="auto"/>
        <w:bottom w:val="none" w:sz="0" w:space="0" w:color="auto"/>
        <w:right w:val="none" w:sz="0" w:space="0" w:color="auto"/>
      </w:divBdr>
    </w:div>
    <w:div w:id="1015693214">
      <w:bodyDiv w:val="1"/>
      <w:marLeft w:val="0"/>
      <w:marRight w:val="0"/>
      <w:marTop w:val="0"/>
      <w:marBottom w:val="0"/>
      <w:divBdr>
        <w:top w:val="none" w:sz="0" w:space="0" w:color="auto"/>
        <w:left w:val="none" w:sz="0" w:space="0" w:color="auto"/>
        <w:bottom w:val="none" w:sz="0" w:space="0" w:color="auto"/>
        <w:right w:val="none" w:sz="0" w:space="0" w:color="auto"/>
      </w:divBdr>
    </w:div>
    <w:div w:id="1019159231">
      <w:bodyDiv w:val="1"/>
      <w:marLeft w:val="0"/>
      <w:marRight w:val="0"/>
      <w:marTop w:val="0"/>
      <w:marBottom w:val="0"/>
      <w:divBdr>
        <w:top w:val="none" w:sz="0" w:space="0" w:color="auto"/>
        <w:left w:val="none" w:sz="0" w:space="0" w:color="auto"/>
        <w:bottom w:val="none" w:sz="0" w:space="0" w:color="auto"/>
        <w:right w:val="none" w:sz="0" w:space="0" w:color="auto"/>
      </w:divBdr>
    </w:div>
    <w:div w:id="1022172324">
      <w:bodyDiv w:val="1"/>
      <w:marLeft w:val="0"/>
      <w:marRight w:val="0"/>
      <w:marTop w:val="0"/>
      <w:marBottom w:val="0"/>
      <w:divBdr>
        <w:top w:val="none" w:sz="0" w:space="0" w:color="auto"/>
        <w:left w:val="none" w:sz="0" w:space="0" w:color="auto"/>
        <w:bottom w:val="none" w:sz="0" w:space="0" w:color="auto"/>
        <w:right w:val="none" w:sz="0" w:space="0" w:color="auto"/>
      </w:divBdr>
    </w:div>
    <w:div w:id="1025211305">
      <w:bodyDiv w:val="1"/>
      <w:marLeft w:val="0"/>
      <w:marRight w:val="0"/>
      <w:marTop w:val="0"/>
      <w:marBottom w:val="0"/>
      <w:divBdr>
        <w:top w:val="none" w:sz="0" w:space="0" w:color="auto"/>
        <w:left w:val="none" w:sz="0" w:space="0" w:color="auto"/>
        <w:bottom w:val="none" w:sz="0" w:space="0" w:color="auto"/>
        <w:right w:val="none" w:sz="0" w:space="0" w:color="auto"/>
      </w:divBdr>
    </w:div>
    <w:div w:id="1025714622">
      <w:bodyDiv w:val="1"/>
      <w:marLeft w:val="0"/>
      <w:marRight w:val="0"/>
      <w:marTop w:val="0"/>
      <w:marBottom w:val="0"/>
      <w:divBdr>
        <w:top w:val="none" w:sz="0" w:space="0" w:color="auto"/>
        <w:left w:val="none" w:sz="0" w:space="0" w:color="auto"/>
        <w:bottom w:val="none" w:sz="0" w:space="0" w:color="auto"/>
        <w:right w:val="none" w:sz="0" w:space="0" w:color="auto"/>
      </w:divBdr>
    </w:div>
    <w:div w:id="1026558858">
      <w:bodyDiv w:val="1"/>
      <w:marLeft w:val="0"/>
      <w:marRight w:val="0"/>
      <w:marTop w:val="0"/>
      <w:marBottom w:val="0"/>
      <w:divBdr>
        <w:top w:val="none" w:sz="0" w:space="0" w:color="auto"/>
        <w:left w:val="none" w:sz="0" w:space="0" w:color="auto"/>
        <w:bottom w:val="none" w:sz="0" w:space="0" w:color="auto"/>
        <w:right w:val="none" w:sz="0" w:space="0" w:color="auto"/>
      </w:divBdr>
    </w:div>
    <w:div w:id="1028141446">
      <w:bodyDiv w:val="1"/>
      <w:marLeft w:val="0"/>
      <w:marRight w:val="0"/>
      <w:marTop w:val="0"/>
      <w:marBottom w:val="0"/>
      <w:divBdr>
        <w:top w:val="none" w:sz="0" w:space="0" w:color="auto"/>
        <w:left w:val="none" w:sz="0" w:space="0" w:color="auto"/>
        <w:bottom w:val="none" w:sz="0" w:space="0" w:color="auto"/>
        <w:right w:val="none" w:sz="0" w:space="0" w:color="auto"/>
      </w:divBdr>
    </w:div>
    <w:div w:id="1030492190">
      <w:bodyDiv w:val="1"/>
      <w:marLeft w:val="0"/>
      <w:marRight w:val="0"/>
      <w:marTop w:val="0"/>
      <w:marBottom w:val="0"/>
      <w:divBdr>
        <w:top w:val="none" w:sz="0" w:space="0" w:color="auto"/>
        <w:left w:val="none" w:sz="0" w:space="0" w:color="auto"/>
        <w:bottom w:val="none" w:sz="0" w:space="0" w:color="auto"/>
        <w:right w:val="none" w:sz="0" w:space="0" w:color="auto"/>
      </w:divBdr>
    </w:div>
    <w:div w:id="1030573310">
      <w:bodyDiv w:val="1"/>
      <w:marLeft w:val="0"/>
      <w:marRight w:val="0"/>
      <w:marTop w:val="0"/>
      <w:marBottom w:val="0"/>
      <w:divBdr>
        <w:top w:val="none" w:sz="0" w:space="0" w:color="auto"/>
        <w:left w:val="none" w:sz="0" w:space="0" w:color="auto"/>
        <w:bottom w:val="none" w:sz="0" w:space="0" w:color="auto"/>
        <w:right w:val="none" w:sz="0" w:space="0" w:color="auto"/>
      </w:divBdr>
    </w:div>
    <w:div w:id="1031955100">
      <w:bodyDiv w:val="1"/>
      <w:marLeft w:val="0"/>
      <w:marRight w:val="0"/>
      <w:marTop w:val="0"/>
      <w:marBottom w:val="0"/>
      <w:divBdr>
        <w:top w:val="none" w:sz="0" w:space="0" w:color="auto"/>
        <w:left w:val="none" w:sz="0" w:space="0" w:color="auto"/>
        <w:bottom w:val="none" w:sz="0" w:space="0" w:color="auto"/>
        <w:right w:val="none" w:sz="0" w:space="0" w:color="auto"/>
      </w:divBdr>
    </w:div>
    <w:div w:id="1037900531">
      <w:bodyDiv w:val="1"/>
      <w:marLeft w:val="0"/>
      <w:marRight w:val="0"/>
      <w:marTop w:val="0"/>
      <w:marBottom w:val="0"/>
      <w:divBdr>
        <w:top w:val="none" w:sz="0" w:space="0" w:color="auto"/>
        <w:left w:val="none" w:sz="0" w:space="0" w:color="auto"/>
        <w:bottom w:val="none" w:sz="0" w:space="0" w:color="auto"/>
        <w:right w:val="none" w:sz="0" w:space="0" w:color="auto"/>
      </w:divBdr>
    </w:div>
    <w:div w:id="1039889914">
      <w:bodyDiv w:val="1"/>
      <w:marLeft w:val="0"/>
      <w:marRight w:val="0"/>
      <w:marTop w:val="0"/>
      <w:marBottom w:val="0"/>
      <w:divBdr>
        <w:top w:val="none" w:sz="0" w:space="0" w:color="auto"/>
        <w:left w:val="none" w:sz="0" w:space="0" w:color="auto"/>
        <w:bottom w:val="none" w:sz="0" w:space="0" w:color="auto"/>
        <w:right w:val="none" w:sz="0" w:space="0" w:color="auto"/>
      </w:divBdr>
    </w:div>
    <w:div w:id="1052004792">
      <w:bodyDiv w:val="1"/>
      <w:marLeft w:val="0"/>
      <w:marRight w:val="0"/>
      <w:marTop w:val="0"/>
      <w:marBottom w:val="0"/>
      <w:divBdr>
        <w:top w:val="none" w:sz="0" w:space="0" w:color="auto"/>
        <w:left w:val="none" w:sz="0" w:space="0" w:color="auto"/>
        <w:bottom w:val="none" w:sz="0" w:space="0" w:color="auto"/>
        <w:right w:val="none" w:sz="0" w:space="0" w:color="auto"/>
      </w:divBdr>
    </w:div>
    <w:div w:id="1054351894">
      <w:bodyDiv w:val="1"/>
      <w:marLeft w:val="0"/>
      <w:marRight w:val="0"/>
      <w:marTop w:val="0"/>
      <w:marBottom w:val="0"/>
      <w:divBdr>
        <w:top w:val="none" w:sz="0" w:space="0" w:color="auto"/>
        <w:left w:val="none" w:sz="0" w:space="0" w:color="auto"/>
        <w:bottom w:val="none" w:sz="0" w:space="0" w:color="auto"/>
        <w:right w:val="none" w:sz="0" w:space="0" w:color="auto"/>
      </w:divBdr>
    </w:div>
    <w:div w:id="1066226179">
      <w:bodyDiv w:val="1"/>
      <w:marLeft w:val="0"/>
      <w:marRight w:val="0"/>
      <w:marTop w:val="0"/>
      <w:marBottom w:val="0"/>
      <w:divBdr>
        <w:top w:val="none" w:sz="0" w:space="0" w:color="auto"/>
        <w:left w:val="none" w:sz="0" w:space="0" w:color="auto"/>
        <w:bottom w:val="none" w:sz="0" w:space="0" w:color="auto"/>
        <w:right w:val="none" w:sz="0" w:space="0" w:color="auto"/>
      </w:divBdr>
    </w:div>
    <w:div w:id="1068577409">
      <w:bodyDiv w:val="1"/>
      <w:marLeft w:val="0"/>
      <w:marRight w:val="0"/>
      <w:marTop w:val="0"/>
      <w:marBottom w:val="0"/>
      <w:divBdr>
        <w:top w:val="none" w:sz="0" w:space="0" w:color="auto"/>
        <w:left w:val="none" w:sz="0" w:space="0" w:color="auto"/>
        <w:bottom w:val="none" w:sz="0" w:space="0" w:color="auto"/>
        <w:right w:val="none" w:sz="0" w:space="0" w:color="auto"/>
      </w:divBdr>
    </w:div>
    <w:div w:id="1077097230">
      <w:bodyDiv w:val="1"/>
      <w:marLeft w:val="0"/>
      <w:marRight w:val="0"/>
      <w:marTop w:val="0"/>
      <w:marBottom w:val="0"/>
      <w:divBdr>
        <w:top w:val="none" w:sz="0" w:space="0" w:color="auto"/>
        <w:left w:val="none" w:sz="0" w:space="0" w:color="auto"/>
        <w:bottom w:val="none" w:sz="0" w:space="0" w:color="auto"/>
        <w:right w:val="none" w:sz="0" w:space="0" w:color="auto"/>
      </w:divBdr>
    </w:div>
    <w:div w:id="1082602867">
      <w:bodyDiv w:val="1"/>
      <w:marLeft w:val="0"/>
      <w:marRight w:val="0"/>
      <w:marTop w:val="0"/>
      <w:marBottom w:val="0"/>
      <w:divBdr>
        <w:top w:val="none" w:sz="0" w:space="0" w:color="auto"/>
        <w:left w:val="none" w:sz="0" w:space="0" w:color="auto"/>
        <w:bottom w:val="none" w:sz="0" w:space="0" w:color="auto"/>
        <w:right w:val="none" w:sz="0" w:space="0" w:color="auto"/>
      </w:divBdr>
    </w:div>
    <w:div w:id="1083573490">
      <w:bodyDiv w:val="1"/>
      <w:marLeft w:val="0"/>
      <w:marRight w:val="0"/>
      <w:marTop w:val="0"/>
      <w:marBottom w:val="0"/>
      <w:divBdr>
        <w:top w:val="none" w:sz="0" w:space="0" w:color="auto"/>
        <w:left w:val="none" w:sz="0" w:space="0" w:color="auto"/>
        <w:bottom w:val="none" w:sz="0" w:space="0" w:color="auto"/>
        <w:right w:val="none" w:sz="0" w:space="0" w:color="auto"/>
      </w:divBdr>
    </w:div>
    <w:div w:id="1083722165">
      <w:bodyDiv w:val="1"/>
      <w:marLeft w:val="0"/>
      <w:marRight w:val="0"/>
      <w:marTop w:val="0"/>
      <w:marBottom w:val="0"/>
      <w:divBdr>
        <w:top w:val="none" w:sz="0" w:space="0" w:color="auto"/>
        <w:left w:val="none" w:sz="0" w:space="0" w:color="auto"/>
        <w:bottom w:val="none" w:sz="0" w:space="0" w:color="auto"/>
        <w:right w:val="none" w:sz="0" w:space="0" w:color="auto"/>
      </w:divBdr>
    </w:div>
    <w:div w:id="1084648478">
      <w:bodyDiv w:val="1"/>
      <w:marLeft w:val="0"/>
      <w:marRight w:val="0"/>
      <w:marTop w:val="0"/>
      <w:marBottom w:val="0"/>
      <w:divBdr>
        <w:top w:val="none" w:sz="0" w:space="0" w:color="auto"/>
        <w:left w:val="none" w:sz="0" w:space="0" w:color="auto"/>
        <w:bottom w:val="none" w:sz="0" w:space="0" w:color="auto"/>
        <w:right w:val="none" w:sz="0" w:space="0" w:color="auto"/>
      </w:divBdr>
    </w:div>
    <w:div w:id="1091583271">
      <w:bodyDiv w:val="1"/>
      <w:marLeft w:val="0"/>
      <w:marRight w:val="0"/>
      <w:marTop w:val="0"/>
      <w:marBottom w:val="0"/>
      <w:divBdr>
        <w:top w:val="none" w:sz="0" w:space="0" w:color="auto"/>
        <w:left w:val="none" w:sz="0" w:space="0" w:color="auto"/>
        <w:bottom w:val="none" w:sz="0" w:space="0" w:color="auto"/>
        <w:right w:val="none" w:sz="0" w:space="0" w:color="auto"/>
      </w:divBdr>
    </w:div>
    <w:div w:id="1098450060">
      <w:bodyDiv w:val="1"/>
      <w:marLeft w:val="0"/>
      <w:marRight w:val="0"/>
      <w:marTop w:val="0"/>
      <w:marBottom w:val="0"/>
      <w:divBdr>
        <w:top w:val="none" w:sz="0" w:space="0" w:color="auto"/>
        <w:left w:val="none" w:sz="0" w:space="0" w:color="auto"/>
        <w:bottom w:val="none" w:sz="0" w:space="0" w:color="auto"/>
        <w:right w:val="none" w:sz="0" w:space="0" w:color="auto"/>
      </w:divBdr>
    </w:div>
    <w:div w:id="1104764793">
      <w:bodyDiv w:val="1"/>
      <w:marLeft w:val="0"/>
      <w:marRight w:val="0"/>
      <w:marTop w:val="0"/>
      <w:marBottom w:val="0"/>
      <w:divBdr>
        <w:top w:val="none" w:sz="0" w:space="0" w:color="auto"/>
        <w:left w:val="none" w:sz="0" w:space="0" w:color="auto"/>
        <w:bottom w:val="none" w:sz="0" w:space="0" w:color="auto"/>
        <w:right w:val="none" w:sz="0" w:space="0" w:color="auto"/>
      </w:divBdr>
    </w:div>
    <w:div w:id="1123572689">
      <w:bodyDiv w:val="1"/>
      <w:marLeft w:val="0"/>
      <w:marRight w:val="0"/>
      <w:marTop w:val="0"/>
      <w:marBottom w:val="0"/>
      <w:divBdr>
        <w:top w:val="none" w:sz="0" w:space="0" w:color="auto"/>
        <w:left w:val="none" w:sz="0" w:space="0" w:color="auto"/>
        <w:bottom w:val="none" w:sz="0" w:space="0" w:color="auto"/>
        <w:right w:val="none" w:sz="0" w:space="0" w:color="auto"/>
      </w:divBdr>
    </w:div>
    <w:div w:id="1130129659">
      <w:bodyDiv w:val="1"/>
      <w:marLeft w:val="0"/>
      <w:marRight w:val="0"/>
      <w:marTop w:val="0"/>
      <w:marBottom w:val="0"/>
      <w:divBdr>
        <w:top w:val="none" w:sz="0" w:space="0" w:color="auto"/>
        <w:left w:val="none" w:sz="0" w:space="0" w:color="auto"/>
        <w:bottom w:val="none" w:sz="0" w:space="0" w:color="auto"/>
        <w:right w:val="none" w:sz="0" w:space="0" w:color="auto"/>
      </w:divBdr>
    </w:div>
    <w:div w:id="1141776175">
      <w:bodyDiv w:val="1"/>
      <w:marLeft w:val="0"/>
      <w:marRight w:val="0"/>
      <w:marTop w:val="0"/>
      <w:marBottom w:val="0"/>
      <w:divBdr>
        <w:top w:val="none" w:sz="0" w:space="0" w:color="auto"/>
        <w:left w:val="none" w:sz="0" w:space="0" w:color="auto"/>
        <w:bottom w:val="none" w:sz="0" w:space="0" w:color="auto"/>
        <w:right w:val="none" w:sz="0" w:space="0" w:color="auto"/>
      </w:divBdr>
    </w:div>
    <w:div w:id="1143699727">
      <w:bodyDiv w:val="1"/>
      <w:marLeft w:val="0"/>
      <w:marRight w:val="0"/>
      <w:marTop w:val="0"/>
      <w:marBottom w:val="0"/>
      <w:divBdr>
        <w:top w:val="none" w:sz="0" w:space="0" w:color="auto"/>
        <w:left w:val="none" w:sz="0" w:space="0" w:color="auto"/>
        <w:bottom w:val="none" w:sz="0" w:space="0" w:color="auto"/>
        <w:right w:val="none" w:sz="0" w:space="0" w:color="auto"/>
      </w:divBdr>
    </w:div>
    <w:div w:id="1148403838">
      <w:bodyDiv w:val="1"/>
      <w:marLeft w:val="0"/>
      <w:marRight w:val="0"/>
      <w:marTop w:val="0"/>
      <w:marBottom w:val="0"/>
      <w:divBdr>
        <w:top w:val="none" w:sz="0" w:space="0" w:color="auto"/>
        <w:left w:val="none" w:sz="0" w:space="0" w:color="auto"/>
        <w:bottom w:val="none" w:sz="0" w:space="0" w:color="auto"/>
        <w:right w:val="none" w:sz="0" w:space="0" w:color="auto"/>
      </w:divBdr>
    </w:div>
    <w:div w:id="1156648043">
      <w:bodyDiv w:val="1"/>
      <w:marLeft w:val="0"/>
      <w:marRight w:val="0"/>
      <w:marTop w:val="0"/>
      <w:marBottom w:val="0"/>
      <w:divBdr>
        <w:top w:val="none" w:sz="0" w:space="0" w:color="auto"/>
        <w:left w:val="none" w:sz="0" w:space="0" w:color="auto"/>
        <w:bottom w:val="none" w:sz="0" w:space="0" w:color="auto"/>
        <w:right w:val="none" w:sz="0" w:space="0" w:color="auto"/>
      </w:divBdr>
    </w:div>
    <w:div w:id="1168521926">
      <w:bodyDiv w:val="1"/>
      <w:marLeft w:val="0"/>
      <w:marRight w:val="0"/>
      <w:marTop w:val="0"/>
      <w:marBottom w:val="0"/>
      <w:divBdr>
        <w:top w:val="none" w:sz="0" w:space="0" w:color="auto"/>
        <w:left w:val="none" w:sz="0" w:space="0" w:color="auto"/>
        <w:bottom w:val="none" w:sz="0" w:space="0" w:color="auto"/>
        <w:right w:val="none" w:sz="0" w:space="0" w:color="auto"/>
      </w:divBdr>
    </w:div>
    <w:div w:id="1170102623">
      <w:bodyDiv w:val="1"/>
      <w:marLeft w:val="0"/>
      <w:marRight w:val="0"/>
      <w:marTop w:val="0"/>
      <w:marBottom w:val="0"/>
      <w:divBdr>
        <w:top w:val="none" w:sz="0" w:space="0" w:color="auto"/>
        <w:left w:val="none" w:sz="0" w:space="0" w:color="auto"/>
        <w:bottom w:val="none" w:sz="0" w:space="0" w:color="auto"/>
        <w:right w:val="none" w:sz="0" w:space="0" w:color="auto"/>
      </w:divBdr>
    </w:div>
    <w:div w:id="1173488938">
      <w:bodyDiv w:val="1"/>
      <w:marLeft w:val="0"/>
      <w:marRight w:val="0"/>
      <w:marTop w:val="0"/>
      <w:marBottom w:val="0"/>
      <w:divBdr>
        <w:top w:val="none" w:sz="0" w:space="0" w:color="auto"/>
        <w:left w:val="none" w:sz="0" w:space="0" w:color="auto"/>
        <w:bottom w:val="none" w:sz="0" w:space="0" w:color="auto"/>
        <w:right w:val="none" w:sz="0" w:space="0" w:color="auto"/>
      </w:divBdr>
    </w:div>
    <w:div w:id="1176917483">
      <w:bodyDiv w:val="1"/>
      <w:marLeft w:val="0"/>
      <w:marRight w:val="0"/>
      <w:marTop w:val="0"/>
      <w:marBottom w:val="0"/>
      <w:divBdr>
        <w:top w:val="none" w:sz="0" w:space="0" w:color="auto"/>
        <w:left w:val="none" w:sz="0" w:space="0" w:color="auto"/>
        <w:bottom w:val="none" w:sz="0" w:space="0" w:color="auto"/>
        <w:right w:val="none" w:sz="0" w:space="0" w:color="auto"/>
      </w:divBdr>
    </w:div>
    <w:div w:id="1179349979">
      <w:bodyDiv w:val="1"/>
      <w:marLeft w:val="0"/>
      <w:marRight w:val="0"/>
      <w:marTop w:val="0"/>
      <w:marBottom w:val="0"/>
      <w:divBdr>
        <w:top w:val="none" w:sz="0" w:space="0" w:color="auto"/>
        <w:left w:val="none" w:sz="0" w:space="0" w:color="auto"/>
        <w:bottom w:val="none" w:sz="0" w:space="0" w:color="auto"/>
        <w:right w:val="none" w:sz="0" w:space="0" w:color="auto"/>
      </w:divBdr>
    </w:div>
    <w:div w:id="1181549049">
      <w:bodyDiv w:val="1"/>
      <w:marLeft w:val="0"/>
      <w:marRight w:val="0"/>
      <w:marTop w:val="0"/>
      <w:marBottom w:val="0"/>
      <w:divBdr>
        <w:top w:val="none" w:sz="0" w:space="0" w:color="auto"/>
        <w:left w:val="none" w:sz="0" w:space="0" w:color="auto"/>
        <w:bottom w:val="none" w:sz="0" w:space="0" w:color="auto"/>
        <w:right w:val="none" w:sz="0" w:space="0" w:color="auto"/>
      </w:divBdr>
    </w:div>
    <w:div w:id="1189179201">
      <w:bodyDiv w:val="1"/>
      <w:marLeft w:val="0"/>
      <w:marRight w:val="0"/>
      <w:marTop w:val="0"/>
      <w:marBottom w:val="0"/>
      <w:divBdr>
        <w:top w:val="none" w:sz="0" w:space="0" w:color="auto"/>
        <w:left w:val="none" w:sz="0" w:space="0" w:color="auto"/>
        <w:bottom w:val="none" w:sz="0" w:space="0" w:color="auto"/>
        <w:right w:val="none" w:sz="0" w:space="0" w:color="auto"/>
      </w:divBdr>
    </w:div>
    <w:div w:id="1198011836">
      <w:bodyDiv w:val="1"/>
      <w:marLeft w:val="0"/>
      <w:marRight w:val="0"/>
      <w:marTop w:val="0"/>
      <w:marBottom w:val="0"/>
      <w:divBdr>
        <w:top w:val="none" w:sz="0" w:space="0" w:color="auto"/>
        <w:left w:val="none" w:sz="0" w:space="0" w:color="auto"/>
        <w:bottom w:val="none" w:sz="0" w:space="0" w:color="auto"/>
        <w:right w:val="none" w:sz="0" w:space="0" w:color="auto"/>
      </w:divBdr>
    </w:div>
    <w:div w:id="1200388530">
      <w:bodyDiv w:val="1"/>
      <w:marLeft w:val="0"/>
      <w:marRight w:val="0"/>
      <w:marTop w:val="0"/>
      <w:marBottom w:val="0"/>
      <w:divBdr>
        <w:top w:val="none" w:sz="0" w:space="0" w:color="auto"/>
        <w:left w:val="none" w:sz="0" w:space="0" w:color="auto"/>
        <w:bottom w:val="none" w:sz="0" w:space="0" w:color="auto"/>
        <w:right w:val="none" w:sz="0" w:space="0" w:color="auto"/>
      </w:divBdr>
    </w:div>
    <w:div w:id="1203665572">
      <w:bodyDiv w:val="1"/>
      <w:marLeft w:val="0"/>
      <w:marRight w:val="0"/>
      <w:marTop w:val="0"/>
      <w:marBottom w:val="0"/>
      <w:divBdr>
        <w:top w:val="none" w:sz="0" w:space="0" w:color="auto"/>
        <w:left w:val="none" w:sz="0" w:space="0" w:color="auto"/>
        <w:bottom w:val="none" w:sz="0" w:space="0" w:color="auto"/>
        <w:right w:val="none" w:sz="0" w:space="0" w:color="auto"/>
      </w:divBdr>
    </w:div>
    <w:div w:id="1210340258">
      <w:bodyDiv w:val="1"/>
      <w:marLeft w:val="0"/>
      <w:marRight w:val="0"/>
      <w:marTop w:val="0"/>
      <w:marBottom w:val="0"/>
      <w:divBdr>
        <w:top w:val="none" w:sz="0" w:space="0" w:color="auto"/>
        <w:left w:val="none" w:sz="0" w:space="0" w:color="auto"/>
        <w:bottom w:val="none" w:sz="0" w:space="0" w:color="auto"/>
        <w:right w:val="none" w:sz="0" w:space="0" w:color="auto"/>
      </w:divBdr>
    </w:div>
    <w:div w:id="1212186331">
      <w:bodyDiv w:val="1"/>
      <w:marLeft w:val="0"/>
      <w:marRight w:val="0"/>
      <w:marTop w:val="0"/>
      <w:marBottom w:val="0"/>
      <w:divBdr>
        <w:top w:val="none" w:sz="0" w:space="0" w:color="auto"/>
        <w:left w:val="none" w:sz="0" w:space="0" w:color="auto"/>
        <w:bottom w:val="none" w:sz="0" w:space="0" w:color="auto"/>
        <w:right w:val="none" w:sz="0" w:space="0" w:color="auto"/>
      </w:divBdr>
    </w:div>
    <w:div w:id="1213158192">
      <w:bodyDiv w:val="1"/>
      <w:marLeft w:val="0"/>
      <w:marRight w:val="0"/>
      <w:marTop w:val="0"/>
      <w:marBottom w:val="0"/>
      <w:divBdr>
        <w:top w:val="none" w:sz="0" w:space="0" w:color="auto"/>
        <w:left w:val="none" w:sz="0" w:space="0" w:color="auto"/>
        <w:bottom w:val="none" w:sz="0" w:space="0" w:color="auto"/>
        <w:right w:val="none" w:sz="0" w:space="0" w:color="auto"/>
      </w:divBdr>
    </w:div>
    <w:div w:id="1215972424">
      <w:bodyDiv w:val="1"/>
      <w:marLeft w:val="0"/>
      <w:marRight w:val="0"/>
      <w:marTop w:val="0"/>
      <w:marBottom w:val="0"/>
      <w:divBdr>
        <w:top w:val="none" w:sz="0" w:space="0" w:color="auto"/>
        <w:left w:val="none" w:sz="0" w:space="0" w:color="auto"/>
        <w:bottom w:val="none" w:sz="0" w:space="0" w:color="auto"/>
        <w:right w:val="none" w:sz="0" w:space="0" w:color="auto"/>
      </w:divBdr>
    </w:div>
    <w:div w:id="1221868894">
      <w:bodyDiv w:val="1"/>
      <w:marLeft w:val="0"/>
      <w:marRight w:val="0"/>
      <w:marTop w:val="0"/>
      <w:marBottom w:val="0"/>
      <w:divBdr>
        <w:top w:val="none" w:sz="0" w:space="0" w:color="auto"/>
        <w:left w:val="none" w:sz="0" w:space="0" w:color="auto"/>
        <w:bottom w:val="none" w:sz="0" w:space="0" w:color="auto"/>
        <w:right w:val="none" w:sz="0" w:space="0" w:color="auto"/>
      </w:divBdr>
    </w:div>
    <w:div w:id="1224488754">
      <w:bodyDiv w:val="1"/>
      <w:marLeft w:val="0"/>
      <w:marRight w:val="0"/>
      <w:marTop w:val="0"/>
      <w:marBottom w:val="0"/>
      <w:divBdr>
        <w:top w:val="none" w:sz="0" w:space="0" w:color="auto"/>
        <w:left w:val="none" w:sz="0" w:space="0" w:color="auto"/>
        <w:bottom w:val="none" w:sz="0" w:space="0" w:color="auto"/>
        <w:right w:val="none" w:sz="0" w:space="0" w:color="auto"/>
      </w:divBdr>
    </w:div>
    <w:div w:id="1224945783">
      <w:bodyDiv w:val="1"/>
      <w:marLeft w:val="0"/>
      <w:marRight w:val="0"/>
      <w:marTop w:val="0"/>
      <w:marBottom w:val="0"/>
      <w:divBdr>
        <w:top w:val="none" w:sz="0" w:space="0" w:color="auto"/>
        <w:left w:val="none" w:sz="0" w:space="0" w:color="auto"/>
        <w:bottom w:val="none" w:sz="0" w:space="0" w:color="auto"/>
        <w:right w:val="none" w:sz="0" w:space="0" w:color="auto"/>
      </w:divBdr>
    </w:div>
    <w:div w:id="1224949898">
      <w:bodyDiv w:val="1"/>
      <w:marLeft w:val="0"/>
      <w:marRight w:val="0"/>
      <w:marTop w:val="0"/>
      <w:marBottom w:val="0"/>
      <w:divBdr>
        <w:top w:val="none" w:sz="0" w:space="0" w:color="auto"/>
        <w:left w:val="none" w:sz="0" w:space="0" w:color="auto"/>
        <w:bottom w:val="none" w:sz="0" w:space="0" w:color="auto"/>
        <w:right w:val="none" w:sz="0" w:space="0" w:color="auto"/>
      </w:divBdr>
    </w:div>
    <w:div w:id="1231772566">
      <w:bodyDiv w:val="1"/>
      <w:marLeft w:val="0"/>
      <w:marRight w:val="0"/>
      <w:marTop w:val="0"/>
      <w:marBottom w:val="0"/>
      <w:divBdr>
        <w:top w:val="none" w:sz="0" w:space="0" w:color="auto"/>
        <w:left w:val="none" w:sz="0" w:space="0" w:color="auto"/>
        <w:bottom w:val="none" w:sz="0" w:space="0" w:color="auto"/>
        <w:right w:val="none" w:sz="0" w:space="0" w:color="auto"/>
      </w:divBdr>
    </w:div>
    <w:div w:id="1253272027">
      <w:bodyDiv w:val="1"/>
      <w:marLeft w:val="0"/>
      <w:marRight w:val="0"/>
      <w:marTop w:val="0"/>
      <w:marBottom w:val="0"/>
      <w:divBdr>
        <w:top w:val="none" w:sz="0" w:space="0" w:color="auto"/>
        <w:left w:val="none" w:sz="0" w:space="0" w:color="auto"/>
        <w:bottom w:val="none" w:sz="0" w:space="0" w:color="auto"/>
        <w:right w:val="none" w:sz="0" w:space="0" w:color="auto"/>
      </w:divBdr>
    </w:div>
    <w:div w:id="1253977890">
      <w:bodyDiv w:val="1"/>
      <w:marLeft w:val="0"/>
      <w:marRight w:val="0"/>
      <w:marTop w:val="0"/>
      <w:marBottom w:val="0"/>
      <w:divBdr>
        <w:top w:val="none" w:sz="0" w:space="0" w:color="auto"/>
        <w:left w:val="none" w:sz="0" w:space="0" w:color="auto"/>
        <w:bottom w:val="none" w:sz="0" w:space="0" w:color="auto"/>
        <w:right w:val="none" w:sz="0" w:space="0" w:color="auto"/>
      </w:divBdr>
    </w:div>
    <w:div w:id="1257061773">
      <w:bodyDiv w:val="1"/>
      <w:marLeft w:val="0"/>
      <w:marRight w:val="0"/>
      <w:marTop w:val="0"/>
      <w:marBottom w:val="0"/>
      <w:divBdr>
        <w:top w:val="none" w:sz="0" w:space="0" w:color="auto"/>
        <w:left w:val="none" w:sz="0" w:space="0" w:color="auto"/>
        <w:bottom w:val="none" w:sz="0" w:space="0" w:color="auto"/>
        <w:right w:val="none" w:sz="0" w:space="0" w:color="auto"/>
      </w:divBdr>
    </w:div>
    <w:div w:id="1261140949">
      <w:bodyDiv w:val="1"/>
      <w:marLeft w:val="0"/>
      <w:marRight w:val="0"/>
      <w:marTop w:val="0"/>
      <w:marBottom w:val="0"/>
      <w:divBdr>
        <w:top w:val="none" w:sz="0" w:space="0" w:color="auto"/>
        <w:left w:val="none" w:sz="0" w:space="0" w:color="auto"/>
        <w:bottom w:val="none" w:sz="0" w:space="0" w:color="auto"/>
        <w:right w:val="none" w:sz="0" w:space="0" w:color="auto"/>
      </w:divBdr>
    </w:div>
    <w:div w:id="1263030496">
      <w:bodyDiv w:val="1"/>
      <w:marLeft w:val="0"/>
      <w:marRight w:val="0"/>
      <w:marTop w:val="0"/>
      <w:marBottom w:val="0"/>
      <w:divBdr>
        <w:top w:val="none" w:sz="0" w:space="0" w:color="auto"/>
        <w:left w:val="none" w:sz="0" w:space="0" w:color="auto"/>
        <w:bottom w:val="none" w:sz="0" w:space="0" w:color="auto"/>
        <w:right w:val="none" w:sz="0" w:space="0" w:color="auto"/>
      </w:divBdr>
    </w:div>
    <w:div w:id="1272669074">
      <w:bodyDiv w:val="1"/>
      <w:marLeft w:val="0"/>
      <w:marRight w:val="0"/>
      <w:marTop w:val="0"/>
      <w:marBottom w:val="0"/>
      <w:divBdr>
        <w:top w:val="none" w:sz="0" w:space="0" w:color="auto"/>
        <w:left w:val="none" w:sz="0" w:space="0" w:color="auto"/>
        <w:bottom w:val="none" w:sz="0" w:space="0" w:color="auto"/>
        <w:right w:val="none" w:sz="0" w:space="0" w:color="auto"/>
      </w:divBdr>
    </w:div>
    <w:div w:id="1274439531">
      <w:bodyDiv w:val="1"/>
      <w:marLeft w:val="0"/>
      <w:marRight w:val="0"/>
      <w:marTop w:val="0"/>
      <w:marBottom w:val="0"/>
      <w:divBdr>
        <w:top w:val="none" w:sz="0" w:space="0" w:color="auto"/>
        <w:left w:val="none" w:sz="0" w:space="0" w:color="auto"/>
        <w:bottom w:val="none" w:sz="0" w:space="0" w:color="auto"/>
        <w:right w:val="none" w:sz="0" w:space="0" w:color="auto"/>
      </w:divBdr>
    </w:div>
    <w:div w:id="1288391336">
      <w:bodyDiv w:val="1"/>
      <w:marLeft w:val="0"/>
      <w:marRight w:val="0"/>
      <w:marTop w:val="0"/>
      <w:marBottom w:val="0"/>
      <w:divBdr>
        <w:top w:val="none" w:sz="0" w:space="0" w:color="auto"/>
        <w:left w:val="none" w:sz="0" w:space="0" w:color="auto"/>
        <w:bottom w:val="none" w:sz="0" w:space="0" w:color="auto"/>
        <w:right w:val="none" w:sz="0" w:space="0" w:color="auto"/>
      </w:divBdr>
    </w:div>
    <w:div w:id="1289824558">
      <w:bodyDiv w:val="1"/>
      <w:marLeft w:val="0"/>
      <w:marRight w:val="0"/>
      <w:marTop w:val="0"/>
      <w:marBottom w:val="0"/>
      <w:divBdr>
        <w:top w:val="none" w:sz="0" w:space="0" w:color="auto"/>
        <w:left w:val="none" w:sz="0" w:space="0" w:color="auto"/>
        <w:bottom w:val="none" w:sz="0" w:space="0" w:color="auto"/>
        <w:right w:val="none" w:sz="0" w:space="0" w:color="auto"/>
      </w:divBdr>
    </w:div>
    <w:div w:id="1291597131">
      <w:bodyDiv w:val="1"/>
      <w:marLeft w:val="0"/>
      <w:marRight w:val="0"/>
      <w:marTop w:val="0"/>
      <w:marBottom w:val="0"/>
      <w:divBdr>
        <w:top w:val="none" w:sz="0" w:space="0" w:color="auto"/>
        <w:left w:val="none" w:sz="0" w:space="0" w:color="auto"/>
        <w:bottom w:val="none" w:sz="0" w:space="0" w:color="auto"/>
        <w:right w:val="none" w:sz="0" w:space="0" w:color="auto"/>
      </w:divBdr>
    </w:div>
    <w:div w:id="1297949957">
      <w:bodyDiv w:val="1"/>
      <w:marLeft w:val="0"/>
      <w:marRight w:val="0"/>
      <w:marTop w:val="0"/>
      <w:marBottom w:val="0"/>
      <w:divBdr>
        <w:top w:val="none" w:sz="0" w:space="0" w:color="auto"/>
        <w:left w:val="none" w:sz="0" w:space="0" w:color="auto"/>
        <w:bottom w:val="none" w:sz="0" w:space="0" w:color="auto"/>
        <w:right w:val="none" w:sz="0" w:space="0" w:color="auto"/>
      </w:divBdr>
    </w:div>
    <w:div w:id="1298561065">
      <w:bodyDiv w:val="1"/>
      <w:marLeft w:val="0"/>
      <w:marRight w:val="0"/>
      <w:marTop w:val="0"/>
      <w:marBottom w:val="0"/>
      <w:divBdr>
        <w:top w:val="none" w:sz="0" w:space="0" w:color="auto"/>
        <w:left w:val="none" w:sz="0" w:space="0" w:color="auto"/>
        <w:bottom w:val="none" w:sz="0" w:space="0" w:color="auto"/>
        <w:right w:val="none" w:sz="0" w:space="0" w:color="auto"/>
      </w:divBdr>
    </w:div>
    <w:div w:id="1298873134">
      <w:bodyDiv w:val="1"/>
      <w:marLeft w:val="0"/>
      <w:marRight w:val="0"/>
      <w:marTop w:val="0"/>
      <w:marBottom w:val="0"/>
      <w:divBdr>
        <w:top w:val="none" w:sz="0" w:space="0" w:color="auto"/>
        <w:left w:val="none" w:sz="0" w:space="0" w:color="auto"/>
        <w:bottom w:val="none" w:sz="0" w:space="0" w:color="auto"/>
        <w:right w:val="none" w:sz="0" w:space="0" w:color="auto"/>
      </w:divBdr>
    </w:div>
    <w:div w:id="1302079580">
      <w:bodyDiv w:val="1"/>
      <w:marLeft w:val="0"/>
      <w:marRight w:val="0"/>
      <w:marTop w:val="0"/>
      <w:marBottom w:val="0"/>
      <w:divBdr>
        <w:top w:val="none" w:sz="0" w:space="0" w:color="auto"/>
        <w:left w:val="none" w:sz="0" w:space="0" w:color="auto"/>
        <w:bottom w:val="none" w:sz="0" w:space="0" w:color="auto"/>
        <w:right w:val="none" w:sz="0" w:space="0" w:color="auto"/>
      </w:divBdr>
    </w:div>
    <w:div w:id="1305087015">
      <w:bodyDiv w:val="1"/>
      <w:marLeft w:val="0"/>
      <w:marRight w:val="0"/>
      <w:marTop w:val="0"/>
      <w:marBottom w:val="0"/>
      <w:divBdr>
        <w:top w:val="none" w:sz="0" w:space="0" w:color="auto"/>
        <w:left w:val="none" w:sz="0" w:space="0" w:color="auto"/>
        <w:bottom w:val="none" w:sz="0" w:space="0" w:color="auto"/>
        <w:right w:val="none" w:sz="0" w:space="0" w:color="auto"/>
      </w:divBdr>
    </w:div>
    <w:div w:id="1307079252">
      <w:bodyDiv w:val="1"/>
      <w:marLeft w:val="0"/>
      <w:marRight w:val="0"/>
      <w:marTop w:val="0"/>
      <w:marBottom w:val="0"/>
      <w:divBdr>
        <w:top w:val="none" w:sz="0" w:space="0" w:color="auto"/>
        <w:left w:val="none" w:sz="0" w:space="0" w:color="auto"/>
        <w:bottom w:val="none" w:sz="0" w:space="0" w:color="auto"/>
        <w:right w:val="none" w:sz="0" w:space="0" w:color="auto"/>
      </w:divBdr>
    </w:div>
    <w:div w:id="1311716067">
      <w:bodyDiv w:val="1"/>
      <w:marLeft w:val="0"/>
      <w:marRight w:val="0"/>
      <w:marTop w:val="0"/>
      <w:marBottom w:val="0"/>
      <w:divBdr>
        <w:top w:val="none" w:sz="0" w:space="0" w:color="auto"/>
        <w:left w:val="none" w:sz="0" w:space="0" w:color="auto"/>
        <w:bottom w:val="none" w:sz="0" w:space="0" w:color="auto"/>
        <w:right w:val="none" w:sz="0" w:space="0" w:color="auto"/>
      </w:divBdr>
    </w:div>
    <w:div w:id="1318264188">
      <w:bodyDiv w:val="1"/>
      <w:marLeft w:val="0"/>
      <w:marRight w:val="0"/>
      <w:marTop w:val="0"/>
      <w:marBottom w:val="0"/>
      <w:divBdr>
        <w:top w:val="none" w:sz="0" w:space="0" w:color="auto"/>
        <w:left w:val="none" w:sz="0" w:space="0" w:color="auto"/>
        <w:bottom w:val="none" w:sz="0" w:space="0" w:color="auto"/>
        <w:right w:val="none" w:sz="0" w:space="0" w:color="auto"/>
      </w:divBdr>
    </w:div>
    <w:div w:id="1326083084">
      <w:bodyDiv w:val="1"/>
      <w:marLeft w:val="0"/>
      <w:marRight w:val="0"/>
      <w:marTop w:val="0"/>
      <w:marBottom w:val="0"/>
      <w:divBdr>
        <w:top w:val="none" w:sz="0" w:space="0" w:color="auto"/>
        <w:left w:val="none" w:sz="0" w:space="0" w:color="auto"/>
        <w:bottom w:val="none" w:sz="0" w:space="0" w:color="auto"/>
        <w:right w:val="none" w:sz="0" w:space="0" w:color="auto"/>
      </w:divBdr>
    </w:div>
    <w:div w:id="1327709477">
      <w:bodyDiv w:val="1"/>
      <w:marLeft w:val="0"/>
      <w:marRight w:val="0"/>
      <w:marTop w:val="0"/>
      <w:marBottom w:val="0"/>
      <w:divBdr>
        <w:top w:val="none" w:sz="0" w:space="0" w:color="auto"/>
        <w:left w:val="none" w:sz="0" w:space="0" w:color="auto"/>
        <w:bottom w:val="none" w:sz="0" w:space="0" w:color="auto"/>
        <w:right w:val="none" w:sz="0" w:space="0" w:color="auto"/>
      </w:divBdr>
    </w:div>
    <w:div w:id="1330256975">
      <w:bodyDiv w:val="1"/>
      <w:marLeft w:val="0"/>
      <w:marRight w:val="0"/>
      <w:marTop w:val="0"/>
      <w:marBottom w:val="0"/>
      <w:divBdr>
        <w:top w:val="none" w:sz="0" w:space="0" w:color="auto"/>
        <w:left w:val="none" w:sz="0" w:space="0" w:color="auto"/>
        <w:bottom w:val="none" w:sz="0" w:space="0" w:color="auto"/>
        <w:right w:val="none" w:sz="0" w:space="0" w:color="auto"/>
      </w:divBdr>
    </w:div>
    <w:div w:id="1333144552">
      <w:bodyDiv w:val="1"/>
      <w:marLeft w:val="0"/>
      <w:marRight w:val="0"/>
      <w:marTop w:val="0"/>
      <w:marBottom w:val="0"/>
      <w:divBdr>
        <w:top w:val="none" w:sz="0" w:space="0" w:color="auto"/>
        <w:left w:val="none" w:sz="0" w:space="0" w:color="auto"/>
        <w:bottom w:val="none" w:sz="0" w:space="0" w:color="auto"/>
        <w:right w:val="none" w:sz="0" w:space="0" w:color="auto"/>
      </w:divBdr>
    </w:div>
    <w:div w:id="1333484230">
      <w:bodyDiv w:val="1"/>
      <w:marLeft w:val="0"/>
      <w:marRight w:val="0"/>
      <w:marTop w:val="0"/>
      <w:marBottom w:val="0"/>
      <w:divBdr>
        <w:top w:val="none" w:sz="0" w:space="0" w:color="auto"/>
        <w:left w:val="none" w:sz="0" w:space="0" w:color="auto"/>
        <w:bottom w:val="none" w:sz="0" w:space="0" w:color="auto"/>
        <w:right w:val="none" w:sz="0" w:space="0" w:color="auto"/>
      </w:divBdr>
    </w:div>
    <w:div w:id="1336764632">
      <w:bodyDiv w:val="1"/>
      <w:marLeft w:val="0"/>
      <w:marRight w:val="0"/>
      <w:marTop w:val="0"/>
      <w:marBottom w:val="0"/>
      <w:divBdr>
        <w:top w:val="none" w:sz="0" w:space="0" w:color="auto"/>
        <w:left w:val="none" w:sz="0" w:space="0" w:color="auto"/>
        <w:bottom w:val="none" w:sz="0" w:space="0" w:color="auto"/>
        <w:right w:val="none" w:sz="0" w:space="0" w:color="auto"/>
      </w:divBdr>
    </w:div>
    <w:div w:id="1339384531">
      <w:bodyDiv w:val="1"/>
      <w:marLeft w:val="0"/>
      <w:marRight w:val="0"/>
      <w:marTop w:val="0"/>
      <w:marBottom w:val="0"/>
      <w:divBdr>
        <w:top w:val="none" w:sz="0" w:space="0" w:color="auto"/>
        <w:left w:val="none" w:sz="0" w:space="0" w:color="auto"/>
        <w:bottom w:val="none" w:sz="0" w:space="0" w:color="auto"/>
        <w:right w:val="none" w:sz="0" w:space="0" w:color="auto"/>
      </w:divBdr>
    </w:div>
    <w:div w:id="1341855735">
      <w:bodyDiv w:val="1"/>
      <w:marLeft w:val="0"/>
      <w:marRight w:val="0"/>
      <w:marTop w:val="0"/>
      <w:marBottom w:val="0"/>
      <w:divBdr>
        <w:top w:val="none" w:sz="0" w:space="0" w:color="auto"/>
        <w:left w:val="none" w:sz="0" w:space="0" w:color="auto"/>
        <w:bottom w:val="none" w:sz="0" w:space="0" w:color="auto"/>
        <w:right w:val="none" w:sz="0" w:space="0" w:color="auto"/>
      </w:divBdr>
    </w:div>
    <w:div w:id="1344282404">
      <w:bodyDiv w:val="1"/>
      <w:marLeft w:val="0"/>
      <w:marRight w:val="0"/>
      <w:marTop w:val="0"/>
      <w:marBottom w:val="0"/>
      <w:divBdr>
        <w:top w:val="none" w:sz="0" w:space="0" w:color="auto"/>
        <w:left w:val="none" w:sz="0" w:space="0" w:color="auto"/>
        <w:bottom w:val="none" w:sz="0" w:space="0" w:color="auto"/>
        <w:right w:val="none" w:sz="0" w:space="0" w:color="auto"/>
      </w:divBdr>
    </w:div>
    <w:div w:id="1346328957">
      <w:bodyDiv w:val="1"/>
      <w:marLeft w:val="0"/>
      <w:marRight w:val="0"/>
      <w:marTop w:val="0"/>
      <w:marBottom w:val="0"/>
      <w:divBdr>
        <w:top w:val="none" w:sz="0" w:space="0" w:color="auto"/>
        <w:left w:val="none" w:sz="0" w:space="0" w:color="auto"/>
        <w:bottom w:val="none" w:sz="0" w:space="0" w:color="auto"/>
        <w:right w:val="none" w:sz="0" w:space="0" w:color="auto"/>
      </w:divBdr>
    </w:div>
    <w:div w:id="1346983202">
      <w:bodyDiv w:val="1"/>
      <w:marLeft w:val="0"/>
      <w:marRight w:val="0"/>
      <w:marTop w:val="0"/>
      <w:marBottom w:val="0"/>
      <w:divBdr>
        <w:top w:val="none" w:sz="0" w:space="0" w:color="auto"/>
        <w:left w:val="none" w:sz="0" w:space="0" w:color="auto"/>
        <w:bottom w:val="none" w:sz="0" w:space="0" w:color="auto"/>
        <w:right w:val="none" w:sz="0" w:space="0" w:color="auto"/>
      </w:divBdr>
    </w:div>
    <w:div w:id="1351177276">
      <w:bodyDiv w:val="1"/>
      <w:marLeft w:val="0"/>
      <w:marRight w:val="0"/>
      <w:marTop w:val="0"/>
      <w:marBottom w:val="0"/>
      <w:divBdr>
        <w:top w:val="none" w:sz="0" w:space="0" w:color="auto"/>
        <w:left w:val="none" w:sz="0" w:space="0" w:color="auto"/>
        <w:bottom w:val="none" w:sz="0" w:space="0" w:color="auto"/>
        <w:right w:val="none" w:sz="0" w:space="0" w:color="auto"/>
      </w:divBdr>
    </w:div>
    <w:div w:id="1353187973">
      <w:bodyDiv w:val="1"/>
      <w:marLeft w:val="0"/>
      <w:marRight w:val="0"/>
      <w:marTop w:val="0"/>
      <w:marBottom w:val="0"/>
      <w:divBdr>
        <w:top w:val="none" w:sz="0" w:space="0" w:color="auto"/>
        <w:left w:val="none" w:sz="0" w:space="0" w:color="auto"/>
        <w:bottom w:val="none" w:sz="0" w:space="0" w:color="auto"/>
        <w:right w:val="none" w:sz="0" w:space="0" w:color="auto"/>
      </w:divBdr>
    </w:div>
    <w:div w:id="1353264826">
      <w:bodyDiv w:val="1"/>
      <w:marLeft w:val="0"/>
      <w:marRight w:val="0"/>
      <w:marTop w:val="0"/>
      <w:marBottom w:val="0"/>
      <w:divBdr>
        <w:top w:val="none" w:sz="0" w:space="0" w:color="auto"/>
        <w:left w:val="none" w:sz="0" w:space="0" w:color="auto"/>
        <w:bottom w:val="none" w:sz="0" w:space="0" w:color="auto"/>
        <w:right w:val="none" w:sz="0" w:space="0" w:color="auto"/>
      </w:divBdr>
    </w:div>
    <w:div w:id="1353337364">
      <w:bodyDiv w:val="1"/>
      <w:marLeft w:val="0"/>
      <w:marRight w:val="0"/>
      <w:marTop w:val="0"/>
      <w:marBottom w:val="0"/>
      <w:divBdr>
        <w:top w:val="none" w:sz="0" w:space="0" w:color="auto"/>
        <w:left w:val="none" w:sz="0" w:space="0" w:color="auto"/>
        <w:bottom w:val="none" w:sz="0" w:space="0" w:color="auto"/>
        <w:right w:val="none" w:sz="0" w:space="0" w:color="auto"/>
      </w:divBdr>
    </w:div>
    <w:div w:id="1364136482">
      <w:bodyDiv w:val="1"/>
      <w:marLeft w:val="0"/>
      <w:marRight w:val="0"/>
      <w:marTop w:val="0"/>
      <w:marBottom w:val="0"/>
      <w:divBdr>
        <w:top w:val="none" w:sz="0" w:space="0" w:color="auto"/>
        <w:left w:val="none" w:sz="0" w:space="0" w:color="auto"/>
        <w:bottom w:val="none" w:sz="0" w:space="0" w:color="auto"/>
        <w:right w:val="none" w:sz="0" w:space="0" w:color="auto"/>
      </w:divBdr>
    </w:div>
    <w:div w:id="1367364615">
      <w:bodyDiv w:val="1"/>
      <w:marLeft w:val="0"/>
      <w:marRight w:val="0"/>
      <w:marTop w:val="0"/>
      <w:marBottom w:val="0"/>
      <w:divBdr>
        <w:top w:val="none" w:sz="0" w:space="0" w:color="auto"/>
        <w:left w:val="none" w:sz="0" w:space="0" w:color="auto"/>
        <w:bottom w:val="none" w:sz="0" w:space="0" w:color="auto"/>
        <w:right w:val="none" w:sz="0" w:space="0" w:color="auto"/>
      </w:divBdr>
    </w:div>
    <w:div w:id="1371802056">
      <w:bodyDiv w:val="1"/>
      <w:marLeft w:val="0"/>
      <w:marRight w:val="0"/>
      <w:marTop w:val="0"/>
      <w:marBottom w:val="0"/>
      <w:divBdr>
        <w:top w:val="none" w:sz="0" w:space="0" w:color="auto"/>
        <w:left w:val="none" w:sz="0" w:space="0" w:color="auto"/>
        <w:bottom w:val="none" w:sz="0" w:space="0" w:color="auto"/>
        <w:right w:val="none" w:sz="0" w:space="0" w:color="auto"/>
      </w:divBdr>
    </w:div>
    <w:div w:id="1372533721">
      <w:bodyDiv w:val="1"/>
      <w:marLeft w:val="0"/>
      <w:marRight w:val="0"/>
      <w:marTop w:val="0"/>
      <w:marBottom w:val="0"/>
      <w:divBdr>
        <w:top w:val="none" w:sz="0" w:space="0" w:color="auto"/>
        <w:left w:val="none" w:sz="0" w:space="0" w:color="auto"/>
        <w:bottom w:val="none" w:sz="0" w:space="0" w:color="auto"/>
        <w:right w:val="none" w:sz="0" w:space="0" w:color="auto"/>
      </w:divBdr>
    </w:div>
    <w:div w:id="1373766447">
      <w:bodyDiv w:val="1"/>
      <w:marLeft w:val="0"/>
      <w:marRight w:val="0"/>
      <w:marTop w:val="0"/>
      <w:marBottom w:val="0"/>
      <w:divBdr>
        <w:top w:val="none" w:sz="0" w:space="0" w:color="auto"/>
        <w:left w:val="none" w:sz="0" w:space="0" w:color="auto"/>
        <w:bottom w:val="none" w:sz="0" w:space="0" w:color="auto"/>
        <w:right w:val="none" w:sz="0" w:space="0" w:color="auto"/>
      </w:divBdr>
    </w:div>
    <w:div w:id="1375692419">
      <w:bodyDiv w:val="1"/>
      <w:marLeft w:val="0"/>
      <w:marRight w:val="0"/>
      <w:marTop w:val="0"/>
      <w:marBottom w:val="0"/>
      <w:divBdr>
        <w:top w:val="none" w:sz="0" w:space="0" w:color="auto"/>
        <w:left w:val="none" w:sz="0" w:space="0" w:color="auto"/>
        <w:bottom w:val="none" w:sz="0" w:space="0" w:color="auto"/>
        <w:right w:val="none" w:sz="0" w:space="0" w:color="auto"/>
      </w:divBdr>
    </w:div>
    <w:div w:id="1379353762">
      <w:bodyDiv w:val="1"/>
      <w:marLeft w:val="0"/>
      <w:marRight w:val="0"/>
      <w:marTop w:val="0"/>
      <w:marBottom w:val="0"/>
      <w:divBdr>
        <w:top w:val="none" w:sz="0" w:space="0" w:color="auto"/>
        <w:left w:val="none" w:sz="0" w:space="0" w:color="auto"/>
        <w:bottom w:val="none" w:sz="0" w:space="0" w:color="auto"/>
        <w:right w:val="none" w:sz="0" w:space="0" w:color="auto"/>
      </w:divBdr>
    </w:div>
    <w:div w:id="1386561750">
      <w:bodyDiv w:val="1"/>
      <w:marLeft w:val="0"/>
      <w:marRight w:val="0"/>
      <w:marTop w:val="0"/>
      <w:marBottom w:val="0"/>
      <w:divBdr>
        <w:top w:val="none" w:sz="0" w:space="0" w:color="auto"/>
        <w:left w:val="none" w:sz="0" w:space="0" w:color="auto"/>
        <w:bottom w:val="none" w:sz="0" w:space="0" w:color="auto"/>
        <w:right w:val="none" w:sz="0" w:space="0" w:color="auto"/>
      </w:divBdr>
    </w:div>
    <w:div w:id="1389766175">
      <w:bodyDiv w:val="1"/>
      <w:marLeft w:val="0"/>
      <w:marRight w:val="0"/>
      <w:marTop w:val="0"/>
      <w:marBottom w:val="0"/>
      <w:divBdr>
        <w:top w:val="none" w:sz="0" w:space="0" w:color="auto"/>
        <w:left w:val="none" w:sz="0" w:space="0" w:color="auto"/>
        <w:bottom w:val="none" w:sz="0" w:space="0" w:color="auto"/>
        <w:right w:val="none" w:sz="0" w:space="0" w:color="auto"/>
      </w:divBdr>
    </w:div>
    <w:div w:id="1397314928">
      <w:bodyDiv w:val="1"/>
      <w:marLeft w:val="0"/>
      <w:marRight w:val="0"/>
      <w:marTop w:val="0"/>
      <w:marBottom w:val="0"/>
      <w:divBdr>
        <w:top w:val="none" w:sz="0" w:space="0" w:color="auto"/>
        <w:left w:val="none" w:sz="0" w:space="0" w:color="auto"/>
        <w:bottom w:val="none" w:sz="0" w:space="0" w:color="auto"/>
        <w:right w:val="none" w:sz="0" w:space="0" w:color="auto"/>
      </w:divBdr>
    </w:div>
    <w:div w:id="1398748385">
      <w:bodyDiv w:val="1"/>
      <w:marLeft w:val="0"/>
      <w:marRight w:val="0"/>
      <w:marTop w:val="0"/>
      <w:marBottom w:val="0"/>
      <w:divBdr>
        <w:top w:val="none" w:sz="0" w:space="0" w:color="auto"/>
        <w:left w:val="none" w:sz="0" w:space="0" w:color="auto"/>
        <w:bottom w:val="none" w:sz="0" w:space="0" w:color="auto"/>
        <w:right w:val="none" w:sz="0" w:space="0" w:color="auto"/>
      </w:divBdr>
    </w:div>
    <w:div w:id="1400328749">
      <w:bodyDiv w:val="1"/>
      <w:marLeft w:val="0"/>
      <w:marRight w:val="0"/>
      <w:marTop w:val="0"/>
      <w:marBottom w:val="0"/>
      <w:divBdr>
        <w:top w:val="none" w:sz="0" w:space="0" w:color="auto"/>
        <w:left w:val="none" w:sz="0" w:space="0" w:color="auto"/>
        <w:bottom w:val="none" w:sz="0" w:space="0" w:color="auto"/>
        <w:right w:val="none" w:sz="0" w:space="0" w:color="auto"/>
      </w:divBdr>
    </w:div>
    <w:div w:id="1407263821">
      <w:bodyDiv w:val="1"/>
      <w:marLeft w:val="0"/>
      <w:marRight w:val="0"/>
      <w:marTop w:val="0"/>
      <w:marBottom w:val="0"/>
      <w:divBdr>
        <w:top w:val="none" w:sz="0" w:space="0" w:color="auto"/>
        <w:left w:val="none" w:sz="0" w:space="0" w:color="auto"/>
        <w:bottom w:val="none" w:sz="0" w:space="0" w:color="auto"/>
        <w:right w:val="none" w:sz="0" w:space="0" w:color="auto"/>
      </w:divBdr>
    </w:div>
    <w:div w:id="1410689732">
      <w:bodyDiv w:val="1"/>
      <w:marLeft w:val="0"/>
      <w:marRight w:val="0"/>
      <w:marTop w:val="0"/>
      <w:marBottom w:val="0"/>
      <w:divBdr>
        <w:top w:val="none" w:sz="0" w:space="0" w:color="auto"/>
        <w:left w:val="none" w:sz="0" w:space="0" w:color="auto"/>
        <w:bottom w:val="none" w:sz="0" w:space="0" w:color="auto"/>
        <w:right w:val="none" w:sz="0" w:space="0" w:color="auto"/>
      </w:divBdr>
    </w:div>
    <w:div w:id="1414887419">
      <w:bodyDiv w:val="1"/>
      <w:marLeft w:val="0"/>
      <w:marRight w:val="0"/>
      <w:marTop w:val="0"/>
      <w:marBottom w:val="0"/>
      <w:divBdr>
        <w:top w:val="none" w:sz="0" w:space="0" w:color="auto"/>
        <w:left w:val="none" w:sz="0" w:space="0" w:color="auto"/>
        <w:bottom w:val="none" w:sz="0" w:space="0" w:color="auto"/>
        <w:right w:val="none" w:sz="0" w:space="0" w:color="auto"/>
      </w:divBdr>
    </w:div>
    <w:div w:id="1416434397">
      <w:bodyDiv w:val="1"/>
      <w:marLeft w:val="0"/>
      <w:marRight w:val="0"/>
      <w:marTop w:val="0"/>
      <w:marBottom w:val="0"/>
      <w:divBdr>
        <w:top w:val="none" w:sz="0" w:space="0" w:color="auto"/>
        <w:left w:val="none" w:sz="0" w:space="0" w:color="auto"/>
        <w:bottom w:val="none" w:sz="0" w:space="0" w:color="auto"/>
        <w:right w:val="none" w:sz="0" w:space="0" w:color="auto"/>
      </w:divBdr>
    </w:div>
    <w:div w:id="1416587744">
      <w:bodyDiv w:val="1"/>
      <w:marLeft w:val="0"/>
      <w:marRight w:val="0"/>
      <w:marTop w:val="0"/>
      <w:marBottom w:val="0"/>
      <w:divBdr>
        <w:top w:val="none" w:sz="0" w:space="0" w:color="auto"/>
        <w:left w:val="none" w:sz="0" w:space="0" w:color="auto"/>
        <w:bottom w:val="none" w:sz="0" w:space="0" w:color="auto"/>
        <w:right w:val="none" w:sz="0" w:space="0" w:color="auto"/>
      </w:divBdr>
    </w:div>
    <w:div w:id="1417167449">
      <w:bodyDiv w:val="1"/>
      <w:marLeft w:val="0"/>
      <w:marRight w:val="0"/>
      <w:marTop w:val="0"/>
      <w:marBottom w:val="0"/>
      <w:divBdr>
        <w:top w:val="none" w:sz="0" w:space="0" w:color="auto"/>
        <w:left w:val="none" w:sz="0" w:space="0" w:color="auto"/>
        <w:bottom w:val="none" w:sz="0" w:space="0" w:color="auto"/>
        <w:right w:val="none" w:sz="0" w:space="0" w:color="auto"/>
      </w:divBdr>
    </w:div>
    <w:div w:id="1417746496">
      <w:bodyDiv w:val="1"/>
      <w:marLeft w:val="0"/>
      <w:marRight w:val="0"/>
      <w:marTop w:val="0"/>
      <w:marBottom w:val="0"/>
      <w:divBdr>
        <w:top w:val="none" w:sz="0" w:space="0" w:color="auto"/>
        <w:left w:val="none" w:sz="0" w:space="0" w:color="auto"/>
        <w:bottom w:val="none" w:sz="0" w:space="0" w:color="auto"/>
        <w:right w:val="none" w:sz="0" w:space="0" w:color="auto"/>
      </w:divBdr>
    </w:div>
    <w:div w:id="1419253245">
      <w:bodyDiv w:val="1"/>
      <w:marLeft w:val="0"/>
      <w:marRight w:val="0"/>
      <w:marTop w:val="0"/>
      <w:marBottom w:val="0"/>
      <w:divBdr>
        <w:top w:val="none" w:sz="0" w:space="0" w:color="auto"/>
        <w:left w:val="none" w:sz="0" w:space="0" w:color="auto"/>
        <w:bottom w:val="none" w:sz="0" w:space="0" w:color="auto"/>
        <w:right w:val="none" w:sz="0" w:space="0" w:color="auto"/>
      </w:divBdr>
    </w:div>
    <w:div w:id="1435979808">
      <w:bodyDiv w:val="1"/>
      <w:marLeft w:val="0"/>
      <w:marRight w:val="0"/>
      <w:marTop w:val="0"/>
      <w:marBottom w:val="0"/>
      <w:divBdr>
        <w:top w:val="none" w:sz="0" w:space="0" w:color="auto"/>
        <w:left w:val="none" w:sz="0" w:space="0" w:color="auto"/>
        <w:bottom w:val="none" w:sz="0" w:space="0" w:color="auto"/>
        <w:right w:val="none" w:sz="0" w:space="0" w:color="auto"/>
      </w:divBdr>
    </w:div>
    <w:div w:id="1438021628">
      <w:bodyDiv w:val="1"/>
      <w:marLeft w:val="0"/>
      <w:marRight w:val="0"/>
      <w:marTop w:val="0"/>
      <w:marBottom w:val="0"/>
      <w:divBdr>
        <w:top w:val="none" w:sz="0" w:space="0" w:color="auto"/>
        <w:left w:val="none" w:sz="0" w:space="0" w:color="auto"/>
        <w:bottom w:val="none" w:sz="0" w:space="0" w:color="auto"/>
        <w:right w:val="none" w:sz="0" w:space="0" w:color="auto"/>
      </w:divBdr>
    </w:div>
    <w:div w:id="1441995778">
      <w:bodyDiv w:val="1"/>
      <w:marLeft w:val="0"/>
      <w:marRight w:val="0"/>
      <w:marTop w:val="0"/>
      <w:marBottom w:val="0"/>
      <w:divBdr>
        <w:top w:val="none" w:sz="0" w:space="0" w:color="auto"/>
        <w:left w:val="none" w:sz="0" w:space="0" w:color="auto"/>
        <w:bottom w:val="none" w:sz="0" w:space="0" w:color="auto"/>
        <w:right w:val="none" w:sz="0" w:space="0" w:color="auto"/>
      </w:divBdr>
    </w:div>
    <w:div w:id="1442261420">
      <w:bodyDiv w:val="1"/>
      <w:marLeft w:val="0"/>
      <w:marRight w:val="0"/>
      <w:marTop w:val="0"/>
      <w:marBottom w:val="0"/>
      <w:divBdr>
        <w:top w:val="none" w:sz="0" w:space="0" w:color="auto"/>
        <w:left w:val="none" w:sz="0" w:space="0" w:color="auto"/>
        <w:bottom w:val="none" w:sz="0" w:space="0" w:color="auto"/>
        <w:right w:val="none" w:sz="0" w:space="0" w:color="auto"/>
      </w:divBdr>
    </w:div>
    <w:div w:id="1443647244">
      <w:bodyDiv w:val="1"/>
      <w:marLeft w:val="0"/>
      <w:marRight w:val="0"/>
      <w:marTop w:val="0"/>
      <w:marBottom w:val="0"/>
      <w:divBdr>
        <w:top w:val="none" w:sz="0" w:space="0" w:color="auto"/>
        <w:left w:val="none" w:sz="0" w:space="0" w:color="auto"/>
        <w:bottom w:val="none" w:sz="0" w:space="0" w:color="auto"/>
        <w:right w:val="none" w:sz="0" w:space="0" w:color="auto"/>
      </w:divBdr>
    </w:div>
    <w:div w:id="1447239224">
      <w:bodyDiv w:val="1"/>
      <w:marLeft w:val="0"/>
      <w:marRight w:val="0"/>
      <w:marTop w:val="0"/>
      <w:marBottom w:val="0"/>
      <w:divBdr>
        <w:top w:val="none" w:sz="0" w:space="0" w:color="auto"/>
        <w:left w:val="none" w:sz="0" w:space="0" w:color="auto"/>
        <w:bottom w:val="none" w:sz="0" w:space="0" w:color="auto"/>
        <w:right w:val="none" w:sz="0" w:space="0" w:color="auto"/>
      </w:divBdr>
    </w:div>
    <w:div w:id="1448811239">
      <w:bodyDiv w:val="1"/>
      <w:marLeft w:val="0"/>
      <w:marRight w:val="0"/>
      <w:marTop w:val="0"/>
      <w:marBottom w:val="0"/>
      <w:divBdr>
        <w:top w:val="none" w:sz="0" w:space="0" w:color="auto"/>
        <w:left w:val="none" w:sz="0" w:space="0" w:color="auto"/>
        <w:bottom w:val="none" w:sz="0" w:space="0" w:color="auto"/>
        <w:right w:val="none" w:sz="0" w:space="0" w:color="auto"/>
      </w:divBdr>
    </w:div>
    <w:div w:id="1449467069">
      <w:bodyDiv w:val="1"/>
      <w:marLeft w:val="0"/>
      <w:marRight w:val="0"/>
      <w:marTop w:val="0"/>
      <w:marBottom w:val="0"/>
      <w:divBdr>
        <w:top w:val="none" w:sz="0" w:space="0" w:color="auto"/>
        <w:left w:val="none" w:sz="0" w:space="0" w:color="auto"/>
        <w:bottom w:val="none" w:sz="0" w:space="0" w:color="auto"/>
        <w:right w:val="none" w:sz="0" w:space="0" w:color="auto"/>
      </w:divBdr>
    </w:div>
    <w:div w:id="1450780040">
      <w:bodyDiv w:val="1"/>
      <w:marLeft w:val="0"/>
      <w:marRight w:val="0"/>
      <w:marTop w:val="0"/>
      <w:marBottom w:val="0"/>
      <w:divBdr>
        <w:top w:val="none" w:sz="0" w:space="0" w:color="auto"/>
        <w:left w:val="none" w:sz="0" w:space="0" w:color="auto"/>
        <w:bottom w:val="none" w:sz="0" w:space="0" w:color="auto"/>
        <w:right w:val="none" w:sz="0" w:space="0" w:color="auto"/>
      </w:divBdr>
    </w:div>
    <w:div w:id="1451899652">
      <w:bodyDiv w:val="1"/>
      <w:marLeft w:val="0"/>
      <w:marRight w:val="0"/>
      <w:marTop w:val="0"/>
      <w:marBottom w:val="0"/>
      <w:divBdr>
        <w:top w:val="none" w:sz="0" w:space="0" w:color="auto"/>
        <w:left w:val="none" w:sz="0" w:space="0" w:color="auto"/>
        <w:bottom w:val="none" w:sz="0" w:space="0" w:color="auto"/>
        <w:right w:val="none" w:sz="0" w:space="0" w:color="auto"/>
      </w:divBdr>
    </w:div>
    <w:div w:id="1454204067">
      <w:bodyDiv w:val="1"/>
      <w:marLeft w:val="0"/>
      <w:marRight w:val="0"/>
      <w:marTop w:val="0"/>
      <w:marBottom w:val="0"/>
      <w:divBdr>
        <w:top w:val="none" w:sz="0" w:space="0" w:color="auto"/>
        <w:left w:val="none" w:sz="0" w:space="0" w:color="auto"/>
        <w:bottom w:val="none" w:sz="0" w:space="0" w:color="auto"/>
        <w:right w:val="none" w:sz="0" w:space="0" w:color="auto"/>
      </w:divBdr>
    </w:div>
    <w:div w:id="1454598793">
      <w:bodyDiv w:val="1"/>
      <w:marLeft w:val="0"/>
      <w:marRight w:val="0"/>
      <w:marTop w:val="0"/>
      <w:marBottom w:val="0"/>
      <w:divBdr>
        <w:top w:val="none" w:sz="0" w:space="0" w:color="auto"/>
        <w:left w:val="none" w:sz="0" w:space="0" w:color="auto"/>
        <w:bottom w:val="none" w:sz="0" w:space="0" w:color="auto"/>
        <w:right w:val="none" w:sz="0" w:space="0" w:color="auto"/>
      </w:divBdr>
    </w:div>
    <w:div w:id="1461263635">
      <w:bodyDiv w:val="1"/>
      <w:marLeft w:val="0"/>
      <w:marRight w:val="0"/>
      <w:marTop w:val="0"/>
      <w:marBottom w:val="0"/>
      <w:divBdr>
        <w:top w:val="none" w:sz="0" w:space="0" w:color="auto"/>
        <w:left w:val="none" w:sz="0" w:space="0" w:color="auto"/>
        <w:bottom w:val="none" w:sz="0" w:space="0" w:color="auto"/>
        <w:right w:val="none" w:sz="0" w:space="0" w:color="auto"/>
      </w:divBdr>
    </w:div>
    <w:div w:id="1467889210">
      <w:bodyDiv w:val="1"/>
      <w:marLeft w:val="0"/>
      <w:marRight w:val="0"/>
      <w:marTop w:val="0"/>
      <w:marBottom w:val="0"/>
      <w:divBdr>
        <w:top w:val="none" w:sz="0" w:space="0" w:color="auto"/>
        <w:left w:val="none" w:sz="0" w:space="0" w:color="auto"/>
        <w:bottom w:val="none" w:sz="0" w:space="0" w:color="auto"/>
        <w:right w:val="none" w:sz="0" w:space="0" w:color="auto"/>
      </w:divBdr>
    </w:div>
    <w:div w:id="1471240886">
      <w:bodyDiv w:val="1"/>
      <w:marLeft w:val="0"/>
      <w:marRight w:val="0"/>
      <w:marTop w:val="0"/>
      <w:marBottom w:val="0"/>
      <w:divBdr>
        <w:top w:val="none" w:sz="0" w:space="0" w:color="auto"/>
        <w:left w:val="none" w:sz="0" w:space="0" w:color="auto"/>
        <w:bottom w:val="none" w:sz="0" w:space="0" w:color="auto"/>
        <w:right w:val="none" w:sz="0" w:space="0" w:color="auto"/>
      </w:divBdr>
    </w:div>
    <w:div w:id="1471627765">
      <w:bodyDiv w:val="1"/>
      <w:marLeft w:val="0"/>
      <w:marRight w:val="0"/>
      <w:marTop w:val="0"/>
      <w:marBottom w:val="0"/>
      <w:divBdr>
        <w:top w:val="none" w:sz="0" w:space="0" w:color="auto"/>
        <w:left w:val="none" w:sz="0" w:space="0" w:color="auto"/>
        <w:bottom w:val="none" w:sz="0" w:space="0" w:color="auto"/>
        <w:right w:val="none" w:sz="0" w:space="0" w:color="auto"/>
      </w:divBdr>
    </w:div>
    <w:div w:id="1475635220">
      <w:bodyDiv w:val="1"/>
      <w:marLeft w:val="0"/>
      <w:marRight w:val="0"/>
      <w:marTop w:val="0"/>
      <w:marBottom w:val="0"/>
      <w:divBdr>
        <w:top w:val="none" w:sz="0" w:space="0" w:color="auto"/>
        <w:left w:val="none" w:sz="0" w:space="0" w:color="auto"/>
        <w:bottom w:val="none" w:sz="0" w:space="0" w:color="auto"/>
        <w:right w:val="none" w:sz="0" w:space="0" w:color="auto"/>
      </w:divBdr>
    </w:div>
    <w:div w:id="1484271859">
      <w:bodyDiv w:val="1"/>
      <w:marLeft w:val="0"/>
      <w:marRight w:val="0"/>
      <w:marTop w:val="0"/>
      <w:marBottom w:val="0"/>
      <w:divBdr>
        <w:top w:val="none" w:sz="0" w:space="0" w:color="auto"/>
        <w:left w:val="none" w:sz="0" w:space="0" w:color="auto"/>
        <w:bottom w:val="none" w:sz="0" w:space="0" w:color="auto"/>
        <w:right w:val="none" w:sz="0" w:space="0" w:color="auto"/>
      </w:divBdr>
    </w:div>
    <w:div w:id="1489251339">
      <w:bodyDiv w:val="1"/>
      <w:marLeft w:val="0"/>
      <w:marRight w:val="0"/>
      <w:marTop w:val="0"/>
      <w:marBottom w:val="0"/>
      <w:divBdr>
        <w:top w:val="none" w:sz="0" w:space="0" w:color="auto"/>
        <w:left w:val="none" w:sz="0" w:space="0" w:color="auto"/>
        <w:bottom w:val="none" w:sz="0" w:space="0" w:color="auto"/>
        <w:right w:val="none" w:sz="0" w:space="0" w:color="auto"/>
      </w:divBdr>
    </w:div>
    <w:div w:id="1489397887">
      <w:bodyDiv w:val="1"/>
      <w:marLeft w:val="0"/>
      <w:marRight w:val="0"/>
      <w:marTop w:val="0"/>
      <w:marBottom w:val="0"/>
      <w:divBdr>
        <w:top w:val="none" w:sz="0" w:space="0" w:color="auto"/>
        <w:left w:val="none" w:sz="0" w:space="0" w:color="auto"/>
        <w:bottom w:val="none" w:sz="0" w:space="0" w:color="auto"/>
        <w:right w:val="none" w:sz="0" w:space="0" w:color="auto"/>
      </w:divBdr>
    </w:div>
    <w:div w:id="1491217858">
      <w:bodyDiv w:val="1"/>
      <w:marLeft w:val="0"/>
      <w:marRight w:val="0"/>
      <w:marTop w:val="0"/>
      <w:marBottom w:val="0"/>
      <w:divBdr>
        <w:top w:val="none" w:sz="0" w:space="0" w:color="auto"/>
        <w:left w:val="none" w:sz="0" w:space="0" w:color="auto"/>
        <w:bottom w:val="none" w:sz="0" w:space="0" w:color="auto"/>
        <w:right w:val="none" w:sz="0" w:space="0" w:color="auto"/>
      </w:divBdr>
    </w:div>
    <w:div w:id="1492714087">
      <w:bodyDiv w:val="1"/>
      <w:marLeft w:val="0"/>
      <w:marRight w:val="0"/>
      <w:marTop w:val="0"/>
      <w:marBottom w:val="0"/>
      <w:divBdr>
        <w:top w:val="none" w:sz="0" w:space="0" w:color="auto"/>
        <w:left w:val="none" w:sz="0" w:space="0" w:color="auto"/>
        <w:bottom w:val="none" w:sz="0" w:space="0" w:color="auto"/>
        <w:right w:val="none" w:sz="0" w:space="0" w:color="auto"/>
      </w:divBdr>
    </w:div>
    <w:div w:id="1493108917">
      <w:bodyDiv w:val="1"/>
      <w:marLeft w:val="0"/>
      <w:marRight w:val="0"/>
      <w:marTop w:val="0"/>
      <w:marBottom w:val="0"/>
      <w:divBdr>
        <w:top w:val="none" w:sz="0" w:space="0" w:color="auto"/>
        <w:left w:val="none" w:sz="0" w:space="0" w:color="auto"/>
        <w:bottom w:val="none" w:sz="0" w:space="0" w:color="auto"/>
        <w:right w:val="none" w:sz="0" w:space="0" w:color="auto"/>
      </w:divBdr>
    </w:div>
    <w:div w:id="1496915539">
      <w:bodyDiv w:val="1"/>
      <w:marLeft w:val="0"/>
      <w:marRight w:val="0"/>
      <w:marTop w:val="0"/>
      <w:marBottom w:val="0"/>
      <w:divBdr>
        <w:top w:val="none" w:sz="0" w:space="0" w:color="auto"/>
        <w:left w:val="none" w:sz="0" w:space="0" w:color="auto"/>
        <w:bottom w:val="none" w:sz="0" w:space="0" w:color="auto"/>
        <w:right w:val="none" w:sz="0" w:space="0" w:color="auto"/>
      </w:divBdr>
    </w:div>
    <w:div w:id="1504858188">
      <w:bodyDiv w:val="1"/>
      <w:marLeft w:val="0"/>
      <w:marRight w:val="0"/>
      <w:marTop w:val="0"/>
      <w:marBottom w:val="0"/>
      <w:divBdr>
        <w:top w:val="none" w:sz="0" w:space="0" w:color="auto"/>
        <w:left w:val="none" w:sz="0" w:space="0" w:color="auto"/>
        <w:bottom w:val="none" w:sz="0" w:space="0" w:color="auto"/>
        <w:right w:val="none" w:sz="0" w:space="0" w:color="auto"/>
      </w:divBdr>
    </w:div>
    <w:div w:id="1505590220">
      <w:bodyDiv w:val="1"/>
      <w:marLeft w:val="0"/>
      <w:marRight w:val="0"/>
      <w:marTop w:val="0"/>
      <w:marBottom w:val="0"/>
      <w:divBdr>
        <w:top w:val="none" w:sz="0" w:space="0" w:color="auto"/>
        <w:left w:val="none" w:sz="0" w:space="0" w:color="auto"/>
        <w:bottom w:val="none" w:sz="0" w:space="0" w:color="auto"/>
        <w:right w:val="none" w:sz="0" w:space="0" w:color="auto"/>
      </w:divBdr>
    </w:div>
    <w:div w:id="1508709453">
      <w:bodyDiv w:val="1"/>
      <w:marLeft w:val="0"/>
      <w:marRight w:val="0"/>
      <w:marTop w:val="0"/>
      <w:marBottom w:val="0"/>
      <w:divBdr>
        <w:top w:val="none" w:sz="0" w:space="0" w:color="auto"/>
        <w:left w:val="none" w:sz="0" w:space="0" w:color="auto"/>
        <w:bottom w:val="none" w:sz="0" w:space="0" w:color="auto"/>
        <w:right w:val="none" w:sz="0" w:space="0" w:color="auto"/>
      </w:divBdr>
    </w:div>
    <w:div w:id="1510172052">
      <w:bodyDiv w:val="1"/>
      <w:marLeft w:val="0"/>
      <w:marRight w:val="0"/>
      <w:marTop w:val="0"/>
      <w:marBottom w:val="0"/>
      <w:divBdr>
        <w:top w:val="none" w:sz="0" w:space="0" w:color="auto"/>
        <w:left w:val="none" w:sz="0" w:space="0" w:color="auto"/>
        <w:bottom w:val="none" w:sz="0" w:space="0" w:color="auto"/>
        <w:right w:val="none" w:sz="0" w:space="0" w:color="auto"/>
      </w:divBdr>
    </w:div>
    <w:div w:id="1510606571">
      <w:bodyDiv w:val="1"/>
      <w:marLeft w:val="0"/>
      <w:marRight w:val="0"/>
      <w:marTop w:val="0"/>
      <w:marBottom w:val="0"/>
      <w:divBdr>
        <w:top w:val="none" w:sz="0" w:space="0" w:color="auto"/>
        <w:left w:val="none" w:sz="0" w:space="0" w:color="auto"/>
        <w:bottom w:val="none" w:sz="0" w:space="0" w:color="auto"/>
        <w:right w:val="none" w:sz="0" w:space="0" w:color="auto"/>
      </w:divBdr>
    </w:div>
    <w:div w:id="1518079719">
      <w:bodyDiv w:val="1"/>
      <w:marLeft w:val="0"/>
      <w:marRight w:val="0"/>
      <w:marTop w:val="0"/>
      <w:marBottom w:val="0"/>
      <w:divBdr>
        <w:top w:val="none" w:sz="0" w:space="0" w:color="auto"/>
        <w:left w:val="none" w:sz="0" w:space="0" w:color="auto"/>
        <w:bottom w:val="none" w:sz="0" w:space="0" w:color="auto"/>
        <w:right w:val="none" w:sz="0" w:space="0" w:color="auto"/>
      </w:divBdr>
    </w:div>
    <w:div w:id="1518230814">
      <w:bodyDiv w:val="1"/>
      <w:marLeft w:val="0"/>
      <w:marRight w:val="0"/>
      <w:marTop w:val="0"/>
      <w:marBottom w:val="0"/>
      <w:divBdr>
        <w:top w:val="none" w:sz="0" w:space="0" w:color="auto"/>
        <w:left w:val="none" w:sz="0" w:space="0" w:color="auto"/>
        <w:bottom w:val="none" w:sz="0" w:space="0" w:color="auto"/>
        <w:right w:val="none" w:sz="0" w:space="0" w:color="auto"/>
      </w:divBdr>
    </w:div>
    <w:div w:id="1518888450">
      <w:bodyDiv w:val="1"/>
      <w:marLeft w:val="0"/>
      <w:marRight w:val="0"/>
      <w:marTop w:val="0"/>
      <w:marBottom w:val="0"/>
      <w:divBdr>
        <w:top w:val="none" w:sz="0" w:space="0" w:color="auto"/>
        <w:left w:val="none" w:sz="0" w:space="0" w:color="auto"/>
        <w:bottom w:val="none" w:sz="0" w:space="0" w:color="auto"/>
        <w:right w:val="none" w:sz="0" w:space="0" w:color="auto"/>
      </w:divBdr>
    </w:div>
    <w:div w:id="1519808023">
      <w:bodyDiv w:val="1"/>
      <w:marLeft w:val="0"/>
      <w:marRight w:val="0"/>
      <w:marTop w:val="0"/>
      <w:marBottom w:val="0"/>
      <w:divBdr>
        <w:top w:val="none" w:sz="0" w:space="0" w:color="auto"/>
        <w:left w:val="none" w:sz="0" w:space="0" w:color="auto"/>
        <w:bottom w:val="none" w:sz="0" w:space="0" w:color="auto"/>
        <w:right w:val="none" w:sz="0" w:space="0" w:color="auto"/>
      </w:divBdr>
    </w:div>
    <w:div w:id="1521507949">
      <w:bodyDiv w:val="1"/>
      <w:marLeft w:val="0"/>
      <w:marRight w:val="0"/>
      <w:marTop w:val="0"/>
      <w:marBottom w:val="0"/>
      <w:divBdr>
        <w:top w:val="none" w:sz="0" w:space="0" w:color="auto"/>
        <w:left w:val="none" w:sz="0" w:space="0" w:color="auto"/>
        <w:bottom w:val="none" w:sz="0" w:space="0" w:color="auto"/>
        <w:right w:val="none" w:sz="0" w:space="0" w:color="auto"/>
      </w:divBdr>
    </w:div>
    <w:div w:id="1536625719">
      <w:bodyDiv w:val="1"/>
      <w:marLeft w:val="0"/>
      <w:marRight w:val="0"/>
      <w:marTop w:val="0"/>
      <w:marBottom w:val="0"/>
      <w:divBdr>
        <w:top w:val="none" w:sz="0" w:space="0" w:color="auto"/>
        <w:left w:val="none" w:sz="0" w:space="0" w:color="auto"/>
        <w:bottom w:val="none" w:sz="0" w:space="0" w:color="auto"/>
        <w:right w:val="none" w:sz="0" w:space="0" w:color="auto"/>
      </w:divBdr>
    </w:div>
    <w:div w:id="1537691318">
      <w:bodyDiv w:val="1"/>
      <w:marLeft w:val="0"/>
      <w:marRight w:val="0"/>
      <w:marTop w:val="0"/>
      <w:marBottom w:val="0"/>
      <w:divBdr>
        <w:top w:val="none" w:sz="0" w:space="0" w:color="auto"/>
        <w:left w:val="none" w:sz="0" w:space="0" w:color="auto"/>
        <w:bottom w:val="none" w:sz="0" w:space="0" w:color="auto"/>
        <w:right w:val="none" w:sz="0" w:space="0" w:color="auto"/>
      </w:divBdr>
    </w:div>
    <w:div w:id="1539852190">
      <w:bodyDiv w:val="1"/>
      <w:marLeft w:val="0"/>
      <w:marRight w:val="0"/>
      <w:marTop w:val="0"/>
      <w:marBottom w:val="0"/>
      <w:divBdr>
        <w:top w:val="none" w:sz="0" w:space="0" w:color="auto"/>
        <w:left w:val="none" w:sz="0" w:space="0" w:color="auto"/>
        <w:bottom w:val="none" w:sz="0" w:space="0" w:color="auto"/>
        <w:right w:val="none" w:sz="0" w:space="0" w:color="auto"/>
      </w:divBdr>
    </w:div>
    <w:div w:id="1550991162">
      <w:bodyDiv w:val="1"/>
      <w:marLeft w:val="0"/>
      <w:marRight w:val="0"/>
      <w:marTop w:val="0"/>
      <w:marBottom w:val="0"/>
      <w:divBdr>
        <w:top w:val="none" w:sz="0" w:space="0" w:color="auto"/>
        <w:left w:val="none" w:sz="0" w:space="0" w:color="auto"/>
        <w:bottom w:val="none" w:sz="0" w:space="0" w:color="auto"/>
        <w:right w:val="none" w:sz="0" w:space="0" w:color="auto"/>
      </w:divBdr>
    </w:div>
    <w:div w:id="1551838003">
      <w:bodyDiv w:val="1"/>
      <w:marLeft w:val="0"/>
      <w:marRight w:val="0"/>
      <w:marTop w:val="0"/>
      <w:marBottom w:val="0"/>
      <w:divBdr>
        <w:top w:val="none" w:sz="0" w:space="0" w:color="auto"/>
        <w:left w:val="none" w:sz="0" w:space="0" w:color="auto"/>
        <w:bottom w:val="none" w:sz="0" w:space="0" w:color="auto"/>
        <w:right w:val="none" w:sz="0" w:space="0" w:color="auto"/>
      </w:divBdr>
    </w:div>
    <w:div w:id="1558013104">
      <w:bodyDiv w:val="1"/>
      <w:marLeft w:val="0"/>
      <w:marRight w:val="0"/>
      <w:marTop w:val="0"/>
      <w:marBottom w:val="0"/>
      <w:divBdr>
        <w:top w:val="none" w:sz="0" w:space="0" w:color="auto"/>
        <w:left w:val="none" w:sz="0" w:space="0" w:color="auto"/>
        <w:bottom w:val="none" w:sz="0" w:space="0" w:color="auto"/>
        <w:right w:val="none" w:sz="0" w:space="0" w:color="auto"/>
      </w:divBdr>
    </w:div>
    <w:div w:id="1559898625">
      <w:bodyDiv w:val="1"/>
      <w:marLeft w:val="0"/>
      <w:marRight w:val="0"/>
      <w:marTop w:val="0"/>
      <w:marBottom w:val="0"/>
      <w:divBdr>
        <w:top w:val="none" w:sz="0" w:space="0" w:color="auto"/>
        <w:left w:val="none" w:sz="0" w:space="0" w:color="auto"/>
        <w:bottom w:val="none" w:sz="0" w:space="0" w:color="auto"/>
        <w:right w:val="none" w:sz="0" w:space="0" w:color="auto"/>
      </w:divBdr>
    </w:div>
    <w:div w:id="1565289094">
      <w:bodyDiv w:val="1"/>
      <w:marLeft w:val="0"/>
      <w:marRight w:val="0"/>
      <w:marTop w:val="0"/>
      <w:marBottom w:val="0"/>
      <w:divBdr>
        <w:top w:val="none" w:sz="0" w:space="0" w:color="auto"/>
        <w:left w:val="none" w:sz="0" w:space="0" w:color="auto"/>
        <w:bottom w:val="none" w:sz="0" w:space="0" w:color="auto"/>
        <w:right w:val="none" w:sz="0" w:space="0" w:color="auto"/>
      </w:divBdr>
    </w:div>
    <w:div w:id="1567108492">
      <w:bodyDiv w:val="1"/>
      <w:marLeft w:val="0"/>
      <w:marRight w:val="0"/>
      <w:marTop w:val="0"/>
      <w:marBottom w:val="0"/>
      <w:divBdr>
        <w:top w:val="none" w:sz="0" w:space="0" w:color="auto"/>
        <w:left w:val="none" w:sz="0" w:space="0" w:color="auto"/>
        <w:bottom w:val="none" w:sz="0" w:space="0" w:color="auto"/>
        <w:right w:val="none" w:sz="0" w:space="0" w:color="auto"/>
      </w:divBdr>
    </w:div>
    <w:div w:id="1567447205">
      <w:bodyDiv w:val="1"/>
      <w:marLeft w:val="0"/>
      <w:marRight w:val="0"/>
      <w:marTop w:val="0"/>
      <w:marBottom w:val="0"/>
      <w:divBdr>
        <w:top w:val="none" w:sz="0" w:space="0" w:color="auto"/>
        <w:left w:val="none" w:sz="0" w:space="0" w:color="auto"/>
        <w:bottom w:val="none" w:sz="0" w:space="0" w:color="auto"/>
        <w:right w:val="none" w:sz="0" w:space="0" w:color="auto"/>
      </w:divBdr>
    </w:div>
    <w:div w:id="1578201693">
      <w:bodyDiv w:val="1"/>
      <w:marLeft w:val="0"/>
      <w:marRight w:val="0"/>
      <w:marTop w:val="0"/>
      <w:marBottom w:val="0"/>
      <w:divBdr>
        <w:top w:val="none" w:sz="0" w:space="0" w:color="auto"/>
        <w:left w:val="none" w:sz="0" w:space="0" w:color="auto"/>
        <w:bottom w:val="none" w:sz="0" w:space="0" w:color="auto"/>
        <w:right w:val="none" w:sz="0" w:space="0" w:color="auto"/>
      </w:divBdr>
    </w:div>
    <w:div w:id="1578789026">
      <w:bodyDiv w:val="1"/>
      <w:marLeft w:val="0"/>
      <w:marRight w:val="0"/>
      <w:marTop w:val="0"/>
      <w:marBottom w:val="0"/>
      <w:divBdr>
        <w:top w:val="none" w:sz="0" w:space="0" w:color="auto"/>
        <w:left w:val="none" w:sz="0" w:space="0" w:color="auto"/>
        <w:bottom w:val="none" w:sz="0" w:space="0" w:color="auto"/>
        <w:right w:val="none" w:sz="0" w:space="0" w:color="auto"/>
      </w:divBdr>
    </w:div>
    <w:div w:id="1581980875">
      <w:bodyDiv w:val="1"/>
      <w:marLeft w:val="0"/>
      <w:marRight w:val="0"/>
      <w:marTop w:val="0"/>
      <w:marBottom w:val="0"/>
      <w:divBdr>
        <w:top w:val="none" w:sz="0" w:space="0" w:color="auto"/>
        <w:left w:val="none" w:sz="0" w:space="0" w:color="auto"/>
        <w:bottom w:val="none" w:sz="0" w:space="0" w:color="auto"/>
        <w:right w:val="none" w:sz="0" w:space="0" w:color="auto"/>
      </w:divBdr>
    </w:div>
    <w:div w:id="1584221712">
      <w:bodyDiv w:val="1"/>
      <w:marLeft w:val="0"/>
      <w:marRight w:val="0"/>
      <w:marTop w:val="0"/>
      <w:marBottom w:val="0"/>
      <w:divBdr>
        <w:top w:val="none" w:sz="0" w:space="0" w:color="auto"/>
        <w:left w:val="none" w:sz="0" w:space="0" w:color="auto"/>
        <w:bottom w:val="none" w:sz="0" w:space="0" w:color="auto"/>
        <w:right w:val="none" w:sz="0" w:space="0" w:color="auto"/>
      </w:divBdr>
    </w:div>
    <w:div w:id="1591547655">
      <w:bodyDiv w:val="1"/>
      <w:marLeft w:val="0"/>
      <w:marRight w:val="0"/>
      <w:marTop w:val="0"/>
      <w:marBottom w:val="0"/>
      <w:divBdr>
        <w:top w:val="none" w:sz="0" w:space="0" w:color="auto"/>
        <w:left w:val="none" w:sz="0" w:space="0" w:color="auto"/>
        <w:bottom w:val="none" w:sz="0" w:space="0" w:color="auto"/>
        <w:right w:val="none" w:sz="0" w:space="0" w:color="auto"/>
      </w:divBdr>
    </w:div>
    <w:div w:id="1594171260">
      <w:bodyDiv w:val="1"/>
      <w:marLeft w:val="0"/>
      <w:marRight w:val="0"/>
      <w:marTop w:val="0"/>
      <w:marBottom w:val="0"/>
      <w:divBdr>
        <w:top w:val="none" w:sz="0" w:space="0" w:color="auto"/>
        <w:left w:val="none" w:sz="0" w:space="0" w:color="auto"/>
        <w:bottom w:val="none" w:sz="0" w:space="0" w:color="auto"/>
        <w:right w:val="none" w:sz="0" w:space="0" w:color="auto"/>
      </w:divBdr>
    </w:div>
    <w:div w:id="1594774993">
      <w:bodyDiv w:val="1"/>
      <w:marLeft w:val="0"/>
      <w:marRight w:val="0"/>
      <w:marTop w:val="0"/>
      <w:marBottom w:val="0"/>
      <w:divBdr>
        <w:top w:val="none" w:sz="0" w:space="0" w:color="auto"/>
        <w:left w:val="none" w:sz="0" w:space="0" w:color="auto"/>
        <w:bottom w:val="none" w:sz="0" w:space="0" w:color="auto"/>
        <w:right w:val="none" w:sz="0" w:space="0" w:color="auto"/>
      </w:divBdr>
    </w:div>
    <w:div w:id="1602685407">
      <w:bodyDiv w:val="1"/>
      <w:marLeft w:val="0"/>
      <w:marRight w:val="0"/>
      <w:marTop w:val="0"/>
      <w:marBottom w:val="0"/>
      <w:divBdr>
        <w:top w:val="none" w:sz="0" w:space="0" w:color="auto"/>
        <w:left w:val="none" w:sz="0" w:space="0" w:color="auto"/>
        <w:bottom w:val="none" w:sz="0" w:space="0" w:color="auto"/>
        <w:right w:val="none" w:sz="0" w:space="0" w:color="auto"/>
      </w:divBdr>
    </w:div>
    <w:div w:id="1610547866">
      <w:bodyDiv w:val="1"/>
      <w:marLeft w:val="0"/>
      <w:marRight w:val="0"/>
      <w:marTop w:val="0"/>
      <w:marBottom w:val="0"/>
      <w:divBdr>
        <w:top w:val="none" w:sz="0" w:space="0" w:color="auto"/>
        <w:left w:val="none" w:sz="0" w:space="0" w:color="auto"/>
        <w:bottom w:val="none" w:sz="0" w:space="0" w:color="auto"/>
        <w:right w:val="none" w:sz="0" w:space="0" w:color="auto"/>
      </w:divBdr>
    </w:div>
    <w:div w:id="1611664781">
      <w:bodyDiv w:val="1"/>
      <w:marLeft w:val="0"/>
      <w:marRight w:val="0"/>
      <w:marTop w:val="0"/>
      <w:marBottom w:val="0"/>
      <w:divBdr>
        <w:top w:val="none" w:sz="0" w:space="0" w:color="auto"/>
        <w:left w:val="none" w:sz="0" w:space="0" w:color="auto"/>
        <w:bottom w:val="none" w:sz="0" w:space="0" w:color="auto"/>
        <w:right w:val="none" w:sz="0" w:space="0" w:color="auto"/>
      </w:divBdr>
    </w:div>
    <w:div w:id="1612862836">
      <w:bodyDiv w:val="1"/>
      <w:marLeft w:val="0"/>
      <w:marRight w:val="0"/>
      <w:marTop w:val="0"/>
      <w:marBottom w:val="0"/>
      <w:divBdr>
        <w:top w:val="none" w:sz="0" w:space="0" w:color="auto"/>
        <w:left w:val="none" w:sz="0" w:space="0" w:color="auto"/>
        <w:bottom w:val="none" w:sz="0" w:space="0" w:color="auto"/>
        <w:right w:val="none" w:sz="0" w:space="0" w:color="auto"/>
      </w:divBdr>
    </w:div>
    <w:div w:id="1614098203">
      <w:bodyDiv w:val="1"/>
      <w:marLeft w:val="0"/>
      <w:marRight w:val="0"/>
      <w:marTop w:val="0"/>
      <w:marBottom w:val="0"/>
      <w:divBdr>
        <w:top w:val="none" w:sz="0" w:space="0" w:color="auto"/>
        <w:left w:val="none" w:sz="0" w:space="0" w:color="auto"/>
        <w:bottom w:val="none" w:sz="0" w:space="0" w:color="auto"/>
        <w:right w:val="none" w:sz="0" w:space="0" w:color="auto"/>
      </w:divBdr>
    </w:div>
    <w:div w:id="1614706225">
      <w:bodyDiv w:val="1"/>
      <w:marLeft w:val="0"/>
      <w:marRight w:val="0"/>
      <w:marTop w:val="0"/>
      <w:marBottom w:val="0"/>
      <w:divBdr>
        <w:top w:val="none" w:sz="0" w:space="0" w:color="auto"/>
        <w:left w:val="none" w:sz="0" w:space="0" w:color="auto"/>
        <w:bottom w:val="none" w:sz="0" w:space="0" w:color="auto"/>
        <w:right w:val="none" w:sz="0" w:space="0" w:color="auto"/>
      </w:divBdr>
    </w:div>
    <w:div w:id="1623422060">
      <w:bodyDiv w:val="1"/>
      <w:marLeft w:val="0"/>
      <w:marRight w:val="0"/>
      <w:marTop w:val="0"/>
      <w:marBottom w:val="0"/>
      <w:divBdr>
        <w:top w:val="none" w:sz="0" w:space="0" w:color="auto"/>
        <w:left w:val="none" w:sz="0" w:space="0" w:color="auto"/>
        <w:bottom w:val="none" w:sz="0" w:space="0" w:color="auto"/>
        <w:right w:val="none" w:sz="0" w:space="0" w:color="auto"/>
      </w:divBdr>
    </w:div>
    <w:div w:id="1623533509">
      <w:bodyDiv w:val="1"/>
      <w:marLeft w:val="0"/>
      <w:marRight w:val="0"/>
      <w:marTop w:val="0"/>
      <w:marBottom w:val="0"/>
      <w:divBdr>
        <w:top w:val="none" w:sz="0" w:space="0" w:color="auto"/>
        <w:left w:val="none" w:sz="0" w:space="0" w:color="auto"/>
        <w:bottom w:val="none" w:sz="0" w:space="0" w:color="auto"/>
        <w:right w:val="none" w:sz="0" w:space="0" w:color="auto"/>
      </w:divBdr>
    </w:div>
    <w:div w:id="1625387779">
      <w:bodyDiv w:val="1"/>
      <w:marLeft w:val="0"/>
      <w:marRight w:val="0"/>
      <w:marTop w:val="0"/>
      <w:marBottom w:val="0"/>
      <w:divBdr>
        <w:top w:val="none" w:sz="0" w:space="0" w:color="auto"/>
        <w:left w:val="none" w:sz="0" w:space="0" w:color="auto"/>
        <w:bottom w:val="none" w:sz="0" w:space="0" w:color="auto"/>
        <w:right w:val="none" w:sz="0" w:space="0" w:color="auto"/>
      </w:divBdr>
    </w:div>
    <w:div w:id="1630286391">
      <w:bodyDiv w:val="1"/>
      <w:marLeft w:val="0"/>
      <w:marRight w:val="0"/>
      <w:marTop w:val="0"/>
      <w:marBottom w:val="0"/>
      <w:divBdr>
        <w:top w:val="none" w:sz="0" w:space="0" w:color="auto"/>
        <w:left w:val="none" w:sz="0" w:space="0" w:color="auto"/>
        <w:bottom w:val="none" w:sz="0" w:space="0" w:color="auto"/>
        <w:right w:val="none" w:sz="0" w:space="0" w:color="auto"/>
      </w:divBdr>
    </w:div>
    <w:div w:id="1639649390">
      <w:bodyDiv w:val="1"/>
      <w:marLeft w:val="0"/>
      <w:marRight w:val="0"/>
      <w:marTop w:val="0"/>
      <w:marBottom w:val="0"/>
      <w:divBdr>
        <w:top w:val="none" w:sz="0" w:space="0" w:color="auto"/>
        <w:left w:val="none" w:sz="0" w:space="0" w:color="auto"/>
        <w:bottom w:val="none" w:sz="0" w:space="0" w:color="auto"/>
        <w:right w:val="none" w:sz="0" w:space="0" w:color="auto"/>
      </w:divBdr>
    </w:div>
    <w:div w:id="1641224378">
      <w:bodyDiv w:val="1"/>
      <w:marLeft w:val="0"/>
      <w:marRight w:val="0"/>
      <w:marTop w:val="0"/>
      <w:marBottom w:val="0"/>
      <w:divBdr>
        <w:top w:val="none" w:sz="0" w:space="0" w:color="auto"/>
        <w:left w:val="none" w:sz="0" w:space="0" w:color="auto"/>
        <w:bottom w:val="none" w:sz="0" w:space="0" w:color="auto"/>
        <w:right w:val="none" w:sz="0" w:space="0" w:color="auto"/>
      </w:divBdr>
    </w:div>
    <w:div w:id="1641420097">
      <w:bodyDiv w:val="1"/>
      <w:marLeft w:val="0"/>
      <w:marRight w:val="0"/>
      <w:marTop w:val="0"/>
      <w:marBottom w:val="0"/>
      <w:divBdr>
        <w:top w:val="none" w:sz="0" w:space="0" w:color="auto"/>
        <w:left w:val="none" w:sz="0" w:space="0" w:color="auto"/>
        <w:bottom w:val="none" w:sz="0" w:space="0" w:color="auto"/>
        <w:right w:val="none" w:sz="0" w:space="0" w:color="auto"/>
      </w:divBdr>
    </w:div>
    <w:div w:id="1646154196">
      <w:bodyDiv w:val="1"/>
      <w:marLeft w:val="0"/>
      <w:marRight w:val="0"/>
      <w:marTop w:val="0"/>
      <w:marBottom w:val="0"/>
      <w:divBdr>
        <w:top w:val="none" w:sz="0" w:space="0" w:color="auto"/>
        <w:left w:val="none" w:sz="0" w:space="0" w:color="auto"/>
        <w:bottom w:val="none" w:sz="0" w:space="0" w:color="auto"/>
        <w:right w:val="none" w:sz="0" w:space="0" w:color="auto"/>
      </w:divBdr>
    </w:div>
    <w:div w:id="1648197072">
      <w:bodyDiv w:val="1"/>
      <w:marLeft w:val="0"/>
      <w:marRight w:val="0"/>
      <w:marTop w:val="0"/>
      <w:marBottom w:val="0"/>
      <w:divBdr>
        <w:top w:val="none" w:sz="0" w:space="0" w:color="auto"/>
        <w:left w:val="none" w:sz="0" w:space="0" w:color="auto"/>
        <w:bottom w:val="none" w:sz="0" w:space="0" w:color="auto"/>
        <w:right w:val="none" w:sz="0" w:space="0" w:color="auto"/>
      </w:divBdr>
    </w:div>
    <w:div w:id="1649047719">
      <w:bodyDiv w:val="1"/>
      <w:marLeft w:val="0"/>
      <w:marRight w:val="0"/>
      <w:marTop w:val="0"/>
      <w:marBottom w:val="0"/>
      <w:divBdr>
        <w:top w:val="none" w:sz="0" w:space="0" w:color="auto"/>
        <w:left w:val="none" w:sz="0" w:space="0" w:color="auto"/>
        <w:bottom w:val="none" w:sz="0" w:space="0" w:color="auto"/>
        <w:right w:val="none" w:sz="0" w:space="0" w:color="auto"/>
      </w:divBdr>
    </w:div>
    <w:div w:id="1655261039">
      <w:bodyDiv w:val="1"/>
      <w:marLeft w:val="0"/>
      <w:marRight w:val="0"/>
      <w:marTop w:val="0"/>
      <w:marBottom w:val="0"/>
      <w:divBdr>
        <w:top w:val="none" w:sz="0" w:space="0" w:color="auto"/>
        <w:left w:val="none" w:sz="0" w:space="0" w:color="auto"/>
        <w:bottom w:val="none" w:sz="0" w:space="0" w:color="auto"/>
        <w:right w:val="none" w:sz="0" w:space="0" w:color="auto"/>
      </w:divBdr>
    </w:div>
    <w:div w:id="1655644093">
      <w:bodyDiv w:val="1"/>
      <w:marLeft w:val="0"/>
      <w:marRight w:val="0"/>
      <w:marTop w:val="0"/>
      <w:marBottom w:val="0"/>
      <w:divBdr>
        <w:top w:val="none" w:sz="0" w:space="0" w:color="auto"/>
        <w:left w:val="none" w:sz="0" w:space="0" w:color="auto"/>
        <w:bottom w:val="none" w:sz="0" w:space="0" w:color="auto"/>
        <w:right w:val="none" w:sz="0" w:space="0" w:color="auto"/>
      </w:divBdr>
    </w:div>
    <w:div w:id="1663005249">
      <w:bodyDiv w:val="1"/>
      <w:marLeft w:val="0"/>
      <w:marRight w:val="0"/>
      <w:marTop w:val="0"/>
      <w:marBottom w:val="0"/>
      <w:divBdr>
        <w:top w:val="none" w:sz="0" w:space="0" w:color="auto"/>
        <w:left w:val="none" w:sz="0" w:space="0" w:color="auto"/>
        <w:bottom w:val="none" w:sz="0" w:space="0" w:color="auto"/>
        <w:right w:val="none" w:sz="0" w:space="0" w:color="auto"/>
      </w:divBdr>
    </w:div>
    <w:div w:id="1666935937">
      <w:bodyDiv w:val="1"/>
      <w:marLeft w:val="0"/>
      <w:marRight w:val="0"/>
      <w:marTop w:val="0"/>
      <w:marBottom w:val="0"/>
      <w:divBdr>
        <w:top w:val="none" w:sz="0" w:space="0" w:color="auto"/>
        <w:left w:val="none" w:sz="0" w:space="0" w:color="auto"/>
        <w:bottom w:val="none" w:sz="0" w:space="0" w:color="auto"/>
        <w:right w:val="none" w:sz="0" w:space="0" w:color="auto"/>
      </w:divBdr>
    </w:div>
    <w:div w:id="1686977156">
      <w:bodyDiv w:val="1"/>
      <w:marLeft w:val="0"/>
      <w:marRight w:val="0"/>
      <w:marTop w:val="0"/>
      <w:marBottom w:val="0"/>
      <w:divBdr>
        <w:top w:val="none" w:sz="0" w:space="0" w:color="auto"/>
        <w:left w:val="none" w:sz="0" w:space="0" w:color="auto"/>
        <w:bottom w:val="none" w:sz="0" w:space="0" w:color="auto"/>
        <w:right w:val="none" w:sz="0" w:space="0" w:color="auto"/>
      </w:divBdr>
    </w:div>
    <w:div w:id="1692338140">
      <w:bodyDiv w:val="1"/>
      <w:marLeft w:val="0"/>
      <w:marRight w:val="0"/>
      <w:marTop w:val="0"/>
      <w:marBottom w:val="0"/>
      <w:divBdr>
        <w:top w:val="none" w:sz="0" w:space="0" w:color="auto"/>
        <w:left w:val="none" w:sz="0" w:space="0" w:color="auto"/>
        <w:bottom w:val="none" w:sz="0" w:space="0" w:color="auto"/>
        <w:right w:val="none" w:sz="0" w:space="0" w:color="auto"/>
      </w:divBdr>
    </w:div>
    <w:div w:id="1693992456">
      <w:bodyDiv w:val="1"/>
      <w:marLeft w:val="0"/>
      <w:marRight w:val="0"/>
      <w:marTop w:val="0"/>
      <w:marBottom w:val="0"/>
      <w:divBdr>
        <w:top w:val="none" w:sz="0" w:space="0" w:color="auto"/>
        <w:left w:val="none" w:sz="0" w:space="0" w:color="auto"/>
        <w:bottom w:val="none" w:sz="0" w:space="0" w:color="auto"/>
        <w:right w:val="none" w:sz="0" w:space="0" w:color="auto"/>
      </w:divBdr>
    </w:div>
    <w:div w:id="1695496663">
      <w:bodyDiv w:val="1"/>
      <w:marLeft w:val="0"/>
      <w:marRight w:val="0"/>
      <w:marTop w:val="0"/>
      <w:marBottom w:val="0"/>
      <w:divBdr>
        <w:top w:val="none" w:sz="0" w:space="0" w:color="auto"/>
        <w:left w:val="none" w:sz="0" w:space="0" w:color="auto"/>
        <w:bottom w:val="none" w:sz="0" w:space="0" w:color="auto"/>
        <w:right w:val="none" w:sz="0" w:space="0" w:color="auto"/>
      </w:divBdr>
    </w:div>
    <w:div w:id="1700205172">
      <w:bodyDiv w:val="1"/>
      <w:marLeft w:val="0"/>
      <w:marRight w:val="0"/>
      <w:marTop w:val="0"/>
      <w:marBottom w:val="0"/>
      <w:divBdr>
        <w:top w:val="none" w:sz="0" w:space="0" w:color="auto"/>
        <w:left w:val="none" w:sz="0" w:space="0" w:color="auto"/>
        <w:bottom w:val="none" w:sz="0" w:space="0" w:color="auto"/>
        <w:right w:val="none" w:sz="0" w:space="0" w:color="auto"/>
      </w:divBdr>
    </w:div>
    <w:div w:id="1703091956">
      <w:bodyDiv w:val="1"/>
      <w:marLeft w:val="0"/>
      <w:marRight w:val="0"/>
      <w:marTop w:val="0"/>
      <w:marBottom w:val="0"/>
      <w:divBdr>
        <w:top w:val="none" w:sz="0" w:space="0" w:color="auto"/>
        <w:left w:val="none" w:sz="0" w:space="0" w:color="auto"/>
        <w:bottom w:val="none" w:sz="0" w:space="0" w:color="auto"/>
        <w:right w:val="none" w:sz="0" w:space="0" w:color="auto"/>
      </w:divBdr>
    </w:div>
    <w:div w:id="1703902770">
      <w:bodyDiv w:val="1"/>
      <w:marLeft w:val="0"/>
      <w:marRight w:val="0"/>
      <w:marTop w:val="0"/>
      <w:marBottom w:val="0"/>
      <w:divBdr>
        <w:top w:val="none" w:sz="0" w:space="0" w:color="auto"/>
        <w:left w:val="none" w:sz="0" w:space="0" w:color="auto"/>
        <w:bottom w:val="none" w:sz="0" w:space="0" w:color="auto"/>
        <w:right w:val="none" w:sz="0" w:space="0" w:color="auto"/>
      </w:divBdr>
    </w:div>
    <w:div w:id="1710177433">
      <w:bodyDiv w:val="1"/>
      <w:marLeft w:val="0"/>
      <w:marRight w:val="0"/>
      <w:marTop w:val="0"/>
      <w:marBottom w:val="0"/>
      <w:divBdr>
        <w:top w:val="none" w:sz="0" w:space="0" w:color="auto"/>
        <w:left w:val="none" w:sz="0" w:space="0" w:color="auto"/>
        <w:bottom w:val="none" w:sz="0" w:space="0" w:color="auto"/>
        <w:right w:val="none" w:sz="0" w:space="0" w:color="auto"/>
      </w:divBdr>
    </w:div>
    <w:div w:id="1713187106">
      <w:bodyDiv w:val="1"/>
      <w:marLeft w:val="0"/>
      <w:marRight w:val="0"/>
      <w:marTop w:val="0"/>
      <w:marBottom w:val="0"/>
      <w:divBdr>
        <w:top w:val="none" w:sz="0" w:space="0" w:color="auto"/>
        <w:left w:val="none" w:sz="0" w:space="0" w:color="auto"/>
        <w:bottom w:val="none" w:sz="0" w:space="0" w:color="auto"/>
        <w:right w:val="none" w:sz="0" w:space="0" w:color="auto"/>
      </w:divBdr>
    </w:div>
    <w:div w:id="1724712180">
      <w:bodyDiv w:val="1"/>
      <w:marLeft w:val="0"/>
      <w:marRight w:val="0"/>
      <w:marTop w:val="0"/>
      <w:marBottom w:val="0"/>
      <w:divBdr>
        <w:top w:val="none" w:sz="0" w:space="0" w:color="auto"/>
        <w:left w:val="none" w:sz="0" w:space="0" w:color="auto"/>
        <w:bottom w:val="none" w:sz="0" w:space="0" w:color="auto"/>
        <w:right w:val="none" w:sz="0" w:space="0" w:color="auto"/>
      </w:divBdr>
    </w:div>
    <w:div w:id="1725106342">
      <w:bodyDiv w:val="1"/>
      <w:marLeft w:val="0"/>
      <w:marRight w:val="0"/>
      <w:marTop w:val="0"/>
      <w:marBottom w:val="0"/>
      <w:divBdr>
        <w:top w:val="none" w:sz="0" w:space="0" w:color="auto"/>
        <w:left w:val="none" w:sz="0" w:space="0" w:color="auto"/>
        <w:bottom w:val="none" w:sz="0" w:space="0" w:color="auto"/>
        <w:right w:val="none" w:sz="0" w:space="0" w:color="auto"/>
      </w:divBdr>
    </w:div>
    <w:div w:id="1731002466">
      <w:bodyDiv w:val="1"/>
      <w:marLeft w:val="0"/>
      <w:marRight w:val="0"/>
      <w:marTop w:val="0"/>
      <w:marBottom w:val="0"/>
      <w:divBdr>
        <w:top w:val="none" w:sz="0" w:space="0" w:color="auto"/>
        <w:left w:val="none" w:sz="0" w:space="0" w:color="auto"/>
        <w:bottom w:val="none" w:sz="0" w:space="0" w:color="auto"/>
        <w:right w:val="none" w:sz="0" w:space="0" w:color="auto"/>
      </w:divBdr>
    </w:div>
    <w:div w:id="1732774647">
      <w:bodyDiv w:val="1"/>
      <w:marLeft w:val="0"/>
      <w:marRight w:val="0"/>
      <w:marTop w:val="0"/>
      <w:marBottom w:val="0"/>
      <w:divBdr>
        <w:top w:val="none" w:sz="0" w:space="0" w:color="auto"/>
        <w:left w:val="none" w:sz="0" w:space="0" w:color="auto"/>
        <w:bottom w:val="none" w:sz="0" w:space="0" w:color="auto"/>
        <w:right w:val="none" w:sz="0" w:space="0" w:color="auto"/>
      </w:divBdr>
    </w:div>
    <w:div w:id="1733238578">
      <w:bodyDiv w:val="1"/>
      <w:marLeft w:val="0"/>
      <w:marRight w:val="0"/>
      <w:marTop w:val="0"/>
      <w:marBottom w:val="0"/>
      <w:divBdr>
        <w:top w:val="none" w:sz="0" w:space="0" w:color="auto"/>
        <w:left w:val="none" w:sz="0" w:space="0" w:color="auto"/>
        <w:bottom w:val="none" w:sz="0" w:space="0" w:color="auto"/>
        <w:right w:val="none" w:sz="0" w:space="0" w:color="auto"/>
      </w:divBdr>
    </w:div>
    <w:div w:id="1738162066">
      <w:bodyDiv w:val="1"/>
      <w:marLeft w:val="0"/>
      <w:marRight w:val="0"/>
      <w:marTop w:val="0"/>
      <w:marBottom w:val="0"/>
      <w:divBdr>
        <w:top w:val="none" w:sz="0" w:space="0" w:color="auto"/>
        <w:left w:val="none" w:sz="0" w:space="0" w:color="auto"/>
        <w:bottom w:val="none" w:sz="0" w:space="0" w:color="auto"/>
        <w:right w:val="none" w:sz="0" w:space="0" w:color="auto"/>
      </w:divBdr>
    </w:div>
    <w:div w:id="1740980442">
      <w:bodyDiv w:val="1"/>
      <w:marLeft w:val="0"/>
      <w:marRight w:val="0"/>
      <w:marTop w:val="0"/>
      <w:marBottom w:val="0"/>
      <w:divBdr>
        <w:top w:val="none" w:sz="0" w:space="0" w:color="auto"/>
        <w:left w:val="none" w:sz="0" w:space="0" w:color="auto"/>
        <w:bottom w:val="none" w:sz="0" w:space="0" w:color="auto"/>
        <w:right w:val="none" w:sz="0" w:space="0" w:color="auto"/>
      </w:divBdr>
    </w:div>
    <w:div w:id="1742412173">
      <w:bodyDiv w:val="1"/>
      <w:marLeft w:val="0"/>
      <w:marRight w:val="0"/>
      <w:marTop w:val="0"/>
      <w:marBottom w:val="0"/>
      <w:divBdr>
        <w:top w:val="none" w:sz="0" w:space="0" w:color="auto"/>
        <w:left w:val="none" w:sz="0" w:space="0" w:color="auto"/>
        <w:bottom w:val="none" w:sz="0" w:space="0" w:color="auto"/>
        <w:right w:val="none" w:sz="0" w:space="0" w:color="auto"/>
      </w:divBdr>
    </w:div>
    <w:div w:id="1747877470">
      <w:bodyDiv w:val="1"/>
      <w:marLeft w:val="0"/>
      <w:marRight w:val="0"/>
      <w:marTop w:val="0"/>
      <w:marBottom w:val="0"/>
      <w:divBdr>
        <w:top w:val="none" w:sz="0" w:space="0" w:color="auto"/>
        <w:left w:val="none" w:sz="0" w:space="0" w:color="auto"/>
        <w:bottom w:val="none" w:sz="0" w:space="0" w:color="auto"/>
        <w:right w:val="none" w:sz="0" w:space="0" w:color="auto"/>
      </w:divBdr>
    </w:div>
    <w:div w:id="1754888851">
      <w:bodyDiv w:val="1"/>
      <w:marLeft w:val="0"/>
      <w:marRight w:val="0"/>
      <w:marTop w:val="0"/>
      <w:marBottom w:val="0"/>
      <w:divBdr>
        <w:top w:val="none" w:sz="0" w:space="0" w:color="auto"/>
        <w:left w:val="none" w:sz="0" w:space="0" w:color="auto"/>
        <w:bottom w:val="none" w:sz="0" w:space="0" w:color="auto"/>
        <w:right w:val="none" w:sz="0" w:space="0" w:color="auto"/>
      </w:divBdr>
    </w:div>
    <w:div w:id="1756242246">
      <w:bodyDiv w:val="1"/>
      <w:marLeft w:val="0"/>
      <w:marRight w:val="0"/>
      <w:marTop w:val="0"/>
      <w:marBottom w:val="0"/>
      <w:divBdr>
        <w:top w:val="none" w:sz="0" w:space="0" w:color="auto"/>
        <w:left w:val="none" w:sz="0" w:space="0" w:color="auto"/>
        <w:bottom w:val="none" w:sz="0" w:space="0" w:color="auto"/>
        <w:right w:val="none" w:sz="0" w:space="0" w:color="auto"/>
      </w:divBdr>
    </w:div>
    <w:div w:id="1757745262">
      <w:bodyDiv w:val="1"/>
      <w:marLeft w:val="0"/>
      <w:marRight w:val="0"/>
      <w:marTop w:val="0"/>
      <w:marBottom w:val="0"/>
      <w:divBdr>
        <w:top w:val="none" w:sz="0" w:space="0" w:color="auto"/>
        <w:left w:val="none" w:sz="0" w:space="0" w:color="auto"/>
        <w:bottom w:val="none" w:sz="0" w:space="0" w:color="auto"/>
        <w:right w:val="none" w:sz="0" w:space="0" w:color="auto"/>
      </w:divBdr>
    </w:div>
    <w:div w:id="1760982179">
      <w:bodyDiv w:val="1"/>
      <w:marLeft w:val="0"/>
      <w:marRight w:val="0"/>
      <w:marTop w:val="0"/>
      <w:marBottom w:val="0"/>
      <w:divBdr>
        <w:top w:val="none" w:sz="0" w:space="0" w:color="auto"/>
        <w:left w:val="none" w:sz="0" w:space="0" w:color="auto"/>
        <w:bottom w:val="none" w:sz="0" w:space="0" w:color="auto"/>
        <w:right w:val="none" w:sz="0" w:space="0" w:color="auto"/>
      </w:divBdr>
    </w:div>
    <w:div w:id="1768425758">
      <w:bodyDiv w:val="1"/>
      <w:marLeft w:val="0"/>
      <w:marRight w:val="0"/>
      <w:marTop w:val="0"/>
      <w:marBottom w:val="0"/>
      <w:divBdr>
        <w:top w:val="none" w:sz="0" w:space="0" w:color="auto"/>
        <w:left w:val="none" w:sz="0" w:space="0" w:color="auto"/>
        <w:bottom w:val="none" w:sz="0" w:space="0" w:color="auto"/>
        <w:right w:val="none" w:sz="0" w:space="0" w:color="auto"/>
      </w:divBdr>
    </w:div>
    <w:div w:id="1769617191">
      <w:bodyDiv w:val="1"/>
      <w:marLeft w:val="0"/>
      <w:marRight w:val="0"/>
      <w:marTop w:val="0"/>
      <w:marBottom w:val="0"/>
      <w:divBdr>
        <w:top w:val="none" w:sz="0" w:space="0" w:color="auto"/>
        <w:left w:val="none" w:sz="0" w:space="0" w:color="auto"/>
        <w:bottom w:val="none" w:sz="0" w:space="0" w:color="auto"/>
        <w:right w:val="none" w:sz="0" w:space="0" w:color="auto"/>
      </w:divBdr>
    </w:div>
    <w:div w:id="1772355891">
      <w:bodyDiv w:val="1"/>
      <w:marLeft w:val="0"/>
      <w:marRight w:val="0"/>
      <w:marTop w:val="0"/>
      <w:marBottom w:val="0"/>
      <w:divBdr>
        <w:top w:val="none" w:sz="0" w:space="0" w:color="auto"/>
        <w:left w:val="none" w:sz="0" w:space="0" w:color="auto"/>
        <w:bottom w:val="none" w:sz="0" w:space="0" w:color="auto"/>
        <w:right w:val="none" w:sz="0" w:space="0" w:color="auto"/>
      </w:divBdr>
    </w:div>
    <w:div w:id="1773471895">
      <w:bodyDiv w:val="1"/>
      <w:marLeft w:val="0"/>
      <w:marRight w:val="0"/>
      <w:marTop w:val="0"/>
      <w:marBottom w:val="0"/>
      <w:divBdr>
        <w:top w:val="none" w:sz="0" w:space="0" w:color="auto"/>
        <w:left w:val="none" w:sz="0" w:space="0" w:color="auto"/>
        <w:bottom w:val="none" w:sz="0" w:space="0" w:color="auto"/>
        <w:right w:val="none" w:sz="0" w:space="0" w:color="auto"/>
      </w:divBdr>
    </w:div>
    <w:div w:id="1787387402">
      <w:bodyDiv w:val="1"/>
      <w:marLeft w:val="0"/>
      <w:marRight w:val="0"/>
      <w:marTop w:val="0"/>
      <w:marBottom w:val="0"/>
      <w:divBdr>
        <w:top w:val="none" w:sz="0" w:space="0" w:color="auto"/>
        <w:left w:val="none" w:sz="0" w:space="0" w:color="auto"/>
        <w:bottom w:val="none" w:sz="0" w:space="0" w:color="auto"/>
        <w:right w:val="none" w:sz="0" w:space="0" w:color="auto"/>
      </w:divBdr>
    </w:div>
    <w:div w:id="1788310800">
      <w:bodyDiv w:val="1"/>
      <w:marLeft w:val="0"/>
      <w:marRight w:val="0"/>
      <w:marTop w:val="0"/>
      <w:marBottom w:val="0"/>
      <w:divBdr>
        <w:top w:val="none" w:sz="0" w:space="0" w:color="auto"/>
        <w:left w:val="none" w:sz="0" w:space="0" w:color="auto"/>
        <w:bottom w:val="none" w:sz="0" w:space="0" w:color="auto"/>
        <w:right w:val="none" w:sz="0" w:space="0" w:color="auto"/>
      </w:divBdr>
    </w:div>
    <w:div w:id="1792239815">
      <w:bodyDiv w:val="1"/>
      <w:marLeft w:val="0"/>
      <w:marRight w:val="0"/>
      <w:marTop w:val="0"/>
      <w:marBottom w:val="0"/>
      <w:divBdr>
        <w:top w:val="none" w:sz="0" w:space="0" w:color="auto"/>
        <w:left w:val="none" w:sz="0" w:space="0" w:color="auto"/>
        <w:bottom w:val="none" w:sz="0" w:space="0" w:color="auto"/>
        <w:right w:val="none" w:sz="0" w:space="0" w:color="auto"/>
      </w:divBdr>
    </w:div>
    <w:div w:id="1792283251">
      <w:bodyDiv w:val="1"/>
      <w:marLeft w:val="0"/>
      <w:marRight w:val="0"/>
      <w:marTop w:val="0"/>
      <w:marBottom w:val="0"/>
      <w:divBdr>
        <w:top w:val="none" w:sz="0" w:space="0" w:color="auto"/>
        <w:left w:val="none" w:sz="0" w:space="0" w:color="auto"/>
        <w:bottom w:val="none" w:sz="0" w:space="0" w:color="auto"/>
        <w:right w:val="none" w:sz="0" w:space="0" w:color="auto"/>
      </w:divBdr>
    </w:div>
    <w:div w:id="1793472145">
      <w:bodyDiv w:val="1"/>
      <w:marLeft w:val="0"/>
      <w:marRight w:val="0"/>
      <w:marTop w:val="0"/>
      <w:marBottom w:val="0"/>
      <w:divBdr>
        <w:top w:val="none" w:sz="0" w:space="0" w:color="auto"/>
        <w:left w:val="none" w:sz="0" w:space="0" w:color="auto"/>
        <w:bottom w:val="none" w:sz="0" w:space="0" w:color="auto"/>
        <w:right w:val="none" w:sz="0" w:space="0" w:color="auto"/>
      </w:divBdr>
    </w:div>
    <w:div w:id="1794980472">
      <w:bodyDiv w:val="1"/>
      <w:marLeft w:val="0"/>
      <w:marRight w:val="0"/>
      <w:marTop w:val="0"/>
      <w:marBottom w:val="0"/>
      <w:divBdr>
        <w:top w:val="none" w:sz="0" w:space="0" w:color="auto"/>
        <w:left w:val="none" w:sz="0" w:space="0" w:color="auto"/>
        <w:bottom w:val="none" w:sz="0" w:space="0" w:color="auto"/>
        <w:right w:val="none" w:sz="0" w:space="0" w:color="auto"/>
      </w:divBdr>
    </w:div>
    <w:div w:id="1801068359">
      <w:bodyDiv w:val="1"/>
      <w:marLeft w:val="0"/>
      <w:marRight w:val="0"/>
      <w:marTop w:val="0"/>
      <w:marBottom w:val="0"/>
      <w:divBdr>
        <w:top w:val="none" w:sz="0" w:space="0" w:color="auto"/>
        <w:left w:val="none" w:sz="0" w:space="0" w:color="auto"/>
        <w:bottom w:val="none" w:sz="0" w:space="0" w:color="auto"/>
        <w:right w:val="none" w:sz="0" w:space="0" w:color="auto"/>
      </w:divBdr>
    </w:div>
    <w:div w:id="1809787053">
      <w:bodyDiv w:val="1"/>
      <w:marLeft w:val="0"/>
      <w:marRight w:val="0"/>
      <w:marTop w:val="0"/>
      <w:marBottom w:val="0"/>
      <w:divBdr>
        <w:top w:val="none" w:sz="0" w:space="0" w:color="auto"/>
        <w:left w:val="none" w:sz="0" w:space="0" w:color="auto"/>
        <w:bottom w:val="none" w:sz="0" w:space="0" w:color="auto"/>
        <w:right w:val="none" w:sz="0" w:space="0" w:color="auto"/>
      </w:divBdr>
    </w:div>
    <w:div w:id="1811703039">
      <w:bodyDiv w:val="1"/>
      <w:marLeft w:val="0"/>
      <w:marRight w:val="0"/>
      <w:marTop w:val="0"/>
      <w:marBottom w:val="0"/>
      <w:divBdr>
        <w:top w:val="none" w:sz="0" w:space="0" w:color="auto"/>
        <w:left w:val="none" w:sz="0" w:space="0" w:color="auto"/>
        <w:bottom w:val="none" w:sz="0" w:space="0" w:color="auto"/>
        <w:right w:val="none" w:sz="0" w:space="0" w:color="auto"/>
      </w:divBdr>
    </w:div>
    <w:div w:id="1818256632">
      <w:bodyDiv w:val="1"/>
      <w:marLeft w:val="0"/>
      <w:marRight w:val="0"/>
      <w:marTop w:val="0"/>
      <w:marBottom w:val="0"/>
      <w:divBdr>
        <w:top w:val="none" w:sz="0" w:space="0" w:color="auto"/>
        <w:left w:val="none" w:sz="0" w:space="0" w:color="auto"/>
        <w:bottom w:val="none" w:sz="0" w:space="0" w:color="auto"/>
        <w:right w:val="none" w:sz="0" w:space="0" w:color="auto"/>
      </w:divBdr>
    </w:div>
    <w:div w:id="1836534524">
      <w:bodyDiv w:val="1"/>
      <w:marLeft w:val="0"/>
      <w:marRight w:val="0"/>
      <w:marTop w:val="0"/>
      <w:marBottom w:val="0"/>
      <w:divBdr>
        <w:top w:val="none" w:sz="0" w:space="0" w:color="auto"/>
        <w:left w:val="none" w:sz="0" w:space="0" w:color="auto"/>
        <w:bottom w:val="none" w:sz="0" w:space="0" w:color="auto"/>
        <w:right w:val="none" w:sz="0" w:space="0" w:color="auto"/>
      </w:divBdr>
    </w:div>
    <w:div w:id="1840195451">
      <w:bodyDiv w:val="1"/>
      <w:marLeft w:val="0"/>
      <w:marRight w:val="0"/>
      <w:marTop w:val="0"/>
      <w:marBottom w:val="0"/>
      <w:divBdr>
        <w:top w:val="none" w:sz="0" w:space="0" w:color="auto"/>
        <w:left w:val="none" w:sz="0" w:space="0" w:color="auto"/>
        <w:bottom w:val="none" w:sz="0" w:space="0" w:color="auto"/>
        <w:right w:val="none" w:sz="0" w:space="0" w:color="auto"/>
      </w:divBdr>
    </w:div>
    <w:div w:id="1849174047">
      <w:bodyDiv w:val="1"/>
      <w:marLeft w:val="0"/>
      <w:marRight w:val="0"/>
      <w:marTop w:val="0"/>
      <w:marBottom w:val="0"/>
      <w:divBdr>
        <w:top w:val="none" w:sz="0" w:space="0" w:color="auto"/>
        <w:left w:val="none" w:sz="0" w:space="0" w:color="auto"/>
        <w:bottom w:val="none" w:sz="0" w:space="0" w:color="auto"/>
        <w:right w:val="none" w:sz="0" w:space="0" w:color="auto"/>
      </w:divBdr>
    </w:div>
    <w:div w:id="1849827292">
      <w:bodyDiv w:val="1"/>
      <w:marLeft w:val="0"/>
      <w:marRight w:val="0"/>
      <w:marTop w:val="0"/>
      <w:marBottom w:val="0"/>
      <w:divBdr>
        <w:top w:val="none" w:sz="0" w:space="0" w:color="auto"/>
        <w:left w:val="none" w:sz="0" w:space="0" w:color="auto"/>
        <w:bottom w:val="none" w:sz="0" w:space="0" w:color="auto"/>
        <w:right w:val="none" w:sz="0" w:space="0" w:color="auto"/>
      </w:divBdr>
    </w:div>
    <w:div w:id="1850681217">
      <w:bodyDiv w:val="1"/>
      <w:marLeft w:val="0"/>
      <w:marRight w:val="0"/>
      <w:marTop w:val="0"/>
      <w:marBottom w:val="0"/>
      <w:divBdr>
        <w:top w:val="none" w:sz="0" w:space="0" w:color="auto"/>
        <w:left w:val="none" w:sz="0" w:space="0" w:color="auto"/>
        <w:bottom w:val="none" w:sz="0" w:space="0" w:color="auto"/>
        <w:right w:val="none" w:sz="0" w:space="0" w:color="auto"/>
      </w:divBdr>
    </w:div>
    <w:div w:id="1856769584">
      <w:bodyDiv w:val="1"/>
      <w:marLeft w:val="0"/>
      <w:marRight w:val="0"/>
      <w:marTop w:val="0"/>
      <w:marBottom w:val="0"/>
      <w:divBdr>
        <w:top w:val="none" w:sz="0" w:space="0" w:color="auto"/>
        <w:left w:val="none" w:sz="0" w:space="0" w:color="auto"/>
        <w:bottom w:val="none" w:sz="0" w:space="0" w:color="auto"/>
        <w:right w:val="none" w:sz="0" w:space="0" w:color="auto"/>
      </w:divBdr>
    </w:div>
    <w:div w:id="1856924530">
      <w:bodyDiv w:val="1"/>
      <w:marLeft w:val="0"/>
      <w:marRight w:val="0"/>
      <w:marTop w:val="0"/>
      <w:marBottom w:val="0"/>
      <w:divBdr>
        <w:top w:val="none" w:sz="0" w:space="0" w:color="auto"/>
        <w:left w:val="none" w:sz="0" w:space="0" w:color="auto"/>
        <w:bottom w:val="none" w:sz="0" w:space="0" w:color="auto"/>
        <w:right w:val="none" w:sz="0" w:space="0" w:color="auto"/>
      </w:divBdr>
    </w:div>
    <w:div w:id="1859847948">
      <w:bodyDiv w:val="1"/>
      <w:marLeft w:val="0"/>
      <w:marRight w:val="0"/>
      <w:marTop w:val="0"/>
      <w:marBottom w:val="0"/>
      <w:divBdr>
        <w:top w:val="none" w:sz="0" w:space="0" w:color="auto"/>
        <w:left w:val="none" w:sz="0" w:space="0" w:color="auto"/>
        <w:bottom w:val="none" w:sz="0" w:space="0" w:color="auto"/>
        <w:right w:val="none" w:sz="0" w:space="0" w:color="auto"/>
      </w:divBdr>
    </w:div>
    <w:div w:id="1868104164">
      <w:bodyDiv w:val="1"/>
      <w:marLeft w:val="0"/>
      <w:marRight w:val="0"/>
      <w:marTop w:val="0"/>
      <w:marBottom w:val="0"/>
      <w:divBdr>
        <w:top w:val="none" w:sz="0" w:space="0" w:color="auto"/>
        <w:left w:val="none" w:sz="0" w:space="0" w:color="auto"/>
        <w:bottom w:val="none" w:sz="0" w:space="0" w:color="auto"/>
        <w:right w:val="none" w:sz="0" w:space="0" w:color="auto"/>
      </w:divBdr>
    </w:div>
    <w:div w:id="1873954315">
      <w:bodyDiv w:val="1"/>
      <w:marLeft w:val="0"/>
      <w:marRight w:val="0"/>
      <w:marTop w:val="0"/>
      <w:marBottom w:val="0"/>
      <w:divBdr>
        <w:top w:val="none" w:sz="0" w:space="0" w:color="auto"/>
        <w:left w:val="none" w:sz="0" w:space="0" w:color="auto"/>
        <w:bottom w:val="none" w:sz="0" w:space="0" w:color="auto"/>
        <w:right w:val="none" w:sz="0" w:space="0" w:color="auto"/>
      </w:divBdr>
    </w:div>
    <w:div w:id="1874808265">
      <w:bodyDiv w:val="1"/>
      <w:marLeft w:val="0"/>
      <w:marRight w:val="0"/>
      <w:marTop w:val="0"/>
      <w:marBottom w:val="0"/>
      <w:divBdr>
        <w:top w:val="none" w:sz="0" w:space="0" w:color="auto"/>
        <w:left w:val="none" w:sz="0" w:space="0" w:color="auto"/>
        <w:bottom w:val="none" w:sz="0" w:space="0" w:color="auto"/>
        <w:right w:val="none" w:sz="0" w:space="0" w:color="auto"/>
      </w:divBdr>
    </w:div>
    <w:div w:id="1875536436">
      <w:bodyDiv w:val="1"/>
      <w:marLeft w:val="0"/>
      <w:marRight w:val="0"/>
      <w:marTop w:val="0"/>
      <w:marBottom w:val="0"/>
      <w:divBdr>
        <w:top w:val="none" w:sz="0" w:space="0" w:color="auto"/>
        <w:left w:val="none" w:sz="0" w:space="0" w:color="auto"/>
        <w:bottom w:val="none" w:sz="0" w:space="0" w:color="auto"/>
        <w:right w:val="none" w:sz="0" w:space="0" w:color="auto"/>
      </w:divBdr>
    </w:div>
    <w:div w:id="1876458416">
      <w:bodyDiv w:val="1"/>
      <w:marLeft w:val="0"/>
      <w:marRight w:val="0"/>
      <w:marTop w:val="0"/>
      <w:marBottom w:val="0"/>
      <w:divBdr>
        <w:top w:val="none" w:sz="0" w:space="0" w:color="auto"/>
        <w:left w:val="none" w:sz="0" w:space="0" w:color="auto"/>
        <w:bottom w:val="none" w:sz="0" w:space="0" w:color="auto"/>
        <w:right w:val="none" w:sz="0" w:space="0" w:color="auto"/>
      </w:divBdr>
    </w:div>
    <w:div w:id="1877083517">
      <w:bodyDiv w:val="1"/>
      <w:marLeft w:val="0"/>
      <w:marRight w:val="0"/>
      <w:marTop w:val="0"/>
      <w:marBottom w:val="0"/>
      <w:divBdr>
        <w:top w:val="none" w:sz="0" w:space="0" w:color="auto"/>
        <w:left w:val="none" w:sz="0" w:space="0" w:color="auto"/>
        <w:bottom w:val="none" w:sz="0" w:space="0" w:color="auto"/>
        <w:right w:val="none" w:sz="0" w:space="0" w:color="auto"/>
      </w:divBdr>
    </w:div>
    <w:div w:id="1882328006">
      <w:bodyDiv w:val="1"/>
      <w:marLeft w:val="0"/>
      <w:marRight w:val="0"/>
      <w:marTop w:val="0"/>
      <w:marBottom w:val="0"/>
      <w:divBdr>
        <w:top w:val="none" w:sz="0" w:space="0" w:color="auto"/>
        <w:left w:val="none" w:sz="0" w:space="0" w:color="auto"/>
        <w:bottom w:val="none" w:sz="0" w:space="0" w:color="auto"/>
        <w:right w:val="none" w:sz="0" w:space="0" w:color="auto"/>
      </w:divBdr>
    </w:div>
    <w:div w:id="1884710532">
      <w:bodyDiv w:val="1"/>
      <w:marLeft w:val="0"/>
      <w:marRight w:val="0"/>
      <w:marTop w:val="0"/>
      <w:marBottom w:val="0"/>
      <w:divBdr>
        <w:top w:val="none" w:sz="0" w:space="0" w:color="auto"/>
        <w:left w:val="none" w:sz="0" w:space="0" w:color="auto"/>
        <w:bottom w:val="none" w:sz="0" w:space="0" w:color="auto"/>
        <w:right w:val="none" w:sz="0" w:space="0" w:color="auto"/>
      </w:divBdr>
    </w:div>
    <w:div w:id="1889491102">
      <w:bodyDiv w:val="1"/>
      <w:marLeft w:val="0"/>
      <w:marRight w:val="0"/>
      <w:marTop w:val="0"/>
      <w:marBottom w:val="0"/>
      <w:divBdr>
        <w:top w:val="none" w:sz="0" w:space="0" w:color="auto"/>
        <w:left w:val="none" w:sz="0" w:space="0" w:color="auto"/>
        <w:bottom w:val="none" w:sz="0" w:space="0" w:color="auto"/>
        <w:right w:val="none" w:sz="0" w:space="0" w:color="auto"/>
      </w:divBdr>
    </w:div>
    <w:div w:id="1890410728">
      <w:bodyDiv w:val="1"/>
      <w:marLeft w:val="0"/>
      <w:marRight w:val="0"/>
      <w:marTop w:val="0"/>
      <w:marBottom w:val="0"/>
      <w:divBdr>
        <w:top w:val="none" w:sz="0" w:space="0" w:color="auto"/>
        <w:left w:val="none" w:sz="0" w:space="0" w:color="auto"/>
        <w:bottom w:val="none" w:sz="0" w:space="0" w:color="auto"/>
        <w:right w:val="none" w:sz="0" w:space="0" w:color="auto"/>
      </w:divBdr>
    </w:div>
    <w:div w:id="1891064745">
      <w:bodyDiv w:val="1"/>
      <w:marLeft w:val="0"/>
      <w:marRight w:val="0"/>
      <w:marTop w:val="0"/>
      <w:marBottom w:val="0"/>
      <w:divBdr>
        <w:top w:val="none" w:sz="0" w:space="0" w:color="auto"/>
        <w:left w:val="none" w:sz="0" w:space="0" w:color="auto"/>
        <w:bottom w:val="none" w:sz="0" w:space="0" w:color="auto"/>
        <w:right w:val="none" w:sz="0" w:space="0" w:color="auto"/>
      </w:divBdr>
    </w:div>
    <w:div w:id="1891963396">
      <w:bodyDiv w:val="1"/>
      <w:marLeft w:val="0"/>
      <w:marRight w:val="0"/>
      <w:marTop w:val="0"/>
      <w:marBottom w:val="0"/>
      <w:divBdr>
        <w:top w:val="none" w:sz="0" w:space="0" w:color="auto"/>
        <w:left w:val="none" w:sz="0" w:space="0" w:color="auto"/>
        <w:bottom w:val="none" w:sz="0" w:space="0" w:color="auto"/>
        <w:right w:val="none" w:sz="0" w:space="0" w:color="auto"/>
      </w:divBdr>
    </w:div>
    <w:div w:id="1896819855">
      <w:bodyDiv w:val="1"/>
      <w:marLeft w:val="0"/>
      <w:marRight w:val="0"/>
      <w:marTop w:val="0"/>
      <w:marBottom w:val="0"/>
      <w:divBdr>
        <w:top w:val="none" w:sz="0" w:space="0" w:color="auto"/>
        <w:left w:val="none" w:sz="0" w:space="0" w:color="auto"/>
        <w:bottom w:val="none" w:sz="0" w:space="0" w:color="auto"/>
        <w:right w:val="none" w:sz="0" w:space="0" w:color="auto"/>
      </w:divBdr>
    </w:div>
    <w:div w:id="1905871462">
      <w:bodyDiv w:val="1"/>
      <w:marLeft w:val="0"/>
      <w:marRight w:val="0"/>
      <w:marTop w:val="0"/>
      <w:marBottom w:val="0"/>
      <w:divBdr>
        <w:top w:val="none" w:sz="0" w:space="0" w:color="auto"/>
        <w:left w:val="none" w:sz="0" w:space="0" w:color="auto"/>
        <w:bottom w:val="none" w:sz="0" w:space="0" w:color="auto"/>
        <w:right w:val="none" w:sz="0" w:space="0" w:color="auto"/>
      </w:divBdr>
    </w:div>
    <w:div w:id="1907297072">
      <w:bodyDiv w:val="1"/>
      <w:marLeft w:val="0"/>
      <w:marRight w:val="0"/>
      <w:marTop w:val="0"/>
      <w:marBottom w:val="0"/>
      <w:divBdr>
        <w:top w:val="none" w:sz="0" w:space="0" w:color="auto"/>
        <w:left w:val="none" w:sz="0" w:space="0" w:color="auto"/>
        <w:bottom w:val="none" w:sz="0" w:space="0" w:color="auto"/>
        <w:right w:val="none" w:sz="0" w:space="0" w:color="auto"/>
      </w:divBdr>
    </w:div>
    <w:div w:id="1911037090">
      <w:bodyDiv w:val="1"/>
      <w:marLeft w:val="0"/>
      <w:marRight w:val="0"/>
      <w:marTop w:val="0"/>
      <w:marBottom w:val="0"/>
      <w:divBdr>
        <w:top w:val="none" w:sz="0" w:space="0" w:color="auto"/>
        <w:left w:val="none" w:sz="0" w:space="0" w:color="auto"/>
        <w:bottom w:val="none" w:sz="0" w:space="0" w:color="auto"/>
        <w:right w:val="none" w:sz="0" w:space="0" w:color="auto"/>
      </w:divBdr>
    </w:div>
    <w:div w:id="1911691118">
      <w:bodyDiv w:val="1"/>
      <w:marLeft w:val="0"/>
      <w:marRight w:val="0"/>
      <w:marTop w:val="0"/>
      <w:marBottom w:val="0"/>
      <w:divBdr>
        <w:top w:val="none" w:sz="0" w:space="0" w:color="auto"/>
        <w:left w:val="none" w:sz="0" w:space="0" w:color="auto"/>
        <w:bottom w:val="none" w:sz="0" w:space="0" w:color="auto"/>
        <w:right w:val="none" w:sz="0" w:space="0" w:color="auto"/>
      </w:divBdr>
    </w:div>
    <w:div w:id="1915774600">
      <w:bodyDiv w:val="1"/>
      <w:marLeft w:val="0"/>
      <w:marRight w:val="0"/>
      <w:marTop w:val="0"/>
      <w:marBottom w:val="0"/>
      <w:divBdr>
        <w:top w:val="none" w:sz="0" w:space="0" w:color="auto"/>
        <w:left w:val="none" w:sz="0" w:space="0" w:color="auto"/>
        <w:bottom w:val="none" w:sz="0" w:space="0" w:color="auto"/>
        <w:right w:val="none" w:sz="0" w:space="0" w:color="auto"/>
      </w:divBdr>
    </w:div>
    <w:div w:id="1926843700">
      <w:bodyDiv w:val="1"/>
      <w:marLeft w:val="0"/>
      <w:marRight w:val="0"/>
      <w:marTop w:val="0"/>
      <w:marBottom w:val="0"/>
      <w:divBdr>
        <w:top w:val="none" w:sz="0" w:space="0" w:color="auto"/>
        <w:left w:val="none" w:sz="0" w:space="0" w:color="auto"/>
        <w:bottom w:val="none" w:sz="0" w:space="0" w:color="auto"/>
        <w:right w:val="none" w:sz="0" w:space="0" w:color="auto"/>
      </w:divBdr>
    </w:div>
    <w:div w:id="1927763525">
      <w:bodyDiv w:val="1"/>
      <w:marLeft w:val="0"/>
      <w:marRight w:val="0"/>
      <w:marTop w:val="0"/>
      <w:marBottom w:val="0"/>
      <w:divBdr>
        <w:top w:val="none" w:sz="0" w:space="0" w:color="auto"/>
        <w:left w:val="none" w:sz="0" w:space="0" w:color="auto"/>
        <w:bottom w:val="none" w:sz="0" w:space="0" w:color="auto"/>
        <w:right w:val="none" w:sz="0" w:space="0" w:color="auto"/>
      </w:divBdr>
    </w:div>
    <w:div w:id="1929729673">
      <w:bodyDiv w:val="1"/>
      <w:marLeft w:val="0"/>
      <w:marRight w:val="0"/>
      <w:marTop w:val="0"/>
      <w:marBottom w:val="0"/>
      <w:divBdr>
        <w:top w:val="none" w:sz="0" w:space="0" w:color="auto"/>
        <w:left w:val="none" w:sz="0" w:space="0" w:color="auto"/>
        <w:bottom w:val="none" w:sz="0" w:space="0" w:color="auto"/>
        <w:right w:val="none" w:sz="0" w:space="0" w:color="auto"/>
      </w:divBdr>
    </w:div>
    <w:div w:id="1934851428">
      <w:bodyDiv w:val="1"/>
      <w:marLeft w:val="0"/>
      <w:marRight w:val="0"/>
      <w:marTop w:val="0"/>
      <w:marBottom w:val="0"/>
      <w:divBdr>
        <w:top w:val="none" w:sz="0" w:space="0" w:color="auto"/>
        <w:left w:val="none" w:sz="0" w:space="0" w:color="auto"/>
        <w:bottom w:val="none" w:sz="0" w:space="0" w:color="auto"/>
        <w:right w:val="none" w:sz="0" w:space="0" w:color="auto"/>
      </w:divBdr>
    </w:div>
    <w:div w:id="1937858886">
      <w:bodyDiv w:val="1"/>
      <w:marLeft w:val="0"/>
      <w:marRight w:val="0"/>
      <w:marTop w:val="0"/>
      <w:marBottom w:val="0"/>
      <w:divBdr>
        <w:top w:val="none" w:sz="0" w:space="0" w:color="auto"/>
        <w:left w:val="none" w:sz="0" w:space="0" w:color="auto"/>
        <w:bottom w:val="none" w:sz="0" w:space="0" w:color="auto"/>
        <w:right w:val="none" w:sz="0" w:space="0" w:color="auto"/>
      </w:divBdr>
    </w:div>
    <w:div w:id="1938555837">
      <w:bodyDiv w:val="1"/>
      <w:marLeft w:val="0"/>
      <w:marRight w:val="0"/>
      <w:marTop w:val="0"/>
      <w:marBottom w:val="0"/>
      <w:divBdr>
        <w:top w:val="none" w:sz="0" w:space="0" w:color="auto"/>
        <w:left w:val="none" w:sz="0" w:space="0" w:color="auto"/>
        <w:bottom w:val="none" w:sz="0" w:space="0" w:color="auto"/>
        <w:right w:val="none" w:sz="0" w:space="0" w:color="auto"/>
      </w:divBdr>
    </w:div>
    <w:div w:id="1941405667">
      <w:bodyDiv w:val="1"/>
      <w:marLeft w:val="0"/>
      <w:marRight w:val="0"/>
      <w:marTop w:val="0"/>
      <w:marBottom w:val="0"/>
      <w:divBdr>
        <w:top w:val="none" w:sz="0" w:space="0" w:color="auto"/>
        <w:left w:val="none" w:sz="0" w:space="0" w:color="auto"/>
        <w:bottom w:val="none" w:sz="0" w:space="0" w:color="auto"/>
        <w:right w:val="none" w:sz="0" w:space="0" w:color="auto"/>
      </w:divBdr>
    </w:div>
    <w:div w:id="1943147073">
      <w:bodyDiv w:val="1"/>
      <w:marLeft w:val="0"/>
      <w:marRight w:val="0"/>
      <w:marTop w:val="0"/>
      <w:marBottom w:val="0"/>
      <w:divBdr>
        <w:top w:val="none" w:sz="0" w:space="0" w:color="auto"/>
        <w:left w:val="none" w:sz="0" w:space="0" w:color="auto"/>
        <w:bottom w:val="none" w:sz="0" w:space="0" w:color="auto"/>
        <w:right w:val="none" w:sz="0" w:space="0" w:color="auto"/>
      </w:divBdr>
    </w:div>
    <w:div w:id="1948996850">
      <w:bodyDiv w:val="1"/>
      <w:marLeft w:val="0"/>
      <w:marRight w:val="0"/>
      <w:marTop w:val="0"/>
      <w:marBottom w:val="0"/>
      <w:divBdr>
        <w:top w:val="none" w:sz="0" w:space="0" w:color="auto"/>
        <w:left w:val="none" w:sz="0" w:space="0" w:color="auto"/>
        <w:bottom w:val="none" w:sz="0" w:space="0" w:color="auto"/>
        <w:right w:val="none" w:sz="0" w:space="0" w:color="auto"/>
      </w:divBdr>
    </w:div>
    <w:div w:id="1952400290">
      <w:bodyDiv w:val="1"/>
      <w:marLeft w:val="0"/>
      <w:marRight w:val="0"/>
      <w:marTop w:val="0"/>
      <w:marBottom w:val="0"/>
      <w:divBdr>
        <w:top w:val="none" w:sz="0" w:space="0" w:color="auto"/>
        <w:left w:val="none" w:sz="0" w:space="0" w:color="auto"/>
        <w:bottom w:val="none" w:sz="0" w:space="0" w:color="auto"/>
        <w:right w:val="none" w:sz="0" w:space="0" w:color="auto"/>
      </w:divBdr>
    </w:div>
    <w:div w:id="1952589647">
      <w:bodyDiv w:val="1"/>
      <w:marLeft w:val="0"/>
      <w:marRight w:val="0"/>
      <w:marTop w:val="0"/>
      <w:marBottom w:val="0"/>
      <w:divBdr>
        <w:top w:val="none" w:sz="0" w:space="0" w:color="auto"/>
        <w:left w:val="none" w:sz="0" w:space="0" w:color="auto"/>
        <w:bottom w:val="none" w:sz="0" w:space="0" w:color="auto"/>
        <w:right w:val="none" w:sz="0" w:space="0" w:color="auto"/>
      </w:divBdr>
    </w:div>
    <w:div w:id="1961834127">
      <w:bodyDiv w:val="1"/>
      <w:marLeft w:val="0"/>
      <w:marRight w:val="0"/>
      <w:marTop w:val="0"/>
      <w:marBottom w:val="0"/>
      <w:divBdr>
        <w:top w:val="none" w:sz="0" w:space="0" w:color="auto"/>
        <w:left w:val="none" w:sz="0" w:space="0" w:color="auto"/>
        <w:bottom w:val="none" w:sz="0" w:space="0" w:color="auto"/>
        <w:right w:val="none" w:sz="0" w:space="0" w:color="auto"/>
      </w:divBdr>
    </w:div>
    <w:div w:id="1966695256">
      <w:bodyDiv w:val="1"/>
      <w:marLeft w:val="0"/>
      <w:marRight w:val="0"/>
      <w:marTop w:val="0"/>
      <w:marBottom w:val="0"/>
      <w:divBdr>
        <w:top w:val="none" w:sz="0" w:space="0" w:color="auto"/>
        <w:left w:val="none" w:sz="0" w:space="0" w:color="auto"/>
        <w:bottom w:val="none" w:sz="0" w:space="0" w:color="auto"/>
        <w:right w:val="none" w:sz="0" w:space="0" w:color="auto"/>
      </w:divBdr>
    </w:div>
    <w:div w:id="1968853132">
      <w:bodyDiv w:val="1"/>
      <w:marLeft w:val="0"/>
      <w:marRight w:val="0"/>
      <w:marTop w:val="0"/>
      <w:marBottom w:val="0"/>
      <w:divBdr>
        <w:top w:val="none" w:sz="0" w:space="0" w:color="auto"/>
        <w:left w:val="none" w:sz="0" w:space="0" w:color="auto"/>
        <w:bottom w:val="none" w:sz="0" w:space="0" w:color="auto"/>
        <w:right w:val="none" w:sz="0" w:space="0" w:color="auto"/>
      </w:divBdr>
    </w:div>
    <w:div w:id="1969043376">
      <w:bodyDiv w:val="1"/>
      <w:marLeft w:val="0"/>
      <w:marRight w:val="0"/>
      <w:marTop w:val="0"/>
      <w:marBottom w:val="0"/>
      <w:divBdr>
        <w:top w:val="none" w:sz="0" w:space="0" w:color="auto"/>
        <w:left w:val="none" w:sz="0" w:space="0" w:color="auto"/>
        <w:bottom w:val="none" w:sz="0" w:space="0" w:color="auto"/>
        <w:right w:val="none" w:sz="0" w:space="0" w:color="auto"/>
      </w:divBdr>
    </w:div>
    <w:div w:id="1971086819">
      <w:bodyDiv w:val="1"/>
      <w:marLeft w:val="0"/>
      <w:marRight w:val="0"/>
      <w:marTop w:val="0"/>
      <w:marBottom w:val="0"/>
      <w:divBdr>
        <w:top w:val="none" w:sz="0" w:space="0" w:color="auto"/>
        <w:left w:val="none" w:sz="0" w:space="0" w:color="auto"/>
        <w:bottom w:val="none" w:sz="0" w:space="0" w:color="auto"/>
        <w:right w:val="none" w:sz="0" w:space="0" w:color="auto"/>
      </w:divBdr>
    </w:div>
    <w:div w:id="1972442150">
      <w:bodyDiv w:val="1"/>
      <w:marLeft w:val="0"/>
      <w:marRight w:val="0"/>
      <w:marTop w:val="0"/>
      <w:marBottom w:val="0"/>
      <w:divBdr>
        <w:top w:val="none" w:sz="0" w:space="0" w:color="auto"/>
        <w:left w:val="none" w:sz="0" w:space="0" w:color="auto"/>
        <w:bottom w:val="none" w:sz="0" w:space="0" w:color="auto"/>
        <w:right w:val="none" w:sz="0" w:space="0" w:color="auto"/>
      </w:divBdr>
    </w:div>
    <w:div w:id="1976763442">
      <w:bodyDiv w:val="1"/>
      <w:marLeft w:val="0"/>
      <w:marRight w:val="0"/>
      <w:marTop w:val="0"/>
      <w:marBottom w:val="0"/>
      <w:divBdr>
        <w:top w:val="none" w:sz="0" w:space="0" w:color="auto"/>
        <w:left w:val="none" w:sz="0" w:space="0" w:color="auto"/>
        <w:bottom w:val="none" w:sz="0" w:space="0" w:color="auto"/>
        <w:right w:val="none" w:sz="0" w:space="0" w:color="auto"/>
      </w:divBdr>
    </w:div>
    <w:div w:id="1989048996">
      <w:bodyDiv w:val="1"/>
      <w:marLeft w:val="0"/>
      <w:marRight w:val="0"/>
      <w:marTop w:val="0"/>
      <w:marBottom w:val="0"/>
      <w:divBdr>
        <w:top w:val="none" w:sz="0" w:space="0" w:color="auto"/>
        <w:left w:val="none" w:sz="0" w:space="0" w:color="auto"/>
        <w:bottom w:val="none" w:sz="0" w:space="0" w:color="auto"/>
        <w:right w:val="none" w:sz="0" w:space="0" w:color="auto"/>
      </w:divBdr>
    </w:div>
    <w:div w:id="1990939157">
      <w:bodyDiv w:val="1"/>
      <w:marLeft w:val="0"/>
      <w:marRight w:val="0"/>
      <w:marTop w:val="0"/>
      <w:marBottom w:val="0"/>
      <w:divBdr>
        <w:top w:val="none" w:sz="0" w:space="0" w:color="auto"/>
        <w:left w:val="none" w:sz="0" w:space="0" w:color="auto"/>
        <w:bottom w:val="none" w:sz="0" w:space="0" w:color="auto"/>
        <w:right w:val="none" w:sz="0" w:space="0" w:color="auto"/>
      </w:divBdr>
    </w:div>
    <w:div w:id="1993868838">
      <w:bodyDiv w:val="1"/>
      <w:marLeft w:val="0"/>
      <w:marRight w:val="0"/>
      <w:marTop w:val="0"/>
      <w:marBottom w:val="0"/>
      <w:divBdr>
        <w:top w:val="none" w:sz="0" w:space="0" w:color="auto"/>
        <w:left w:val="none" w:sz="0" w:space="0" w:color="auto"/>
        <w:bottom w:val="none" w:sz="0" w:space="0" w:color="auto"/>
        <w:right w:val="none" w:sz="0" w:space="0" w:color="auto"/>
      </w:divBdr>
    </w:div>
    <w:div w:id="1994983340">
      <w:bodyDiv w:val="1"/>
      <w:marLeft w:val="0"/>
      <w:marRight w:val="0"/>
      <w:marTop w:val="0"/>
      <w:marBottom w:val="0"/>
      <w:divBdr>
        <w:top w:val="none" w:sz="0" w:space="0" w:color="auto"/>
        <w:left w:val="none" w:sz="0" w:space="0" w:color="auto"/>
        <w:bottom w:val="none" w:sz="0" w:space="0" w:color="auto"/>
        <w:right w:val="none" w:sz="0" w:space="0" w:color="auto"/>
      </w:divBdr>
    </w:div>
    <w:div w:id="1999574667">
      <w:bodyDiv w:val="1"/>
      <w:marLeft w:val="0"/>
      <w:marRight w:val="0"/>
      <w:marTop w:val="0"/>
      <w:marBottom w:val="0"/>
      <w:divBdr>
        <w:top w:val="none" w:sz="0" w:space="0" w:color="auto"/>
        <w:left w:val="none" w:sz="0" w:space="0" w:color="auto"/>
        <w:bottom w:val="none" w:sz="0" w:space="0" w:color="auto"/>
        <w:right w:val="none" w:sz="0" w:space="0" w:color="auto"/>
      </w:divBdr>
    </w:div>
    <w:div w:id="1999729718">
      <w:bodyDiv w:val="1"/>
      <w:marLeft w:val="0"/>
      <w:marRight w:val="0"/>
      <w:marTop w:val="0"/>
      <w:marBottom w:val="0"/>
      <w:divBdr>
        <w:top w:val="none" w:sz="0" w:space="0" w:color="auto"/>
        <w:left w:val="none" w:sz="0" w:space="0" w:color="auto"/>
        <w:bottom w:val="none" w:sz="0" w:space="0" w:color="auto"/>
        <w:right w:val="none" w:sz="0" w:space="0" w:color="auto"/>
      </w:divBdr>
    </w:div>
    <w:div w:id="1999840400">
      <w:bodyDiv w:val="1"/>
      <w:marLeft w:val="0"/>
      <w:marRight w:val="0"/>
      <w:marTop w:val="0"/>
      <w:marBottom w:val="0"/>
      <w:divBdr>
        <w:top w:val="none" w:sz="0" w:space="0" w:color="auto"/>
        <w:left w:val="none" w:sz="0" w:space="0" w:color="auto"/>
        <w:bottom w:val="none" w:sz="0" w:space="0" w:color="auto"/>
        <w:right w:val="none" w:sz="0" w:space="0" w:color="auto"/>
      </w:divBdr>
    </w:div>
    <w:div w:id="2001157516">
      <w:bodyDiv w:val="1"/>
      <w:marLeft w:val="0"/>
      <w:marRight w:val="0"/>
      <w:marTop w:val="0"/>
      <w:marBottom w:val="0"/>
      <w:divBdr>
        <w:top w:val="none" w:sz="0" w:space="0" w:color="auto"/>
        <w:left w:val="none" w:sz="0" w:space="0" w:color="auto"/>
        <w:bottom w:val="none" w:sz="0" w:space="0" w:color="auto"/>
        <w:right w:val="none" w:sz="0" w:space="0" w:color="auto"/>
      </w:divBdr>
    </w:div>
    <w:div w:id="2013145830">
      <w:bodyDiv w:val="1"/>
      <w:marLeft w:val="0"/>
      <w:marRight w:val="0"/>
      <w:marTop w:val="0"/>
      <w:marBottom w:val="0"/>
      <w:divBdr>
        <w:top w:val="none" w:sz="0" w:space="0" w:color="auto"/>
        <w:left w:val="none" w:sz="0" w:space="0" w:color="auto"/>
        <w:bottom w:val="none" w:sz="0" w:space="0" w:color="auto"/>
        <w:right w:val="none" w:sz="0" w:space="0" w:color="auto"/>
      </w:divBdr>
    </w:div>
    <w:div w:id="2017925521">
      <w:bodyDiv w:val="1"/>
      <w:marLeft w:val="0"/>
      <w:marRight w:val="0"/>
      <w:marTop w:val="0"/>
      <w:marBottom w:val="0"/>
      <w:divBdr>
        <w:top w:val="none" w:sz="0" w:space="0" w:color="auto"/>
        <w:left w:val="none" w:sz="0" w:space="0" w:color="auto"/>
        <w:bottom w:val="none" w:sz="0" w:space="0" w:color="auto"/>
        <w:right w:val="none" w:sz="0" w:space="0" w:color="auto"/>
      </w:divBdr>
    </w:div>
    <w:div w:id="2025130759">
      <w:bodyDiv w:val="1"/>
      <w:marLeft w:val="0"/>
      <w:marRight w:val="0"/>
      <w:marTop w:val="0"/>
      <w:marBottom w:val="0"/>
      <w:divBdr>
        <w:top w:val="none" w:sz="0" w:space="0" w:color="auto"/>
        <w:left w:val="none" w:sz="0" w:space="0" w:color="auto"/>
        <w:bottom w:val="none" w:sz="0" w:space="0" w:color="auto"/>
        <w:right w:val="none" w:sz="0" w:space="0" w:color="auto"/>
      </w:divBdr>
    </w:div>
    <w:div w:id="2026665695">
      <w:bodyDiv w:val="1"/>
      <w:marLeft w:val="0"/>
      <w:marRight w:val="0"/>
      <w:marTop w:val="0"/>
      <w:marBottom w:val="0"/>
      <w:divBdr>
        <w:top w:val="none" w:sz="0" w:space="0" w:color="auto"/>
        <w:left w:val="none" w:sz="0" w:space="0" w:color="auto"/>
        <w:bottom w:val="none" w:sz="0" w:space="0" w:color="auto"/>
        <w:right w:val="none" w:sz="0" w:space="0" w:color="auto"/>
      </w:divBdr>
    </w:div>
    <w:div w:id="2026857739">
      <w:bodyDiv w:val="1"/>
      <w:marLeft w:val="0"/>
      <w:marRight w:val="0"/>
      <w:marTop w:val="0"/>
      <w:marBottom w:val="0"/>
      <w:divBdr>
        <w:top w:val="none" w:sz="0" w:space="0" w:color="auto"/>
        <w:left w:val="none" w:sz="0" w:space="0" w:color="auto"/>
        <w:bottom w:val="none" w:sz="0" w:space="0" w:color="auto"/>
        <w:right w:val="none" w:sz="0" w:space="0" w:color="auto"/>
      </w:divBdr>
    </w:div>
    <w:div w:id="2038580736">
      <w:bodyDiv w:val="1"/>
      <w:marLeft w:val="0"/>
      <w:marRight w:val="0"/>
      <w:marTop w:val="0"/>
      <w:marBottom w:val="0"/>
      <w:divBdr>
        <w:top w:val="none" w:sz="0" w:space="0" w:color="auto"/>
        <w:left w:val="none" w:sz="0" w:space="0" w:color="auto"/>
        <w:bottom w:val="none" w:sz="0" w:space="0" w:color="auto"/>
        <w:right w:val="none" w:sz="0" w:space="0" w:color="auto"/>
      </w:divBdr>
    </w:div>
    <w:div w:id="2038775558">
      <w:bodyDiv w:val="1"/>
      <w:marLeft w:val="0"/>
      <w:marRight w:val="0"/>
      <w:marTop w:val="0"/>
      <w:marBottom w:val="0"/>
      <w:divBdr>
        <w:top w:val="none" w:sz="0" w:space="0" w:color="auto"/>
        <w:left w:val="none" w:sz="0" w:space="0" w:color="auto"/>
        <w:bottom w:val="none" w:sz="0" w:space="0" w:color="auto"/>
        <w:right w:val="none" w:sz="0" w:space="0" w:color="auto"/>
      </w:divBdr>
    </w:div>
    <w:div w:id="2040470634">
      <w:bodyDiv w:val="1"/>
      <w:marLeft w:val="0"/>
      <w:marRight w:val="0"/>
      <w:marTop w:val="0"/>
      <w:marBottom w:val="0"/>
      <w:divBdr>
        <w:top w:val="none" w:sz="0" w:space="0" w:color="auto"/>
        <w:left w:val="none" w:sz="0" w:space="0" w:color="auto"/>
        <w:bottom w:val="none" w:sz="0" w:space="0" w:color="auto"/>
        <w:right w:val="none" w:sz="0" w:space="0" w:color="auto"/>
      </w:divBdr>
    </w:div>
    <w:div w:id="2042506951">
      <w:bodyDiv w:val="1"/>
      <w:marLeft w:val="0"/>
      <w:marRight w:val="0"/>
      <w:marTop w:val="0"/>
      <w:marBottom w:val="0"/>
      <w:divBdr>
        <w:top w:val="none" w:sz="0" w:space="0" w:color="auto"/>
        <w:left w:val="none" w:sz="0" w:space="0" w:color="auto"/>
        <w:bottom w:val="none" w:sz="0" w:space="0" w:color="auto"/>
        <w:right w:val="none" w:sz="0" w:space="0" w:color="auto"/>
      </w:divBdr>
    </w:div>
    <w:div w:id="2042627087">
      <w:bodyDiv w:val="1"/>
      <w:marLeft w:val="0"/>
      <w:marRight w:val="0"/>
      <w:marTop w:val="0"/>
      <w:marBottom w:val="0"/>
      <w:divBdr>
        <w:top w:val="none" w:sz="0" w:space="0" w:color="auto"/>
        <w:left w:val="none" w:sz="0" w:space="0" w:color="auto"/>
        <w:bottom w:val="none" w:sz="0" w:space="0" w:color="auto"/>
        <w:right w:val="none" w:sz="0" w:space="0" w:color="auto"/>
      </w:divBdr>
    </w:div>
    <w:div w:id="2062629988">
      <w:bodyDiv w:val="1"/>
      <w:marLeft w:val="0"/>
      <w:marRight w:val="0"/>
      <w:marTop w:val="0"/>
      <w:marBottom w:val="0"/>
      <w:divBdr>
        <w:top w:val="none" w:sz="0" w:space="0" w:color="auto"/>
        <w:left w:val="none" w:sz="0" w:space="0" w:color="auto"/>
        <w:bottom w:val="none" w:sz="0" w:space="0" w:color="auto"/>
        <w:right w:val="none" w:sz="0" w:space="0" w:color="auto"/>
      </w:divBdr>
    </w:div>
    <w:div w:id="2063744728">
      <w:bodyDiv w:val="1"/>
      <w:marLeft w:val="0"/>
      <w:marRight w:val="0"/>
      <w:marTop w:val="0"/>
      <w:marBottom w:val="0"/>
      <w:divBdr>
        <w:top w:val="none" w:sz="0" w:space="0" w:color="auto"/>
        <w:left w:val="none" w:sz="0" w:space="0" w:color="auto"/>
        <w:bottom w:val="none" w:sz="0" w:space="0" w:color="auto"/>
        <w:right w:val="none" w:sz="0" w:space="0" w:color="auto"/>
      </w:divBdr>
    </w:div>
    <w:div w:id="2067609110">
      <w:bodyDiv w:val="1"/>
      <w:marLeft w:val="0"/>
      <w:marRight w:val="0"/>
      <w:marTop w:val="0"/>
      <w:marBottom w:val="0"/>
      <w:divBdr>
        <w:top w:val="none" w:sz="0" w:space="0" w:color="auto"/>
        <w:left w:val="none" w:sz="0" w:space="0" w:color="auto"/>
        <w:bottom w:val="none" w:sz="0" w:space="0" w:color="auto"/>
        <w:right w:val="none" w:sz="0" w:space="0" w:color="auto"/>
      </w:divBdr>
    </w:div>
    <w:div w:id="2070759322">
      <w:bodyDiv w:val="1"/>
      <w:marLeft w:val="0"/>
      <w:marRight w:val="0"/>
      <w:marTop w:val="0"/>
      <w:marBottom w:val="0"/>
      <w:divBdr>
        <w:top w:val="none" w:sz="0" w:space="0" w:color="auto"/>
        <w:left w:val="none" w:sz="0" w:space="0" w:color="auto"/>
        <w:bottom w:val="none" w:sz="0" w:space="0" w:color="auto"/>
        <w:right w:val="none" w:sz="0" w:space="0" w:color="auto"/>
      </w:divBdr>
    </w:div>
    <w:div w:id="2071686795">
      <w:bodyDiv w:val="1"/>
      <w:marLeft w:val="0"/>
      <w:marRight w:val="0"/>
      <w:marTop w:val="0"/>
      <w:marBottom w:val="0"/>
      <w:divBdr>
        <w:top w:val="none" w:sz="0" w:space="0" w:color="auto"/>
        <w:left w:val="none" w:sz="0" w:space="0" w:color="auto"/>
        <w:bottom w:val="none" w:sz="0" w:space="0" w:color="auto"/>
        <w:right w:val="none" w:sz="0" w:space="0" w:color="auto"/>
      </w:divBdr>
    </w:div>
    <w:div w:id="2071880766">
      <w:bodyDiv w:val="1"/>
      <w:marLeft w:val="0"/>
      <w:marRight w:val="0"/>
      <w:marTop w:val="0"/>
      <w:marBottom w:val="0"/>
      <w:divBdr>
        <w:top w:val="none" w:sz="0" w:space="0" w:color="auto"/>
        <w:left w:val="none" w:sz="0" w:space="0" w:color="auto"/>
        <w:bottom w:val="none" w:sz="0" w:space="0" w:color="auto"/>
        <w:right w:val="none" w:sz="0" w:space="0" w:color="auto"/>
      </w:divBdr>
    </w:div>
    <w:div w:id="2073042157">
      <w:bodyDiv w:val="1"/>
      <w:marLeft w:val="0"/>
      <w:marRight w:val="0"/>
      <w:marTop w:val="0"/>
      <w:marBottom w:val="0"/>
      <w:divBdr>
        <w:top w:val="none" w:sz="0" w:space="0" w:color="auto"/>
        <w:left w:val="none" w:sz="0" w:space="0" w:color="auto"/>
        <w:bottom w:val="none" w:sz="0" w:space="0" w:color="auto"/>
        <w:right w:val="none" w:sz="0" w:space="0" w:color="auto"/>
      </w:divBdr>
    </w:div>
    <w:div w:id="2074697883">
      <w:bodyDiv w:val="1"/>
      <w:marLeft w:val="0"/>
      <w:marRight w:val="0"/>
      <w:marTop w:val="0"/>
      <w:marBottom w:val="0"/>
      <w:divBdr>
        <w:top w:val="none" w:sz="0" w:space="0" w:color="auto"/>
        <w:left w:val="none" w:sz="0" w:space="0" w:color="auto"/>
        <w:bottom w:val="none" w:sz="0" w:space="0" w:color="auto"/>
        <w:right w:val="none" w:sz="0" w:space="0" w:color="auto"/>
      </w:divBdr>
    </w:div>
    <w:div w:id="2078630584">
      <w:bodyDiv w:val="1"/>
      <w:marLeft w:val="0"/>
      <w:marRight w:val="0"/>
      <w:marTop w:val="0"/>
      <w:marBottom w:val="0"/>
      <w:divBdr>
        <w:top w:val="none" w:sz="0" w:space="0" w:color="auto"/>
        <w:left w:val="none" w:sz="0" w:space="0" w:color="auto"/>
        <w:bottom w:val="none" w:sz="0" w:space="0" w:color="auto"/>
        <w:right w:val="none" w:sz="0" w:space="0" w:color="auto"/>
      </w:divBdr>
    </w:div>
    <w:div w:id="2079397012">
      <w:bodyDiv w:val="1"/>
      <w:marLeft w:val="0"/>
      <w:marRight w:val="0"/>
      <w:marTop w:val="0"/>
      <w:marBottom w:val="0"/>
      <w:divBdr>
        <w:top w:val="none" w:sz="0" w:space="0" w:color="auto"/>
        <w:left w:val="none" w:sz="0" w:space="0" w:color="auto"/>
        <w:bottom w:val="none" w:sz="0" w:space="0" w:color="auto"/>
        <w:right w:val="none" w:sz="0" w:space="0" w:color="auto"/>
      </w:divBdr>
    </w:div>
    <w:div w:id="2079549758">
      <w:bodyDiv w:val="1"/>
      <w:marLeft w:val="0"/>
      <w:marRight w:val="0"/>
      <w:marTop w:val="0"/>
      <w:marBottom w:val="0"/>
      <w:divBdr>
        <w:top w:val="none" w:sz="0" w:space="0" w:color="auto"/>
        <w:left w:val="none" w:sz="0" w:space="0" w:color="auto"/>
        <w:bottom w:val="none" w:sz="0" w:space="0" w:color="auto"/>
        <w:right w:val="none" w:sz="0" w:space="0" w:color="auto"/>
      </w:divBdr>
    </w:div>
    <w:div w:id="2082944167">
      <w:bodyDiv w:val="1"/>
      <w:marLeft w:val="0"/>
      <w:marRight w:val="0"/>
      <w:marTop w:val="0"/>
      <w:marBottom w:val="0"/>
      <w:divBdr>
        <w:top w:val="none" w:sz="0" w:space="0" w:color="auto"/>
        <w:left w:val="none" w:sz="0" w:space="0" w:color="auto"/>
        <w:bottom w:val="none" w:sz="0" w:space="0" w:color="auto"/>
        <w:right w:val="none" w:sz="0" w:space="0" w:color="auto"/>
      </w:divBdr>
    </w:div>
    <w:div w:id="2087143461">
      <w:bodyDiv w:val="1"/>
      <w:marLeft w:val="0"/>
      <w:marRight w:val="0"/>
      <w:marTop w:val="0"/>
      <w:marBottom w:val="0"/>
      <w:divBdr>
        <w:top w:val="none" w:sz="0" w:space="0" w:color="auto"/>
        <w:left w:val="none" w:sz="0" w:space="0" w:color="auto"/>
        <w:bottom w:val="none" w:sz="0" w:space="0" w:color="auto"/>
        <w:right w:val="none" w:sz="0" w:space="0" w:color="auto"/>
      </w:divBdr>
    </w:div>
    <w:div w:id="2087534138">
      <w:bodyDiv w:val="1"/>
      <w:marLeft w:val="0"/>
      <w:marRight w:val="0"/>
      <w:marTop w:val="0"/>
      <w:marBottom w:val="0"/>
      <w:divBdr>
        <w:top w:val="none" w:sz="0" w:space="0" w:color="auto"/>
        <w:left w:val="none" w:sz="0" w:space="0" w:color="auto"/>
        <w:bottom w:val="none" w:sz="0" w:space="0" w:color="auto"/>
        <w:right w:val="none" w:sz="0" w:space="0" w:color="auto"/>
      </w:divBdr>
    </w:div>
    <w:div w:id="2092660141">
      <w:bodyDiv w:val="1"/>
      <w:marLeft w:val="0"/>
      <w:marRight w:val="0"/>
      <w:marTop w:val="0"/>
      <w:marBottom w:val="0"/>
      <w:divBdr>
        <w:top w:val="none" w:sz="0" w:space="0" w:color="auto"/>
        <w:left w:val="none" w:sz="0" w:space="0" w:color="auto"/>
        <w:bottom w:val="none" w:sz="0" w:space="0" w:color="auto"/>
        <w:right w:val="none" w:sz="0" w:space="0" w:color="auto"/>
      </w:divBdr>
    </w:div>
    <w:div w:id="2096390664">
      <w:bodyDiv w:val="1"/>
      <w:marLeft w:val="0"/>
      <w:marRight w:val="0"/>
      <w:marTop w:val="0"/>
      <w:marBottom w:val="0"/>
      <w:divBdr>
        <w:top w:val="none" w:sz="0" w:space="0" w:color="auto"/>
        <w:left w:val="none" w:sz="0" w:space="0" w:color="auto"/>
        <w:bottom w:val="none" w:sz="0" w:space="0" w:color="auto"/>
        <w:right w:val="none" w:sz="0" w:space="0" w:color="auto"/>
      </w:divBdr>
    </w:div>
    <w:div w:id="2099131560">
      <w:bodyDiv w:val="1"/>
      <w:marLeft w:val="0"/>
      <w:marRight w:val="0"/>
      <w:marTop w:val="0"/>
      <w:marBottom w:val="0"/>
      <w:divBdr>
        <w:top w:val="none" w:sz="0" w:space="0" w:color="auto"/>
        <w:left w:val="none" w:sz="0" w:space="0" w:color="auto"/>
        <w:bottom w:val="none" w:sz="0" w:space="0" w:color="auto"/>
        <w:right w:val="none" w:sz="0" w:space="0" w:color="auto"/>
      </w:divBdr>
    </w:div>
    <w:div w:id="2100445053">
      <w:bodyDiv w:val="1"/>
      <w:marLeft w:val="0"/>
      <w:marRight w:val="0"/>
      <w:marTop w:val="0"/>
      <w:marBottom w:val="0"/>
      <w:divBdr>
        <w:top w:val="none" w:sz="0" w:space="0" w:color="auto"/>
        <w:left w:val="none" w:sz="0" w:space="0" w:color="auto"/>
        <w:bottom w:val="none" w:sz="0" w:space="0" w:color="auto"/>
        <w:right w:val="none" w:sz="0" w:space="0" w:color="auto"/>
      </w:divBdr>
    </w:div>
    <w:div w:id="2101484678">
      <w:bodyDiv w:val="1"/>
      <w:marLeft w:val="0"/>
      <w:marRight w:val="0"/>
      <w:marTop w:val="0"/>
      <w:marBottom w:val="0"/>
      <w:divBdr>
        <w:top w:val="none" w:sz="0" w:space="0" w:color="auto"/>
        <w:left w:val="none" w:sz="0" w:space="0" w:color="auto"/>
        <w:bottom w:val="none" w:sz="0" w:space="0" w:color="auto"/>
        <w:right w:val="none" w:sz="0" w:space="0" w:color="auto"/>
      </w:divBdr>
    </w:div>
    <w:div w:id="2115664497">
      <w:bodyDiv w:val="1"/>
      <w:marLeft w:val="0"/>
      <w:marRight w:val="0"/>
      <w:marTop w:val="0"/>
      <w:marBottom w:val="0"/>
      <w:divBdr>
        <w:top w:val="none" w:sz="0" w:space="0" w:color="auto"/>
        <w:left w:val="none" w:sz="0" w:space="0" w:color="auto"/>
        <w:bottom w:val="none" w:sz="0" w:space="0" w:color="auto"/>
        <w:right w:val="none" w:sz="0" w:space="0" w:color="auto"/>
      </w:divBdr>
    </w:div>
    <w:div w:id="2116945992">
      <w:bodyDiv w:val="1"/>
      <w:marLeft w:val="0"/>
      <w:marRight w:val="0"/>
      <w:marTop w:val="0"/>
      <w:marBottom w:val="0"/>
      <w:divBdr>
        <w:top w:val="none" w:sz="0" w:space="0" w:color="auto"/>
        <w:left w:val="none" w:sz="0" w:space="0" w:color="auto"/>
        <w:bottom w:val="none" w:sz="0" w:space="0" w:color="auto"/>
        <w:right w:val="none" w:sz="0" w:space="0" w:color="auto"/>
      </w:divBdr>
    </w:div>
    <w:div w:id="2123644601">
      <w:bodyDiv w:val="1"/>
      <w:marLeft w:val="0"/>
      <w:marRight w:val="0"/>
      <w:marTop w:val="0"/>
      <w:marBottom w:val="0"/>
      <w:divBdr>
        <w:top w:val="none" w:sz="0" w:space="0" w:color="auto"/>
        <w:left w:val="none" w:sz="0" w:space="0" w:color="auto"/>
        <w:bottom w:val="none" w:sz="0" w:space="0" w:color="auto"/>
        <w:right w:val="none" w:sz="0" w:space="0" w:color="auto"/>
      </w:divBdr>
    </w:div>
    <w:div w:id="2123722228">
      <w:bodyDiv w:val="1"/>
      <w:marLeft w:val="0"/>
      <w:marRight w:val="0"/>
      <w:marTop w:val="0"/>
      <w:marBottom w:val="0"/>
      <w:divBdr>
        <w:top w:val="none" w:sz="0" w:space="0" w:color="auto"/>
        <w:left w:val="none" w:sz="0" w:space="0" w:color="auto"/>
        <w:bottom w:val="none" w:sz="0" w:space="0" w:color="auto"/>
        <w:right w:val="none" w:sz="0" w:space="0" w:color="auto"/>
      </w:divBdr>
    </w:div>
    <w:div w:id="2124766338">
      <w:bodyDiv w:val="1"/>
      <w:marLeft w:val="0"/>
      <w:marRight w:val="0"/>
      <w:marTop w:val="0"/>
      <w:marBottom w:val="0"/>
      <w:divBdr>
        <w:top w:val="none" w:sz="0" w:space="0" w:color="auto"/>
        <w:left w:val="none" w:sz="0" w:space="0" w:color="auto"/>
        <w:bottom w:val="none" w:sz="0" w:space="0" w:color="auto"/>
        <w:right w:val="none" w:sz="0" w:space="0" w:color="auto"/>
      </w:divBdr>
    </w:div>
    <w:div w:id="2129620855">
      <w:bodyDiv w:val="1"/>
      <w:marLeft w:val="0"/>
      <w:marRight w:val="0"/>
      <w:marTop w:val="0"/>
      <w:marBottom w:val="0"/>
      <w:divBdr>
        <w:top w:val="none" w:sz="0" w:space="0" w:color="auto"/>
        <w:left w:val="none" w:sz="0" w:space="0" w:color="auto"/>
        <w:bottom w:val="none" w:sz="0" w:space="0" w:color="auto"/>
        <w:right w:val="none" w:sz="0" w:space="0" w:color="auto"/>
      </w:divBdr>
    </w:div>
    <w:div w:id="2132556428">
      <w:bodyDiv w:val="1"/>
      <w:marLeft w:val="0"/>
      <w:marRight w:val="0"/>
      <w:marTop w:val="0"/>
      <w:marBottom w:val="0"/>
      <w:divBdr>
        <w:top w:val="none" w:sz="0" w:space="0" w:color="auto"/>
        <w:left w:val="none" w:sz="0" w:space="0" w:color="auto"/>
        <w:bottom w:val="none" w:sz="0" w:space="0" w:color="auto"/>
        <w:right w:val="none" w:sz="0" w:space="0" w:color="auto"/>
      </w:divBdr>
    </w:div>
    <w:div w:id="2134203984">
      <w:bodyDiv w:val="1"/>
      <w:marLeft w:val="0"/>
      <w:marRight w:val="0"/>
      <w:marTop w:val="0"/>
      <w:marBottom w:val="0"/>
      <w:divBdr>
        <w:top w:val="none" w:sz="0" w:space="0" w:color="auto"/>
        <w:left w:val="none" w:sz="0" w:space="0" w:color="auto"/>
        <w:bottom w:val="none" w:sz="0" w:space="0" w:color="auto"/>
        <w:right w:val="none" w:sz="0" w:space="0" w:color="auto"/>
      </w:divBdr>
    </w:div>
    <w:div w:id="2134245866">
      <w:bodyDiv w:val="1"/>
      <w:marLeft w:val="0"/>
      <w:marRight w:val="0"/>
      <w:marTop w:val="0"/>
      <w:marBottom w:val="0"/>
      <w:divBdr>
        <w:top w:val="none" w:sz="0" w:space="0" w:color="auto"/>
        <w:left w:val="none" w:sz="0" w:space="0" w:color="auto"/>
        <w:bottom w:val="none" w:sz="0" w:space="0" w:color="auto"/>
        <w:right w:val="none" w:sz="0" w:space="0" w:color="auto"/>
      </w:divBdr>
    </w:div>
    <w:div w:id="2141218697">
      <w:bodyDiv w:val="1"/>
      <w:marLeft w:val="0"/>
      <w:marRight w:val="0"/>
      <w:marTop w:val="0"/>
      <w:marBottom w:val="0"/>
      <w:divBdr>
        <w:top w:val="none" w:sz="0" w:space="0" w:color="auto"/>
        <w:left w:val="none" w:sz="0" w:space="0" w:color="auto"/>
        <w:bottom w:val="none" w:sz="0" w:space="0" w:color="auto"/>
        <w:right w:val="none" w:sz="0" w:space="0" w:color="auto"/>
      </w:divBdr>
    </w:div>
    <w:div w:id="2146846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hyperlink" Target="https://ted.europa.eu/en/notice/-/detail/271163-2026" TargetMode="External"/><Relationship Id="rId23" Type="http://schemas.openxmlformats.org/officeDocument/2006/relationships/image" Target="media/image6.png"/><Relationship Id="rId28" Type="http://schemas.microsoft.com/office/2018/08/relationships/commentsExtensible" Target="commentsExtensible.xml"/><Relationship Id="rId10" Type="http://schemas.openxmlformats.org/officeDocument/2006/relationships/image" Target="media/image2.jpeg"/><Relationship Id="rId19" Type="http://schemas.openxmlformats.org/officeDocument/2006/relationships/chart" Target="charts/chart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 Id="rId22" Type="http://schemas.openxmlformats.org/officeDocument/2006/relationships/footer" Target="footer7.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EN/TXT/PDF/?uri=OJ:C_202503965" TargetMode="External"/><Relationship Id="rId2" Type="http://schemas.openxmlformats.org/officeDocument/2006/relationships/hyperlink" Target="https://eur-lex.europa.eu/legal-content/EN/TXT/PDF/?uri=OJ:C_202500661" TargetMode="External"/><Relationship Id="rId1" Type="http://schemas.openxmlformats.org/officeDocument/2006/relationships/hyperlink" Target="https://ose.gr/organismos/%CF%83%CF%8D%CE%BC%CE%B2%CE%B1%CF%83%CE%B7-%CE%BF%CF%83%CE%B5-%CE%B5%CE%BB-%CE%B4%CE%B7%CE%BC%CE%BF%CF%83%CE%AF%CE%BF%CF%85/" TargetMode="External"/><Relationship Id="rId6" Type="http://schemas.openxmlformats.org/officeDocument/2006/relationships/hyperlink" Target="https://economy-finance.ec.europa.eu/document/download/fec8747e-22f1-4311-a8ed-aad89519ecc5_en?filename=2026_dbp_el_en.pdf" TargetMode="External"/><Relationship Id="rId5" Type="http://schemas.openxmlformats.org/officeDocument/2006/relationships/hyperlink" Target="file:///\\hfisc-vsrv-05\hfisc_data\research\Opinions-%25CE%2593%25CE%25BD%25CF%2589%25CE%25BC%25CE%25BF%25CE%25B4%25CE%25BF%25CF%2584%25CE%25AE%25CF%2583%25CE%25B5%25CE%25B9%25CF%2582\2026_04%20Annual%20Progress%20Report\%25CE%2594%25CE%25B7%25CE%25BC%25CE%25BF%25CF%2583%25CE%25B9%25CE%25BF%25CE%25BD%25CE%25BF%25CE%25BC%25CE%25B9%25CE%25BA%25CE%25AC%20%25CF%2583%25CF%2584%25CE%25BF%25CE%25B9%25CF%2587%25CE%25B5%25CE%25AF%25CE%25B1%20-%201%25CE%25B7%20%25CE%25BA%25CE%25BF%25CE%25B9%25CE%25BD%25CE%25BF%25CF%2580%25CE%25BF%25CE%25AF%25CE%25B7%25CF%2583%25CE%25B7%20(%25CE%25A0%25CF%2581%25CE%25BF%25CF%2583%25CF%2589%25CF%2581%25CE%25B9%25CE%25BD%25CE%25AC%20%25CE%25A3%25CF%2584%25CE%25BF%25CE%25B9%25CF%2587%25CE%25B5%25CE%25AF%25CE%25B1)%20(%202026%20).pdf" TargetMode="External"/><Relationship Id="rId4" Type="http://schemas.openxmlformats.org/officeDocument/2006/relationships/hyperlink" Target="https://www.statistics.gr/documents/20181/de43a769-69a3-a404-6dcc-14a2fd697ef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Hfisc-vsrv-02\hfisc_data\research\Opinions-&#915;&#957;&#969;&#956;&#959;&#948;&#959;&#964;&#942;&#963;&#949;&#953;&#962;\2026_04%20Annual%20Progress%20Report\&#913;&#957;&#964;&#943;&#947;&#961;&#945;&#966;&#959;%20&#964;&#959;&#965;%20APR%20&#947;&#961;&#940;&#966;&#951;&#956;&#945;%20&#924;&#916;&#931;-&#928;&#916;&#928;%20(00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'[Αντίγραφο του APR γράφημα ΜΔΣ-ΠΔΠ (003).xlsx]Φύλλο1'!$A$16</c:f>
              <c:strCache>
                <c:ptCount val="1"/>
                <c:pt idx="0">
                  <c:v>Debt</c:v>
                </c:pt>
              </c:strCache>
            </c:strRef>
          </c:tx>
          <c:spPr>
            <a:solidFill>
              <a:schemeClr val="bg1">
                <a:lumMod val="85000"/>
              </a:schemeClr>
            </a:solidFill>
            <a:ln>
              <a:noFill/>
            </a:ln>
            <a:effectLst/>
          </c:spPr>
          <c:cat>
            <c:strRef>
              <c:f>'[Αντίγραφο του APR γράφημα ΜΔΣ-ΠΔΠ (003).xlsx]Φύλλο1'!$C$13:$E$13</c:f>
              <c:strCache>
                <c:ptCount val="3"/>
                <c:pt idx="0">
                  <c:v>2024</c:v>
                </c:pt>
                <c:pt idx="1">
                  <c:v>2025</c:v>
                </c:pt>
                <c:pt idx="2">
                  <c:v>2026*</c:v>
                </c:pt>
              </c:strCache>
            </c:strRef>
          </c:cat>
          <c:val>
            <c:numRef>
              <c:f>'[Αντίγραφο του APR γράφημα ΜΔΣ-ΠΔΠ (003).xlsx]Φύλλο1'!$C$16:$E$16</c:f>
              <c:numCache>
                <c:formatCode>General</c:formatCode>
                <c:ptCount val="3"/>
                <c:pt idx="0">
                  <c:v>364.964</c:v>
                </c:pt>
                <c:pt idx="1">
                  <c:v>362.92459756833102</c:v>
                </c:pt>
                <c:pt idx="2">
                  <c:v>357.5145171056987</c:v>
                </c:pt>
              </c:numCache>
            </c:numRef>
          </c:val>
          <c:extLst>
            <c:ext xmlns:c16="http://schemas.microsoft.com/office/drawing/2014/chart" uri="{C3380CC4-5D6E-409C-BE32-E72D297353CC}">
              <c16:uniqueId val="{00000000-215C-49CF-A68D-0BB6BDAC2D50}"/>
            </c:ext>
          </c:extLst>
        </c:ser>
        <c:dLbls>
          <c:showLegendKey val="0"/>
          <c:showVal val="0"/>
          <c:showCatName val="0"/>
          <c:showSerName val="0"/>
          <c:showPercent val="0"/>
          <c:showBubbleSize val="0"/>
        </c:dLbls>
        <c:axId val="1109475280"/>
        <c:axId val="1109475696"/>
      </c:areaChart>
      <c:barChart>
        <c:barDir val="col"/>
        <c:grouping val="clustered"/>
        <c:varyColors val="0"/>
        <c:ser>
          <c:idx val="3"/>
          <c:order val="3"/>
          <c:tx>
            <c:strRef>
              <c:f>'[Αντίγραφο του APR γράφημα ΜΔΣ-ΠΔΠ (003).xlsx]Φύλλο1'!$A$17</c:f>
              <c:strCache>
                <c:ptCount val="1"/>
                <c:pt idx="0">
                  <c:v>GDP</c:v>
                </c:pt>
              </c:strCache>
            </c:strRef>
          </c:tx>
          <c:spPr>
            <a:solidFill>
              <a:schemeClr val="accent1"/>
            </a:solidFill>
            <a:ln>
              <a:noFill/>
            </a:ln>
            <a:effectLst/>
          </c:spPr>
          <c:invertIfNegative val="0"/>
          <c:dLbls>
            <c:numFmt formatCode="#,##0.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'[Αντίγραφο του APR γράφημα ΜΔΣ-ΠΔΠ (003).xlsx]Φύλλο1'!$C$13:$E$13</c:f>
              <c:strCache>
                <c:ptCount val="3"/>
                <c:pt idx="0">
                  <c:v>2024</c:v>
                </c:pt>
                <c:pt idx="1">
                  <c:v>2025</c:v>
                </c:pt>
                <c:pt idx="2">
                  <c:v>2026*</c:v>
                </c:pt>
              </c:strCache>
            </c:strRef>
          </c:cat>
          <c:val>
            <c:numRef>
              <c:f>'[Αντίγραφο του APR γράφημα ΜΔΣ-ΠΔΠ (003).xlsx]Φύλλο1'!$C$17:$E$17</c:f>
              <c:numCache>
                <c:formatCode>General</c:formatCode>
                <c:ptCount val="3"/>
                <c:pt idx="0">
                  <c:v>236.73599999999999</c:v>
                </c:pt>
                <c:pt idx="1">
                  <c:v>248.35372461110501</c:v>
                </c:pt>
                <c:pt idx="2">
                  <c:v>261.26064711565101</c:v>
                </c:pt>
              </c:numCache>
            </c:numRef>
          </c:val>
          <c:extLst>
            <c:ext xmlns:c16="http://schemas.microsoft.com/office/drawing/2014/chart" uri="{C3380CC4-5D6E-409C-BE32-E72D297353CC}">
              <c16:uniqueId val="{00000001-215C-49CF-A68D-0BB6BDAC2D50}"/>
            </c:ext>
          </c:extLst>
        </c:ser>
        <c:dLbls>
          <c:showLegendKey val="0"/>
          <c:showVal val="0"/>
          <c:showCatName val="0"/>
          <c:showSerName val="0"/>
          <c:showPercent val="0"/>
          <c:showBubbleSize val="0"/>
        </c:dLbls>
        <c:gapWidth val="150"/>
        <c:axId val="1109475280"/>
        <c:axId val="1109475696"/>
      </c:barChart>
      <c:lineChart>
        <c:grouping val="standard"/>
        <c:varyColors val="0"/>
        <c:ser>
          <c:idx val="4"/>
          <c:order val="4"/>
          <c:tx>
            <c:strRef>
              <c:f>'[Αντίγραφο του APR γράφημα ΜΔΣ-ΠΔΠ (003).xlsx]Φύλλο1'!$A$16</c:f>
              <c:strCache>
                <c:ptCount val="1"/>
                <c:pt idx="0">
                  <c:v>Debt</c:v>
                </c:pt>
              </c:strCache>
            </c:strRef>
          </c:tx>
          <c:spPr>
            <a:ln w="28575" cap="rnd">
              <a:solidFill>
                <a:schemeClr val="bg1">
                  <a:lumMod val="85000"/>
                </a:schemeClr>
              </a:solidFill>
              <a:round/>
            </a:ln>
            <a:effectLst/>
          </c:spPr>
          <c:marker>
            <c:symbol val="circle"/>
            <c:size val="5"/>
            <c:spPr>
              <a:solidFill>
                <a:schemeClr val="bg1">
                  <a:lumMod val="50000"/>
                </a:schemeClr>
              </a:solidFill>
              <a:ln w="9525">
                <a:solidFill>
                  <a:schemeClr val="bg1">
                    <a:lumMod val="85000"/>
                  </a:schemeClr>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'[Αντίγραφο του APR γράφημα ΜΔΣ-ΠΔΠ (003).xlsx]Φύλλο1'!$C$13:$E$13</c:f>
              <c:strCache>
                <c:ptCount val="3"/>
                <c:pt idx="0">
                  <c:v>2024</c:v>
                </c:pt>
                <c:pt idx="1">
                  <c:v>2025</c:v>
                </c:pt>
                <c:pt idx="2">
                  <c:v>2026*</c:v>
                </c:pt>
              </c:strCache>
            </c:strRef>
          </c:cat>
          <c:val>
            <c:numRef>
              <c:f>'[Αντίγραφο του APR γράφημα ΜΔΣ-ΠΔΠ (003).xlsx]Φύλλο1'!$C$16:$E$16</c:f>
              <c:numCache>
                <c:formatCode>General</c:formatCode>
                <c:ptCount val="3"/>
                <c:pt idx="0">
                  <c:v>364.964</c:v>
                </c:pt>
                <c:pt idx="1">
                  <c:v>362.92459756833102</c:v>
                </c:pt>
                <c:pt idx="2">
                  <c:v>357.5145171056987</c:v>
                </c:pt>
              </c:numCache>
            </c:numRef>
          </c:val>
          <c:smooth val="0"/>
          <c:extLst>
            <c:ext xmlns:c16="http://schemas.microsoft.com/office/drawing/2014/chart" uri="{C3380CC4-5D6E-409C-BE32-E72D297353CC}">
              <c16:uniqueId val="{00000002-215C-49CF-A68D-0BB6BDAC2D50}"/>
            </c:ext>
          </c:extLst>
        </c:ser>
        <c:dLbls>
          <c:showLegendKey val="0"/>
          <c:showVal val="0"/>
          <c:showCatName val="0"/>
          <c:showSerName val="0"/>
          <c:showPercent val="0"/>
          <c:showBubbleSize val="0"/>
        </c:dLbls>
        <c:marker val="1"/>
        <c:smooth val="0"/>
        <c:axId val="1109475280"/>
        <c:axId val="1109475696"/>
      </c:lineChart>
      <c:lineChart>
        <c:grouping val="standard"/>
        <c:varyColors val="0"/>
        <c:ser>
          <c:idx val="1"/>
          <c:order val="1"/>
          <c:tx>
            <c:strRef>
              <c:f>'[Αντίγραφο του APR γράφημα ΜΔΣ-ΠΔΠ (003).xlsx]Φύλλο1'!$A$14</c:f>
              <c:strCache>
                <c:ptCount val="1"/>
                <c:pt idx="0">
                  <c:v>MTP 2025-2028</c:v>
                </c:pt>
              </c:strCache>
            </c:strRef>
          </c:tx>
          <c:spPr>
            <a:ln w="28575" cap="rnd">
              <a:solidFill>
                <a:srgbClr val="C00000"/>
              </a:solidFill>
              <a:round/>
            </a:ln>
            <a:effectLst/>
          </c:spPr>
          <c:marker>
            <c:symbol val="circle"/>
            <c:size val="5"/>
            <c:spPr>
              <a:solidFill>
                <a:srgbClr val="C00000"/>
              </a:solidFill>
              <a:ln w="9525">
                <a:solidFill>
                  <a:srgbClr val="C00000"/>
                </a:solidFill>
              </a:ln>
              <a:effectLst/>
            </c:spPr>
          </c:marker>
          <c:dLbls>
            <c:dLbl>
              <c:idx val="1"/>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15C-49CF-A68D-0BB6BDAC2D50}"/>
                </c:ext>
              </c:extLst>
            </c:dLbl>
            <c:dLbl>
              <c:idx val="2"/>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15C-49CF-A68D-0BB6BDAC2D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'[Αντίγραφο του APR γράφημα ΜΔΣ-ΠΔΠ (003).xlsx]Φύλλο1'!$C$13:$E$13</c:f>
              <c:strCache>
                <c:ptCount val="3"/>
                <c:pt idx="0">
                  <c:v>2024</c:v>
                </c:pt>
                <c:pt idx="1">
                  <c:v>2025</c:v>
                </c:pt>
                <c:pt idx="2">
                  <c:v>2026*</c:v>
                </c:pt>
              </c:strCache>
            </c:strRef>
          </c:cat>
          <c:val>
            <c:numRef>
              <c:f>'[Αντίγραφο του APR γράφημα ΜΔΣ-ΠΔΠ (003).xlsx]Φύλλο1'!$C$14:$E$14</c:f>
              <c:numCache>
                <c:formatCode>0.0%</c:formatCode>
                <c:ptCount val="3"/>
                <c:pt idx="1">
                  <c:v>1.4913105531476401</c:v>
                </c:pt>
                <c:pt idx="2">
                  <c:v>1.4306988287394899</c:v>
                </c:pt>
              </c:numCache>
            </c:numRef>
          </c:val>
          <c:smooth val="0"/>
          <c:extLst>
            <c:ext xmlns:c16="http://schemas.microsoft.com/office/drawing/2014/chart" uri="{C3380CC4-5D6E-409C-BE32-E72D297353CC}">
              <c16:uniqueId val="{00000005-215C-49CF-A68D-0BB6BDAC2D50}"/>
            </c:ext>
          </c:extLst>
        </c:ser>
        <c:ser>
          <c:idx val="2"/>
          <c:order val="2"/>
          <c:tx>
            <c:strRef>
              <c:f>'[Αντίγραφο του APR γράφημα ΜΔΣ-ΠΔΠ (003).xlsx]Φύλλο1'!$A$15</c:f>
              <c:strCache>
                <c:ptCount val="1"/>
                <c:pt idx="0">
                  <c:v>APR 2026</c:v>
                </c:pt>
              </c:strCache>
            </c:strRef>
          </c:tx>
          <c:spPr>
            <a:ln w="28575" cap="rnd">
              <a:solidFill>
                <a:srgbClr val="002060"/>
              </a:solidFill>
              <a:round/>
            </a:ln>
            <a:effectLst/>
          </c:spPr>
          <c:marker>
            <c:symbol val="circle"/>
            <c:size val="5"/>
            <c:spPr>
              <a:solidFill>
                <a:srgbClr val="002060"/>
              </a:solidFill>
              <a:ln w="9525">
                <a:solidFill>
                  <a:srgbClr val="002060"/>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'[Αντίγραφο του APR γράφημα ΜΔΣ-ΠΔΠ (003).xlsx]Φύλλο1'!$C$13:$E$13</c:f>
              <c:strCache>
                <c:ptCount val="3"/>
                <c:pt idx="0">
                  <c:v>2024</c:v>
                </c:pt>
                <c:pt idx="1">
                  <c:v>2025</c:v>
                </c:pt>
                <c:pt idx="2">
                  <c:v>2026*</c:v>
                </c:pt>
              </c:strCache>
            </c:strRef>
          </c:cat>
          <c:val>
            <c:numRef>
              <c:f>'[Αντίγραφο του APR γράφημα ΜΔΣ-ΠΔΠ (003).xlsx]Φύλλο1'!$C$15:$E$15</c:f>
              <c:numCache>
                <c:formatCode>0.00%</c:formatCode>
                <c:ptCount val="3"/>
                <c:pt idx="0">
                  <c:v>1.5416497702081644</c:v>
                </c:pt>
                <c:pt idx="1">
                  <c:v>1.4613213397005886</c:v>
                </c:pt>
                <c:pt idx="2">
                  <c:v>1.3684208511794715</c:v>
                </c:pt>
              </c:numCache>
            </c:numRef>
          </c:val>
          <c:smooth val="0"/>
          <c:extLst>
            <c:ext xmlns:c16="http://schemas.microsoft.com/office/drawing/2014/chart" uri="{C3380CC4-5D6E-409C-BE32-E72D297353CC}">
              <c16:uniqueId val="{00000006-215C-49CF-A68D-0BB6BDAC2D50}"/>
            </c:ext>
          </c:extLst>
        </c:ser>
        <c:dLbls>
          <c:showLegendKey val="0"/>
          <c:showVal val="0"/>
          <c:showCatName val="0"/>
          <c:showSerName val="0"/>
          <c:showPercent val="0"/>
          <c:showBubbleSize val="0"/>
        </c:dLbls>
        <c:marker val="1"/>
        <c:smooth val="0"/>
        <c:axId val="1109480688"/>
        <c:axId val="1109478608"/>
      </c:lineChart>
      <c:catAx>
        <c:axId val="1109475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109475696"/>
        <c:crosses val="autoZero"/>
        <c:auto val="1"/>
        <c:lblAlgn val="ctr"/>
        <c:lblOffset val="100"/>
        <c:noMultiLvlLbl val="0"/>
      </c:catAx>
      <c:valAx>
        <c:axId val="1109475696"/>
        <c:scaling>
          <c:orientation val="minMax"/>
          <c:max val="400"/>
          <c:min val="0"/>
        </c:scaling>
        <c:delete val="0"/>
        <c:axPos val="l"/>
        <c:numFmt formatCode="0.000;\-0.0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109475280"/>
        <c:crosses val="autoZero"/>
        <c:crossBetween val="between"/>
      </c:valAx>
      <c:valAx>
        <c:axId val="1109478608"/>
        <c:scaling>
          <c:orientation val="minMax"/>
          <c:max val="1.6"/>
          <c:min val="1.3"/>
        </c:scaling>
        <c:delete val="0"/>
        <c:axPos val="r"/>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1109480688"/>
        <c:crosses val="max"/>
        <c:crossBetween val="between"/>
      </c:valAx>
      <c:catAx>
        <c:axId val="1109480688"/>
        <c:scaling>
          <c:orientation val="minMax"/>
        </c:scaling>
        <c:delete val="1"/>
        <c:axPos val="b"/>
        <c:numFmt formatCode="General" sourceLinked="1"/>
        <c:majorTickMark val="none"/>
        <c:minorTickMark val="none"/>
        <c:tickLblPos val="nextTo"/>
        <c:crossAx val="1109478608"/>
        <c:crosses val="autoZero"/>
        <c:auto val="1"/>
        <c:lblAlgn val="ctr"/>
        <c:lblOffset val="100"/>
        <c:noMultiLvlLbl val="0"/>
      </c:cat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2B40DC-03D6-48EA-ACBE-24781F8F2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152</Pages>
  <Words>71150</Words>
  <Characters>384213</Characters>
  <Application>Microsoft Office Word</Application>
  <DocSecurity>0</DocSecurity>
  <Lines>3201</Lines>
  <Paragraphs>908</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Greece | APR 2026</vt:lpstr>
      <vt:lpstr>Greece | APR 2026</vt:lpstr>
    </vt:vector>
  </TitlesOfParts>
  <Company>Athens, April 2021</Company>
  <LinksUpToDate>false</LinksUpToDate>
  <CharactersWithSpaces>454455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Greece | APR 2026</dc:title>
  <dc:subject>2022</dc:subject>
  <dc:creator>Δημήτριος Χείλαρης</dc:creator>
  <cp:keywords>Greece | APR 2026</cp:keywords>
  <cp:lastModifiedBy>Δημήτριος Χείλαρης</cp:lastModifiedBy>
  <cp:revision>12</cp:revision>
  <cp:lastPrinted>2026-04-30T10:01:00Z</cp:lastPrinted>
  <dcterms:created xsi:type="dcterms:W3CDTF">2026-04-30T09:30:00Z</dcterms:created>
  <dcterms:modified xsi:type="dcterms:W3CDTF">2026-04-30T10:01:00Z</dcterms:modified>
</cp:coreProperties>
</file>