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wmf" ContentType="image/x-wmf"/>
  <Override PartName="/word/media/image2.png" ContentType="image/png"/>
  <Override PartName="/word/media/hdphoto1.wdp" ContentType="image/vnd.ms-photo"/>
  <Override PartName="/word/media/image3.png" ContentType="image/png"/>
  <Override PartName="/word/header2.xml" ContentType="application/vnd.openxmlformats-officedocument.wordprocessingml.header+xml"/>
  <Override PartName="/word/header1.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_rels/chart2.xml.rels" ContentType="application/vnd.openxmlformats-package.relationship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embeddings/___________________Microsoft_Office_Excel1.xlsx" ContentType="application/vnd.openxmlformats-officedocument.spreadsheetml.sheet"/>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Calibri" w:hAnsi="Calibri" w:asciiTheme="minorHAnsi" w:hAnsiTheme="minorHAnsi"/>
          <w:b/>
          <w:b/>
          <w:color w:val="244061" w:themeColor="accent1" w:themeShade="80"/>
          <w:sz w:val="50"/>
          <w:szCs w:val="50"/>
        </w:rPr>
      </w:pPr>
      <w:r>
        <w:rPr/>
        <w:drawing>
          <wp:inline distT="0" distB="0" distL="0" distR="0">
            <wp:extent cx="4146550" cy="1257300"/>
            <wp:effectExtent l="0" t="0" r="0" b="0"/>
            <wp:docPr id="1" name="Εικόνα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0" descr=""/>
                    <pic:cNvPicPr>
                      <a:picLocks noChangeAspect="1" noChangeArrowheads="1"/>
                    </pic:cNvPicPr>
                  </pic:nvPicPr>
                  <pic:blipFill>
                    <a:blip r:embed="rId2"/>
                    <a:srcRect l="24550" t="0" r="28160" b="0"/>
                    <a:stretch>
                      <a:fillRect/>
                    </a:stretch>
                  </pic:blipFill>
                  <pic:spPr bwMode="auto">
                    <a:xfrm>
                      <a:off x="0" y="0"/>
                      <a:ext cx="4146550" cy="1257300"/>
                    </a:xfrm>
                    <a:prstGeom prst="rect">
                      <a:avLst/>
                    </a:prstGeom>
                  </pic:spPr>
                </pic:pic>
              </a:graphicData>
            </a:graphic>
          </wp:inline>
        </w:drawing>
      </w:r>
    </w:p>
    <w:p>
      <w:pPr>
        <w:pStyle w:val="Normal"/>
        <w:jc w:val="center"/>
        <w:rPr>
          <w:rFonts w:ascii="Calibri" w:hAnsi="Calibri" w:asciiTheme="minorHAnsi" w:hAnsiTheme="minorHAnsi"/>
          <w:b/>
          <w:b/>
          <w:color w:val="244061" w:themeColor="accent1" w:themeShade="80"/>
          <w:sz w:val="50"/>
          <w:szCs w:val="50"/>
        </w:rPr>
      </w:pPr>
      <w:r>
        <w:rPr>
          <w:rFonts w:asciiTheme="minorHAnsi" w:hAnsiTheme="minorHAnsi"/>
          <w:b/>
          <w:color w:val="244061" w:themeColor="accent1" w:themeShade="80"/>
          <w:sz w:val="50"/>
          <w:szCs w:val="50"/>
        </w:rPr>
      </w:r>
    </w:p>
    <w:p>
      <w:pPr>
        <w:pStyle w:val="Normal"/>
        <w:jc w:val="center"/>
        <w:rPr>
          <w:rFonts w:ascii="Calibri" w:hAnsi="Calibri" w:asciiTheme="minorHAnsi" w:hAnsiTheme="minorHAnsi"/>
          <w:b/>
          <w:b/>
          <w:color w:val="244061" w:themeColor="accent1" w:themeShade="80"/>
          <w:sz w:val="50"/>
          <w:szCs w:val="50"/>
        </w:rPr>
      </w:pPr>
      <w:r>
        <w:rPr>
          <w:rFonts w:asciiTheme="minorHAnsi" w:hAnsiTheme="minorHAnsi"/>
          <w:b/>
          <w:color w:val="244061" w:themeColor="accent1" w:themeShade="80"/>
          <w:sz w:val="50"/>
          <w:szCs w:val="50"/>
        </w:rPr>
        <w:t>ΠΛΗΡΟΦΟΡΙΑΚΟ ΣΥΣΤΗΜΑ</w:t>
      </w:r>
      <w:r>
        <w:rPr>
          <w:rFonts w:asciiTheme="minorHAnsi" w:hAnsiTheme="minorHAnsi"/>
          <w:b/>
          <w:color w:val="244061" w:themeColor="accent1" w:themeShade="80"/>
          <w:sz w:val="50"/>
          <w:szCs w:val="50"/>
          <w:lang w:val="en-US"/>
        </w:rPr>
        <w:t xml:space="preserve"> </w:t>
      </w:r>
      <w:r>
        <w:rPr>
          <w:rFonts w:asciiTheme="minorHAnsi" w:hAnsiTheme="minorHAnsi"/>
          <w:b/>
          <w:color w:val="244061" w:themeColor="accent1" w:themeShade="80"/>
          <w:sz w:val="50"/>
          <w:szCs w:val="50"/>
        </w:rPr>
        <w:t>«ΑΤΛΑΣ»</w:t>
      </w:r>
    </w:p>
    <w:p>
      <w:pPr>
        <w:pStyle w:val="Normal"/>
        <w:jc w:val="center"/>
        <w:rPr>
          <w:rFonts w:ascii="Calibri" w:hAnsi="Calibri" w:asciiTheme="minorHAnsi" w:hAnsiTheme="minorHAnsi"/>
          <w:b/>
          <w:b/>
          <w:color w:val="244061" w:themeColor="accent1" w:themeShade="80"/>
          <w:sz w:val="50"/>
          <w:szCs w:val="50"/>
        </w:rPr>
      </w:pPr>
      <w:r>
        <w:rPr>
          <w:rFonts w:asciiTheme="minorHAnsi" w:hAnsiTheme="minorHAnsi"/>
          <w:b/>
          <w:color w:val="244061" w:themeColor="accent1" w:themeShade="80"/>
          <w:sz w:val="50"/>
          <w:szCs w:val="50"/>
        </w:rPr>
      </w:r>
    </w:p>
    <w:p>
      <w:pPr>
        <w:pStyle w:val="Normal"/>
        <w:jc w:val="center"/>
        <w:rPr>
          <w:rFonts w:ascii="Calibri" w:hAnsi="Calibri" w:asciiTheme="minorHAnsi" w:hAnsiTheme="minorHAnsi"/>
          <w:lang w:eastAsia="el-GR"/>
        </w:rPr>
      </w:pPr>
      <w:r>
        <w:rPr/>
        <mc:AlternateContent>
          <mc:Choice Requires="wps">
            <w:drawing>
              <wp:inline distT="0" distB="0" distL="0" distR="7620">
                <wp:extent cx="3822700" cy="2826385"/>
                <wp:effectExtent l="0" t="0" r="7620" b="0"/>
                <wp:docPr id="2" name="Εικόνα 5"/>
                <a:graphic xmlns:a="http://schemas.openxmlformats.org/drawingml/2006/main">
                  <a:graphicData uri="http://schemas.openxmlformats.org/drawingml/2006/picture">
                    <pic:pic xmlns:pic="http://schemas.openxmlformats.org/drawingml/2006/picture">
                      <pic:nvPicPr>
                        <pic:cNvPr id="0" name="Εικόνα 5" descr=""/>
                        <pic:cNvPicPr/>
                      </pic:nvPicPr>
                      <pic:blipFill>
                        <a:blip r:embed="rId3">
                          <a:extLst>
                            <a:ext uri="{BEBA8EAE-BF5A-486C-A8C5-ECC9F3942E4B}">
                              <a14:imgProps xmlns:a14="http://schemas.microsoft.com/office/drawing/2010/main">
                                <a14:imgLayer r:embed="rId4">
                                  <a14:imgEffect>
                                    <a14:saturation amount="50000" colorTemp="8800" sat="200000"/>
                                  </a14:imgEffect>
                                </a14:imgLayer>
                              </a14:imgProps>
                            </a:ext>
                          </a:extLst>
                        </a:blip>
                        <a:srcRect l="0" t="0" r="1126" b="0"/>
                        <a:stretch/>
                      </pic:blipFill>
                      <pic:spPr>
                        <a:xfrm>
                          <a:off x="0" y="0"/>
                          <a:ext cx="3822120" cy="2825640"/>
                        </a:xfrm>
                        <a:prstGeom prst="rect">
                          <a:avLst/>
                        </a:prstGeom>
                        <a:ln w="0">
                          <a:noFill/>
                        </a:ln>
                      </pic:spPr>
                    </pic:pic>
                  </a:graphicData>
                </a:graphic>
              </wp:inline>
            </w:drawing>
          </mc:Choice>
          <mc:Fallback>
            <w:pict>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Εικόνα 5" stroked="f" style="position:absolute;margin-left:0pt;margin-top:-222.55pt;width:300.9pt;height:222.45pt;mso-wrap-style:none;v-text-anchor:middle;mso-position-vertical:top" type="shapetype_75">
                <v:imagedata r:id="rId5" o:detectmouseclick="t"/>
                <v:stroke color="#3465a4" joinstyle="round" endcap="flat"/>
                <w10:wrap type="square"/>
              </v:shape>
            </w:pict>
          </mc:Fallback>
        </mc:AlternateContent>
      </w:r>
    </w:p>
    <w:p>
      <w:pPr>
        <w:pStyle w:val="Normal"/>
        <w:jc w:val="center"/>
        <w:rPr>
          <w:rFonts w:ascii="Calibri" w:hAnsi="Calibri" w:asciiTheme="minorHAnsi" w:hAnsiTheme="minorHAnsi"/>
          <w:b/>
          <w:b/>
          <w:color w:val="244061" w:themeColor="accent1" w:themeShade="80"/>
          <w:sz w:val="50"/>
          <w:szCs w:val="50"/>
        </w:rPr>
      </w:pPr>
      <w:r>
        <w:rPr>
          <w:rFonts w:asciiTheme="minorHAnsi" w:hAnsiTheme="minorHAnsi"/>
          <w:b/>
          <w:color w:val="244061" w:themeColor="accent1" w:themeShade="80"/>
          <w:sz w:val="50"/>
          <w:szCs w:val="50"/>
        </w:rPr>
      </w:r>
    </w:p>
    <w:p>
      <w:pPr>
        <w:pStyle w:val="Normal"/>
        <w:jc w:val="center"/>
        <w:rPr>
          <w:rFonts w:ascii="Calibri" w:hAnsi="Calibri" w:asciiTheme="minorHAnsi" w:hAnsiTheme="minorHAnsi"/>
          <w:lang w:eastAsia="el-GR"/>
        </w:rPr>
      </w:pPr>
      <w:r>
        <w:rPr>
          <w:rFonts w:asciiTheme="minorHAnsi" w:hAnsiTheme="minorHAnsi"/>
          <w:b/>
          <w:sz w:val="50"/>
          <w:szCs w:val="50"/>
        </w:rPr>
        <w:t>ΜΗΝΙΑΙΑ ΑΠΕΙΚΟΝΙΣΗ ΑΠΟΝΟΜΩΝ ΚΥΡΙΩΝ ΣΥΝΤΑΞΕΩΝ</w:t>
      </w:r>
    </w:p>
    <w:p>
      <w:pPr>
        <w:pStyle w:val="Normal"/>
        <w:tabs>
          <w:tab w:val="clear" w:pos="720"/>
          <w:tab w:val="left" w:pos="5860" w:leader="none"/>
        </w:tabs>
        <w:rPr>
          <w:rFonts w:ascii="Calibri" w:hAnsi="Calibri" w:asciiTheme="minorHAnsi" w:hAnsiTheme="minorHAnsi"/>
        </w:rPr>
      </w:pPr>
      <w:r>
        <w:rPr>
          <w:rFonts w:asciiTheme="minorHAnsi" w:hAnsiTheme="minorHAnsi"/>
        </w:rPr>
        <w:tab/>
      </w:r>
    </w:p>
    <w:p>
      <w:pPr>
        <w:pStyle w:val="Normal"/>
        <w:tabs>
          <w:tab w:val="clear" w:pos="720"/>
          <w:tab w:val="left" w:pos="2340" w:leader="none"/>
          <w:tab w:val="center" w:pos="4607" w:leader="none"/>
        </w:tabs>
        <w:rPr>
          <w:rFonts w:ascii="Calibri" w:hAnsi="Calibri" w:asciiTheme="minorHAnsi" w:hAnsiTheme="minorHAnsi"/>
          <w:b/>
          <w:b/>
          <w:color w:val="1F497D" w:themeColor="text2"/>
          <w:sz w:val="28"/>
          <w:szCs w:val="28"/>
        </w:rPr>
      </w:pPr>
      <w:r>
        <w:rPr>
          <w:rFonts w:asciiTheme="minorHAnsi" w:hAnsiTheme="minorHAnsi"/>
          <w:b/>
          <w:color w:val="1F497D" w:themeColor="text2"/>
          <w:sz w:val="28"/>
          <w:szCs w:val="28"/>
        </w:rPr>
        <w:tab/>
        <w:tab/>
      </w:r>
    </w:p>
    <w:p>
      <w:pPr>
        <w:sectPr>
          <w:headerReference w:type="default" r:id="rId6"/>
          <w:footerReference w:type="default" r:id="rId7"/>
          <w:type w:val="nextPage"/>
          <w:pgSz w:w="11906" w:h="16838"/>
          <w:pgMar w:left="1276" w:right="1416" w:header="708" w:top="1440" w:footer="45" w:bottom="1485" w:gutter="0"/>
          <w:pgBorders w:display="allPages" w:offsetFrom="page">
            <w:top w:val="single" w:sz="18" w:space="24" w:color="1F497D" w:shadow="1"/>
            <w:left w:val="single" w:sz="18" w:space="24" w:color="1F497D" w:shadow="1"/>
            <w:bottom w:val="single" w:sz="18" w:space="0" w:color="1F497D" w:shadow="1"/>
            <w:right w:val="single" w:sz="18" w:space="24" w:color="1F497D" w:shadow="1"/>
          </w:pgBorders>
          <w:pgNumType w:fmt="decimal"/>
          <w:formProt w:val="false"/>
          <w:textDirection w:val="lrTb"/>
          <w:docGrid w:type="default" w:linePitch="360" w:charSpace="0"/>
        </w:sectPr>
      </w:pPr>
    </w:p>
    <w:sdt>
      <w:sdtPr>
        <w:docPartObj>
          <w:docPartGallery w:val="Table of Contents"/>
          <w:docPartUnique w:val="true"/>
        </w:docPartObj>
      </w:sdtPr>
      <w:sdtContent>
        <w:p>
          <w:pPr>
            <w:pStyle w:val="TOCHeading"/>
            <w:jc w:val="center"/>
            <w:rPr>
              <w:rFonts w:ascii="Calibri" w:hAnsi="Calibri" w:asciiTheme="minorHAnsi" w:hAnsiTheme="minorHAnsi"/>
            </w:rPr>
          </w:pPr>
          <w:r>
            <w:rPr>
              <w:rFonts w:cs="Arial" w:ascii="Calibri" w:hAnsi="Calibri" w:asciiTheme="minorHAnsi" w:hAnsiTheme="minorHAnsi"/>
            </w:rPr>
            <w:t>Περιεχόμενα</w:t>
          </w:r>
        </w:p>
        <w:p>
          <w:pPr>
            <w:pStyle w:val="Normal"/>
            <w:rPr>
              <w:rFonts w:ascii="Calibri" w:hAnsi="Calibri" w:asciiTheme="minorHAnsi" w:hAnsiTheme="minorHAnsi"/>
            </w:rPr>
          </w:pPr>
          <w:r>
            <w:rPr>
              <w:rFonts w:asciiTheme="minorHAnsi" w:hAnsiTheme="minorHAnsi"/>
            </w:rPr>
          </w:r>
        </w:p>
        <w:p>
          <w:pPr>
            <w:pStyle w:val="11"/>
            <w:tabs>
              <w:tab w:val="clear" w:pos="720"/>
              <w:tab w:val="right" w:pos="8296" w:leader="dot"/>
            </w:tabs>
            <w:rPr>
              <w:rFonts w:ascii="Calibri" w:hAnsi="Calibri" w:eastAsia="" w:cs="" w:asciiTheme="minorHAnsi" w:cstheme="minorBidi" w:eastAsiaTheme="minorEastAsia" w:hAnsiTheme="minorHAnsi"/>
              <w:lang w:eastAsia="el-GR"/>
            </w:rPr>
          </w:pPr>
          <w:r>
            <w:fldChar w:fldCharType="begin"/>
          </w:r>
          <w:r>
            <w:rPr>
              <w:webHidden/>
              <w:rFonts w:eastAsia="Times New Roman" w:cs="Calibri"/>
              <w:lang w:eastAsia="el-GR"/>
            </w:rPr>
            <w:instrText> TOC \z \o "1-3" \u \h</w:instrText>
          </w:r>
          <w:r>
            <w:rPr>
              <w:webHidden/>
              <w:rFonts w:eastAsia="Times New Roman" w:cs="Calibri"/>
              <w:lang w:eastAsia="el-GR"/>
            </w:rPr>
            <w:fldChar w:fldCharType="separate"/>
          </w:r>
          <w:hyperlink w:anchor="_Toc56598599">
            <w:r>
              <w:rPr>
                <w:webHidden/>
                <w:rFonts w:eastAsia="Times New Roman" w:cs="Calibri" w:cstheme="minorHAnsi"/>
                <w:lang w:eastAsia="el-GR"/>
              </w:rPr>
              <w:t>Μήνυμα Υπουργού Εργασίας  και Κοινωνικών Υποθέσεων</w:t>
            </w:r>
            <w:r>
              <w:rPr>
                <w:webHidden/>
              </w:rPr>
              <w:fldChar w:fldCharType="begin"/>
            </w:r>
            <w:r>
              <w:rPr>
                <w:webHidden/>
              </w:rPr>
              <w:instrText>PAGEREF _Toc56598599 \h</w:instrText>
            </w:r>
            <w:r>
              <w:rPr>
                <w:webHidden/>
              </w:rPr>
              <w:fldChar w:fldCharType="separate"/>
            </w:r>
            <w:r>
              <w:rPr>
                <w:vanish w:val="false"/>
              </w:rPr>
              <w:tab/>
              <w:t>3</w:t>
            </w:r>
            <w:r>
              <w:rPr>
                <w:webHidden/>
              </w:rPr>
              <w:fldChar w:fldCharType="end"/>
            </w:r>
          </w:hyperlink>
        </w:p>
        <w:p>
          <w:pPr>
            <w:pStyle w:val="11"/>
            <w:tabs>
              <w:tab w:val="clear" w:pos="720"/>
              <w:tab w:val="right" w:pos="8296" w:leader="dot"/>
            </w:tabs>
            <w:rPr>
              <w:rFonts w:ascii="Calibri" w:hAnsi="Calibri" w:eastAsia="" w:cs="" w:asciiTheme="minorHAnsi" w:cstheme="minorBidi" w:eastAsiaTheme="minorEastAsia" w:hAnsiTheme="minorHAnsi"/>
              <w:lang w:eastAsia="el-GR"/>
            </w:rPr>
          </w:pPr>
          <w:hyperlink w:anchor="_Toc56598600">
            <w:r>
              <w:rPr>
                <w:webHidden/>
                <w:rFonts w:eastAsia="Times New Roman" w:cs="Calibri" w:cstheme="minorHAnsi"/>
                <w:lang w:eastAsia="el-GR"/>
              </w:rPr>
              <w:t>Πρόλογος</w:t>
            </w:r>
            <w:r>
              <w:rPr>
                <w:webHidden/>
              </w:rPr>
              <w:fldChar w:fldCharType="begin"/>
            </w:r>
            <w:r>
              <w:rPr>
                <w:webHidden/>
              </w:rPr>
              <w:instrText>PAGEREF _Toc56598600 \h</w:instrText>
            </w:r>
            <w:r>
              <w:rPr>
                <w:webHidden/>
              </w:rPr>
              <w:fldChar w:fldCharType="separate"/>
            </w:r>
            <w:r>
              <w:rPr>
                <w:vanish w:val="false"/>
              </w:rPr>
              <w:tab/>
              <w:t>5</w:t>
            </w:r>
            <w:r>
              <w:rPr>
                <w:webHidden/>
              </w:rPr>
              <w:fldChar w:fldCharType="end"/>
            </w:r>
          </w:hyperlink>
        </w:p>
        <w:p>
          <w:pPr>
            <w:pStyle w:val="11"/>
            <w:tabs>
              <w:tab w:val="clear" w:pos="720"/>
              <w:tab w:val="left" w:pos="440" w:leader="none"/>
              <w:tab w:val="right" w:pos="8296" w:leader="dot"/>
            </w:tabs>
            <w:rPr>
              <w:rFonts w:ascii="Calibri" w:hAnsi="Calibri" w:eastAsia="" w:cs="" w:asciiTheme="minorHAnsi" w:cstheme="minorBidi" w:eastAsiaTheme="minorEastAsia" w:hAnsiTheme="minorHAnsi"/>
              <w:lang w:eastAsia="el-GR"/>
            </w:rPr>
          </w:pPr>
          <w:hyperlink w:anchor="_Toc56598601">
            <w:r>
              <w:rPr>
                <w:webHidden/>
                <w:rFonts w:eastAsia="Times New Roman" w:cs="Calibri" w:cstheme="minorHAnsi"/>
                <w:lang w:eastAsia="el-GR"/>
              </w:rPr>
              <w:t>1.</w:t>
            </w:r>
            <w:r>
              <w:rPr>
                <w:rFonts w:eastAsia="" w:cs="" w:cstheme="minorBidi" w:eastAsiaTheme="minorEastAsia"/>
                <w:lang w:eastAsia="el-GR"/>
              </w:rPr>
              <w:tab/>
            </w:r>
            <w:r>
              <w:rPr>
                <w:rFonts w:eastAsia="Times New Roman" w:cs="Calibri" w:cstheme="minorHAnsi"/>
                <w:lang w:eastAsia="el-GR"/>
              </w:rPr>
              <w:t>Μηνιαία ολοκλήρωση Αιτημάτων Κύριας Σύνταξης</w:t>
            </w:r>
            <w:r>
              <w:rPr>
                <w:webHidden/>
              </w:rPr>
              <w:fldChar w:fldCharType="begin"/>
            </w:r>
            <w:r>
              <w:rPr>
                <w:webHidden/>
              </w:rPr>
              <w:instrText>PAGEREF _Toc56598601 \h</w:instrText>
            </w:r>
            <w:r>
              <w:rPr>
                <w:webHidden/>
              </w:rPr>
              <w:fldChar w:fldCharType="separate"/>
            </w:r>
            <w:r>
              <w:rPr>
                <w:vanish w:val="false"/>
              </w:rPr>
              <w:tab/>
              <w:t>7</w:t>
            </w:r>
            <w:r>
              <w:rPr>
                <w:webHidden/>
              </w:rPr>
              <w:fldChar w:fldCharType="end"/>
            </w:r>
          </w:hyperlink>
        </w:p>
        <w:p>
          <w:pPr>
            <w:pStyle w:val="11"/>
            <w:tabs>
              <w:tab w:val="clear" w:pos="720"/>
              <w:tab w:val="left" w:pos="440" w:leader="none"/>
              <w:tab w:val="right" w:pos="8296" w:leader="dot"/>
            </w:tabs>
            <w:rPr>
              <w:rFonts w:ascii="Calibri" w:hAnsi="Calibri" w:eastAsia="" w:cs="" w:asciiTheme="minorHAnsi" w:cstheme="minorBidi" w:eastAsiaTheme="minorEastAsia" w:hAnsiTheme="minorHAnsi"/>
              <w:lang w:eastAsia="el-GR"/>
            </w:rPr>
          </w:pPr>
          <w:hyperlink w:anchor="_Toc56598602">
            <w:r>
              <w:rPr>
                <w:webHidden/>
                <w:rFonts w:eastAsia="Times New Roman"/>
                <w:lang w:eastAsia="el-GR"/>
              </w:rPr>
              <w:t>2.</w:t>
            </w:r>
            <w:r>
              <w:rPr>
                <w:rFonts w:eastAsia="" w:cs="" w:cstheme="minorBidi" w:eastAsiaTheme="minorEastAsia"/>
                <w:lang w:eastAsia="el-GR"/>
              </w:rPr>
              <w:tab/>
            </w:r>
            <w:r>
              <w:rPr>
                <w:rFonts w:eastAsia="Times New Roman"/>
                <w:lang w:eastAsia="el-GR"/>
              </w:rPr>
              <w:t>Πλήθος νέων αιτήσεων οριστικής κύριας σύνταξης</w:t>
            </w:r>
            <w:r>
              <w:rPr>
                <w:webHidden/>
              </w:rPr>
              <w:fldChar w:fldCharType="begin"/>
            </w:r>
            <w:r>
              <w:rPr>
                <w:webHidden/>
              </w:rPr>
              <w:instrText>PAGEREF _Toc56598602 \h</w:instrText>
            </w:r>
            <w:r>
              <w:rPr>
                <w:webHidden/>
              </w:rPr>
              <w:fldChar w:fldCharType="separate"/>
            </w:r>
            <w:r>
              <w:rPr>
                <w:vanish w:val="false"/>
              </w:rPr>
              <w:tab/>
              <w:t>8</w:t>
            </w:r>
            <w:r>
              <w:rPr>
                <w:webHidden/>
              </w:rPr>
              <w:fldChar w:fldCharType="end"/>
            </w:r>
          </w:hyperlink>
        </w:p>
        <w:p>
          <w:pPr>
            <w:pStyle w:val="11"/>
            <w:tabs>
              <w:tab w:val="clear" w:pos="720"/>
              <w:tab w:val="left" w:pos="440" w:leader="none"/>
              <w:tab w:val="right" w:pos="8296" w:leader="dot"/>
            </w:tabs>
            <w:rPr>
              <w:rFonts w:ascii="Calibri" w:hAnsi="Calibri" w:eastAsia="" w:cs="" w:asciiTheme="minorHAnsi" w:cstheme="minorBidi" w:eastAsiaTheme="minorEastAsia" w:hAnsiTheme="minorHAnsi"/>
              <w:lang w:eastAsia="el-GR"/>
            </w:rPr>
          </w:pPr>
          <w:hyperlink w:anchor="_Toc56598603">
            <w:r>
              <w:rPr>
                <w:webHidden/>
                <w:rFonts w:cs="Calibri" w:cstheme="minorHAnsi"/>
              </w:rPr>
              <w:t>3.</w:t>
            </w:r>
            <w:r>
              <w:rPr>
                <w:rFonts w:eastAsia="" w:cs="" w:cstheme="minorBidi" w:eastAsiaTheme="minorEastAsia"/>
                <w:lang w:eastAsia="el-GR"/>
              </w:rPr>
              <w:tab/>
            </w:r>
            <w:r>
              <w:rPr>
                <w:rFonts w:cs="Calibri" w:cstheme="minorHAnsi"/>
              </w:rPr>
              <w:t>Πλήθος και εκτιμώμενη πληρωμή εκκρεμών αιτήσεων οριστικής κύριας σύνταξης</w:t>
            </w:r>
            <w:r>
              <w:rPr>
                <w:webHidden/>
              </w:rPr>
              <w:fldChar w:fldCharType="begin"/>
            </w:r>
            <w:r>
              <w:rPr>
                <w:webHidden/>
              </w:rPr>
              <w:instrText>PAGEREF _Toc56598603 \h</w:instrText>
            </w:r>
            <w:r>
              <w:rPr>
                <w:webHidden/>
              </w:rPr>
              <w:fldChar w:fldCharType="separate"/>
            </w:r>
            <w:r>
              <w:rPr>
                <w:vanish w:val="false"/>
              </w:rPr>
              <w:tab/>
              <w:t>10</w:t>
            </w:r>
            <w:r>
              <w:rPr>
                <w:webHidden/>
              </w:rPr>
              <w:fldChar w:fldCharType="end"/>
            </w:r>
          </w:hyperlink>
        </w:p>
        <w:p>
          <w:pPr>
            <w:pStyle w:val="Normal"/>
            <w:rPr>
              <w:rFonts w:ascii="Calibri" w:hAnsi="Calibri" w:asciiTheme="minorHAnsi" w:hAnsiTheme="minorHAnsi"/>
            </w:rPr>
          </w:pPr>
          <w:r>
            <w:rPr>
              <w:rFonts w:asciiTheme="minorHAnsi" w:hAnsiTheme="minorHAnsi"/>
            </w:rPr>
          </w:r>
          <w:r>
            <w:rPr/>
            <w:fldChar w:fldCharType="end"/>
          </w:r>
        </w:p>
      </w:sdtContent>
    </w:sdt>
    <w:p>
      <w:pPr>
        <w:pStyle w:val="NoSpacing"/>
        <w:spacing w:lineRule="auto" w:line="360"/>
        <w:ind w:left="720" w:hanging="0"/>
        <w:jc w:val="both"/>
        <w:rPr>
          <w:rFonts w:cs="Arial"/>
          <w:b/>
          <w:b/>
          <w:color w:val="1F497D" w:themeColor="text2"/>
          <w:sz w:val="28"/>
        </w:rPr>
      </w:pPr>
      <w:r>
        <w:rPr>
          <w:rFonts w:cs="Arial"/>
          <w:b/>
          <w:color w:val="1F497D" w:themeColor="text2"/>
          <w:sz w:val="28"/>
        </w:rPr>
      </w:r>
    </w:p>
    <w:p>
      <w:pPr>
        <w:pStyle w:val="NoSpacing"/>
        <w:spacing w:lineRule="auto" w:line="360"/>
        <w:ind w:left="720" w:hanging="0"/>
        <w:jc w:val="both"/>
        <w:rPr>
          <w:rFonts w:cs="Arial"/>
          <w:b/>
          <w:b/>
          <w:color w:val="1F497D" w:themeColor="text2"/>
          <w:sz w:val="28"/>
        </w:rPr>
      </w:pPr>
      <w:r>
        <w:rPr>
          <w:rFonts w:cs="Arial"/>
          <w:b/>
          <w:color w:val="1F497D" w:themeColor="text2"/>
          <w:sz w:val="28"/>
        </w:rPr>
      </w:r>
    </w:p>
    <w:p>
      <w:pPr>
        <w:pStyle w:val="NoSpacing"/>
        <w:spacing w:lineRule="auto" w:line="360"/>
        <w:ind w:left="720" w:hanging="0"/>
        <w:jc w:val="both"/>
        <w:rPr>
          <w:rFonts w:cs="Arial"/>
          <w:b/>
          <w:b/>
          <w:color w:val="1F497D" w:themeColor="text2"/>
          <w:sz w:val="28"/>
          <w:lang w:val="en-US"/>
        </w:rPr>
      </w:pPr>
      <w:r>
        <w:rPr>
          <w:rFonts w:cs="Arial"/>
          <w:b/>
          <w:color w:val="1F497D" w:themeColor="text2"/>
          <w:sz w:val="28"/>
          <w:lang w:val="en-US"/>
        </w:rPr>
      </w:r>
    </w:p>
    <w:p>
      <w:pPr>
        <w:pStyle w:val="NoSpacing"/>
        <w:spacing w:lineRule="auto" w:line="360"/>
        <w:ind w:left="720" w:hanging="0"/>
        <w:jc w:val="both"/>
        <w:rPr>
          <w:rFonts w:cs="Arial"/>
          <w:b/>
          <w:b/>
          <w:color w:val="1F497D" w:themeColor="text2"/>
          <w:sz w:val="28"/>
        </w:rPr>
      </w:pPr>
      <w:r>
        <w:rPr>
          <w:rFonts w:cs="Arial"/>
          <w:b/>
          <w:color w:val="1F497D" w:themeColor="text2"/>
          <w:sz w:val="28"/>
        </w:rPr>
      </w:r>
    </w:p>
    <w:p>
      <w:pPr>
        <w:pStyle w:val="NoSpacing"/>
        <w:spacing w:lineRule="auto" w:line="360"/>
        <w:ind w:left="720" w:hanging="0"/>
        <w:jc w:val="both"/>
        <w:rPr>
          <w:rFonts w:cs="Arial"/>
          <w:b/>
          <w:b/>
          <w:color w:val="1F497D" w:themeColor="text2"/>
          <w:sz w:val="28"/>
        </w:rPr>
      </w:pPr>
      <w:r>
        <w:rPr>
          <w:rFonts w:cs="Arial"/>
          <w:b/>
          <w:color w:val="1F497D" w:themeColor="text2"/>
          <w:sz w:val="28"/>
        </w:rPr>
      </w:r>
    </w:p>
    <w:p>
      <w:pPr>
        <w:pStyle w:val="NoSpacing"/>
        <w:spacing w:lineRule="auto" w:line="360"/>
        <w:ind w:left="720" w:hanging="0"/>
        <w:jc w:val="both"/>
        <w:rPr>
          <w:rFonts w:cs="Arial"/>
          <w:b/>
          <w:b/>
          <w:color w:val="1F497D" w:themeColor="text2"/>
          <w:sz w:val="28"/>
        </w:rPr>
      </w:pPr>
      <w:r>
        <w:rPr>
          <w:rFonts w:cs="Arial"/>
          <w:b/>
          <w:color w:val="1F497D" w:themeColor="text2"/>
          <w:sz w:val="28"/>
        </w:rPr>
      </w:r>
    </w:p>
    <w:p>
      <w:pPr>
        <w:pStyle w:val="NoSpacing"/>
        <w:spacing w:lineRule="auto" w:line="360"/>
        <w:ind w:left="720" w:hanging="0"/>
        <w:jc w:val="both"/>
        <w:rPr>
          <w:rFonts w:cs="Arial"/>
          <w:b/>
          <w:b/>
          <w:color w:val="1F497D" w:themeColor="text2"/>
          <w:sz w:val="28"/>
        </w:rPr>
      </w:pPr>
      <w:r>
        <w:rPr>
          <w:rFonts w:cs="Arial"/>
          <w:b/>
          <w:color w:val="1F497D" w:themeColor="text2"/>
          <w:sz w:val="28"/>
        </w:rPr>
      </w:r>
    </w:p>
    <w:p>
      <w:pPr>
        <w:pStyle w:val="NoSpacing"/>
        <w:spacing w:lineRule="auto" w:line="360"/>
        <w:ind w:left="720" w:hanging="0"/>
        <w:jc w:val="both"/>
        <w:rPr>
          <w:rFonts w:cs="Arial"/>
          <w:b/>
          <w:b/>
          <w:color w:val="1F497D" w:themeColor="text2"/>
          <w:sz w:val="28"/>
        </w:rPr>
      </w:pPr>
      <w:r>
        <w:rPr>
          <w:rFonts w:cs="Arial"/>
          <w:b/>
          <w:color w:val="1F497D" w:themeColor="text2"/>
          <w:sz w:val="28"/>
        </w:rPr>
      </w:r>
    </w:p>
    <w:p>
      <w:pPr>
        <w:pStyle w:val="NoSpacing"/>
        <w:spacing w:lineRule="auto" w:line="360"/>
        <w:ind w:left="720" w:hanging="0"/>
        <w:jc w:val="both"/>
        <w:rPr>
          <w:rFonts w:cs="Arial"/>
          <w:b/>
          <w:b/>
          <w:color w:val="1F497D" w:themeColor="text2"/>
          <w:sz w:val="28"/>
        </w:rPr>
      </w:pPr>
      <w:r>
        <w:rPr>
          <w:rFonts w:cs="Arial"/>
          <w:b/>
          <w:color w:val="1F497D" w:themeColor="text2"/>
          <w:sz w:val="28"/>
        </w:rPr>
      </w:r>
    </w:p>
    <w:p>
      <w:pPr>
        <w:pStyle w:val="NoSpacing"/>
        <w:spacing w:lineRule="auto" w:line="360"/>
        <w:ind w:left="720" w:hanging="0"/>
        <w:jc w:val="both"/>
        <w:rPr>
          <w:rFonts w:cs="Arial"/>
          <w:b/>
          <w:b/>
          <w:color w:val="1F497D" w:themeColor="text2"/>
          <w:sz w:val="28"/>
        </w:rPr>
      </w:pPr>
      <w:r>
        <w:rPr>
          <w:rFonts w:cs="Arial"/>
          <w:b/>
          <w:color w:val="1F497D" w:themeColor="text2"/>
          <w:sz w:val="28"/>
        </w:rPr>
      </w:r>
    </w:p>
    <w:p>
      <w:pPr>
        <w:pStyle w:val="NoSpacing"/>
        <w:spacing w:lineRule="auto" w:line="360"/>
        <w:ind w:left="720" w:hanging="0"/>
        <w:jc w:val="both"/>
        <w:rPr>
          <w:rFonts w:cs="Arial"/>
          <w:b/>
          <w:b/>
          <w:color w:val="1F497D" w:themeColor="text2"/>
          <w:sz w:val="28"/>
        </w:rPr>
      </w:pPr>
      <w:r>
        <w:rPr>
          <w:rFonts w:cs="Arial"/>
          <w:b/>
          <w:color w:val="1F497D" w:themeColor="text2"/>
          <w:sz w:val="28"/>
        </w:rPr>
      </w:r>
    </w:p>
    <w:p>
      <w:pPr>
        <w:pStyle w:val="NoSpacing"/>
        <w:spacing w:lineRule="auto" w:line="360"/>
        <w:ind w:left="720" w:hanging="0"/>
        <w:jc w:val="both"/>
        <w:rPr>
          <w:rFonts w:cs="Arial"/>
          <w:b/>
          <w:b/>
          <w:color w:val="1F497D" w:themeColor="text2"/>
          <w:sz w:val="28"/>
        </w:rPr>
      </w:pPr>
      <w:r>
        <w:rPr>
          <w:rFonts w:cs="Arial"/>
          <w:b/>
          <w:color w:val="1F497D" w:themeColor="text2"/>
          <w:sz w:val="28"/>
        </w:rPr>
      </w:r>
    </w:p>
    <w:p>
      <w:pPr>
        <w:pStyle w:val="NoSpacing"/>
        <w:spacing w:lineRule="auto" w:line="360"/>
        <w:ind w:left="720" w:hanging="0"/>
        <w:jc w:val="both"/>
        <w:rPr>
          <w:rFonts w:cs="Arial"/>
          <w:b/>
          <w:b/>
          <w:color w:val="1F497D" w:themeColor="text2"/>
          <w:sz w:val="28"/>
        </w:rPr>
      </w:pPr>
      <w:r>
        <w:rPr>
          <w:rFonts w:cs="Arial"/>
          <w:b/>
          <w:color w:val="1F497D" w:themeColor="text2"/>
          <w:sz w:val="28"/>
        </w:rPr>
      </w:r>
    </w:p>
    <w:p>
      <w:pPr>
        <w:pStyle w:val="Normal"/>
        <w:spacing w:lineRule="auto" w:line="240" w:before="0" w:after="0"/>
        <w:rPr>
          <w:rFonts w:ascii="Calibri" w:hAnsi="Calibri" w:eastAsia="" w:cs="Arial" w:asciiTheme="minorHAnsi" w:eastAsiaTheme="majorEastAsia" w:hAnsiTheme="minorHAnsi"/>
          <w:b/>
          <w:b/>
          <w:bCs/>
          <w:color w:val="365F91" w:themeColor="accent1" w:themeShade="bf"/>
          <w:sz w:val="28"/>
          <w:szCs w:val="28"/>
        </w:rPr>
      </w:pPr>
      <w:r>
        <w:rPr>
          <w:rFonts w:eastAsia="" w:cs="Arial" w:eastAsiaTheme="majorEastAsia"/>
          <w:b/>
          <w:bCs/>
          <w:color w:val="365F91" w:themeColor="accent1" w:themeShade="bf"/>
          <w:sz w:val="28"/>
          <w:szCs w:val="28"/>
        </w:rPr>
      </w:r>
      <w:r>
        <w:br w:type="page"/>
      </w:r>
    </w:p>
    <w:p>
      <w:pPr>
        <w:pStyle w:val="1"/>
        <w:ind w:left="720" w:hanging="0"/>
        <w:rPr>
          <w:rFonts w:ascii="Calibri" w:hAnsi="Calibri" w:eastAsia="Times New Roman" w:cs="Calibri" w:asciiTheme="minorHAnsi" w:cstheme="minorHAnsi" w:hAnsiTheme="minorHAnsi"/>
          <w:sz w:val="24"/>
          <w:szCs w:val="24"/>
          <w:lang w:eastAsia="el-GR"/>
        </w:rPr>
      </w:pPr>
      <w:bookmarkStart w:id="0" w:name="_Toc56598599"/>
      <w:r>
        <w:rPr>
          <w:rFonts w:eastAsia="Times New Roman" w:cs="Calibri" w:ascii="Calibri" w:hAnsi="Calibri" w:asciiTheme="minorHAnsi" w:cstheme="minorHAnsi" w:hAnsiTheme="minorHAnsi"/>
          <w:sz w:val="24"/>
          <w:szCs w:val="24"/>
          <w:lang w:eastAsia="el-GR"/>
        </w:rPr>
        <w:t>Μήνυμα Υπουργού Εργασίας  και Κοινωνικών Υποθέσεων</w:t>
      </w:r>
      <w:bookmarkEnd w:id="0"/>
      <w:r>
        <w:rPr>
          <w:rFonts w:eastAsia="Times New Roman" w:cs="Calibri" w:ascii="Calibri" w:hAnsi="Calibri" w:asciiTheme="minorHAnsi" w:cstheme="minorHAnsi" w:hAnsiTheme="minorHAnsi"/>
          <w:sz w:val="24"/>
          <w:szCs w:val="24"/>
          <w:lang w:eastAsia="el-GR"/>
        </w:rPr>
        <w:t xml:space="preserve"> </w:t>
      </w:r>
    </w:p>
    <w:p>
      <w:pPr>
        <w:pStyle w:val="Normal"/>
        <w:rPr>
          <w:lang w:eastAsia="el-GR"/>
        </w:rPr>
      </w:pPr>
      <w:r>
        <w:rPr>
          <w:lang w:eastAsia="el-GR"/>
        </w:rPr>
      </w:r>
    </w:p>
    <w:p>
      <w:pPr>
        <w:pStyle w:val="Normal"/>
        <w:jc w:val="both"/>
        <w:rPr/>
      </w:pPr>
      <w:r>
        <w:rPr/>
        <w:t>H έκθεση που έχω την τιμή να παρουσιάσω σήμερα αποτελεί μία ακόμα θεσμική κατάκτηση του Υπουργείου Εργασίας με στόχο την ενημέρωση των πολιτών και τη διαφανή απεικόνιση του ασφαλιστικού μας συστήματος.</w:t>
      </w:r>
    </w:p>
    <w:p>
      <w:pPr>
        <w:pStyle w:val="Normal"/>
        <w:spacing w:before="0" w:after="200"/>
        <w:contextualSpacing/>
        <w:jc w:val="both"/>
        <w:rPr/>
      </w:pPr>
      <w:r>
        <w:rPr/>
        <w:t>Η έκθεση του «ΑΤΛΑΣ» θα εκδίδεται και θα δημοσιεύεται υποχρεωτικά σε μηνιαία βάση παρουσιάζοντας κρίσιμα και σημαντικά στοιχεία του ασφαλιστικού συστήματος και του e-ΕΦΚΑ που μέχρι τώρα αποτελούσαν μόνιμο πεδίο αμφισβητήσεων, πολιτικών διενέξεων και κοινοβουλευτικού ελέγχου και δεν γνωρίζαμε κανένα από αυτά.</w:t>
      </w:r>
    </w:p>
    <w:p>
      <w:pPr>
        <w:pStyle w:val="Normal"/>
        <w:spacing w:before="0" w:after="200"/>
        <w:contextualSpacing/>
        <w:jc w:val="both"/>
        <w:rPr/>
      </w:pPr>
      <w:r>
        <w:rPr/>
      </w:r>
    </w:p>
    <w:p>
      <w:pPr>
        <w:pStyle w:val="Normal"/>
        <w:spacing w:before="0" w:after="200"/>
        <w:contextualSpacing/>
        <w:jc w:val="both"/>
        <w:rPr/>
      </w:pPr>
      <w:r>
        <w:rPr/>
        <w:t xml:space="preserve">Συγκεκριμένα:  </w:t>
      </w:r>
    </w:p>
    <w:p>
      <w:pPr>
        <w:pStyle w:val="Normal"/>
        <w:spacing w:before="0" w:after="200"/>
        <w:ind w:left="426" w:hanging="0"/>
        <w:contextualSpacing/>
        <w:jc w:val="both"/>
        <w:rPr/>
      </w:pPr>
      <w:r>
        <w:rPr/>
        <w:t xml:space="preserve">α. τον αριθμό των νέων αιτήσεων για απονομή κύριας σύνταξης,  </w:t>
      </w:r>
    </w:p>
    <w:p>
      <w:pPr>
        <w:pStyle w:val="Normal"/>
        <w:spacing w:before="0" w:after="200"/>
        <w:ind w:left="426" w:hanging="0"/>
        <w:contextualSpacing/>
        <w:jc w:val="both"/>
        <w:rPr/>
      </w:pPr>
      <w:r>
        <w:rPr/>
        <w:t>β. τον αριθμό των απονεμηθεισών κύριων συντάξεων,</w:t>
      </w:r>
    </w:p>
    <w:p>
      <w:pPr>
        <w:pStyle w:val="Normal"/>
        <w:spacing w:before="0" w:after="200"/>
        <w:ind w:left="426" w:hanging="0"/>
        <w:contextualSpacing/>
        <w:jc w:val="both"/>
        <w:rPr/>
      </w:pPr>
      <w:r>
        <w:rPr/>
        <w:t>γ. τον αριθμό των εκκρεμών κύριων συντάξεων και την εκτίμηση του κόστους τους ,</w:t>
      </w:r>
    </w:p>
    <w:p>
      <w:pPr>
        <w:pStyle w:val="Normal"/>
        <w:ind w:left="426" w:hanging="0"/>
        <w:jc w:val="both"/>
        <w:rPr/>
      </w:pPr>
      <w:r>
        <w:rPr/>
        <w:t xml:space="preserve">δ. </w:t>
      </w:r>
      <w:r>
        <w:rPr>
          <w:color w:val="000000" w:themeColor="text1"/>
        </w:rPr>
        <w:t>την πορεία και τη</w:t>
      </w:r>
      <w:r>
        <w:rPr/>
        <w:t xml:space="preserve"> δυναμική της ψηφιακής απονομής συντάξεων –«ΑΤΛΑΣ».</w:t>
      </w:r>
    </w:p>
    <w:p>
      <w:pPr>
        <w:pStyle w:val="Normal"/>
        <w:jc w:val="both"/>
        <w:rPr/>
      </w:pPr>
      <w:r>
        <w:rPr/>
        <w:t>Η μηνιαία έκθεση «ΑΤΛΑΣ» έρχεται συμπληρωματικά της έκθεσης «ΗΛΙΟΣ», για να φωτίσει και την τελευταία περιοχή του ασφαλιστικού</w:t>
      </w:r>
      <w:r>
        <w:rPr>
          <w:color w:val="000000" w:themeColor="text1"/>
        </w:rPr>
        <w:t>,</w:t>
      </w:r>
      <w:r>
        <w:rPr/>
        <w:t xml:space="preserve"> που μέχρι τώρα δεν ήταν γνωστή. </w:t>
      </w:r>
    </w:p>
    <w:p>
      <w:pPr>
        <w:pStyle w:val="Normal"/>
        <w:jc w:val="both"/>
        <w:rPr/>
      </w:pPr>
      <w:r>
        <w:rPr/>
        <w:t xml:space="preserve">Υπενθυμίζω ότι την 1η Ιουνίου του 2013, παρουσιάστηκε για πρώτη φορά η έκθεση «ΗΛΙΟΣ» με την οποία χαρτογραφήσαμε με απόλυτη ακρίβεια το ασφαλιστικό σύστημα της χώρας! </w:t>
      </w:r>
    </w:p>
    <w:p>
      <w:pPr>
        <w:pStyle w:val="Normal"/>
        <w:jc w:val="both"/>
        <w:rPr/>
      </w:pPr>
      <w:r>
        <w:rPr/>
        <w:t>Μάθαμε για πρώτη φορά τον αριθμό των συνταξιούχων της χώρας, τον αριθμό των συντάξεων, την μηνιαία και ετήσια συνταξιοδοτική δαπάνη και το πιο σημαντικό</w:t>
      </w:r>
      <w:r>
        <w:rPr>
          <w:color w:val="FF0000"/>
        </w:rPr>
        <w:t xml:space="preserve"> </w:t>
      </w:r>
      <w:r>
        <w:rPr>
          <w:color w:val="000000" w:themeColor="text1"/>
        </w:rPr>
        <w:t>απ’ όλα</w:t>
      </w:r>
      <w:r>
        <w:rPr/>
        <w:t xml:space="preserve"> εξαλείψαμε τις «μαϊμού» συντάξεις και κάθε μορφής παραβατικότητα για πάντα.</w:t>
      </w:r>
    </w:p>
    <w:p>
      <w:pPr>
        <w:pStyle w:val="Normal"/>
        <w:jc w:val="both"/>
        <w:rPr/>
      </w:pPr>
      <w:r>
        <w:rPr/>
        <w:t xml:space="preserve">Σήμερα, μετά την ασφαλιστική μας μεταρρύθμιση (ν.4670/2020) και τη δημιουργία του e- ΕΦΚΑ (ηλεκτρονικός Εθνικός Φορέας Κοινωνικής Ασφάλισης), προχωράμε με γοργά βήματα στον ψηφιακό μετασχηματισμό του ασφαλιστικού συστήματος με στόχο την απόλυτη εξυπηρέτηση του πολίτη και την αντιμετώπιση της τελευταίας παθογένειας, της καθυστέρηση της απονομής των συντάξεων. </w:t>
      </w:r>
    </w:p>
    <w:p>
      <w:pPr>
        <w:pStyle w:val="Normal"/>
        <w:jc w:val="both"/>
        <w:rPr/>
      </w:pPr>
      <w:r>
        <w:rPr/>
        <w:t>Οι εκκρεμείς συντάξεις αποτελούν ένα πρόβλημα διαχρονικό που ταλαιπωρεί εδώ και δεκαετίες τους ασφαλισμένους και του οποίου τα αίτι</w:t>
      </w:r>
      <w:r>
        <w:rPr>
          <w:color w:val="000000" w:themeColor="text1"/>
        </w:rPr>
        <w:t>α</w:t>
      </w:r>
      <w:r>
        <w:rPr/>
        <w:t xml:space="preserve"> εστιάζονται στον κατακερματισμό, στην πολυπλοκότητα, στα ειδικά καθεστώτα και στην πολυνομία του ασφαλιστικού μας συστήματος σε συνδυασμό με την απουσία κατάλληλων λογισμικών για να το υποστηρίξουν. </w:t>
      </w:r>
    </w:p>
    <w:p>
      <w:pPr>
        <w:pStyle w:val="Normal"/>
        <w:jc w:val="both"/>
        <w:rPr/>
      </w:pPr>
      <w:r>
        <w:rPr/>
        <w:t>Σήμερα, βρισκόμαστε στην αρχή του τέλους αυτής της παθογένειας και την αισιοδοξία μας την αντλούμε από 4  σημαντικά επιτεύγματα:</w:t>
      </w:r>
    </w:p>
    <w:p>
      <w:pPr>
        <w:pStyle w:val="ListParagraph"/>
        <w:numPr>
          <w:ilvl w:val="0"/>
          <w:numId w:val="3"/>
        </w:numPr>
        <w:jc w:val="both"/>
        <w:rPr/>
      </w:pPr>
      <w:r>
        <w:rPr/>
        <w:t>την μεγάλη μεταρρύθμιση που πετύχαμε στις 23 Ιουλίου 2020 με την έναρξη της παραγωγικής λειτουργίας της ψηφιακής απονομής συντάξεων- «ΑΤΛΑΣ»</w:t>
      </w:r>
      <w:r>
        <w:rPr>
          <w:color w:val="000000" w:themeColor="text1"/>
        </w:rPr>
        <w:t>,</w:t>
      </w:r>
      <w:r>
        <w:rPr/>
        <w:t xml:space="preserve"> παρουσία του Πρωθυπουργού Κυριάκου Μητσοτάκη. </w:t>
      </w:r>
    </w:p>
    <w:p>
      <w:pPr>
        <w:pStyle w:val="ListParagraph"/>
        <w:numPr>
          <w:ilvl w:val="0"/>
          <w:numId w:val="3"/>
        </w:numPr>
        <w:jc w:val="both"/>
        <w:rPr/>
      </w:pPr>
      <w:r>
        <w:rPr/>
        <w:t>την ασφαλιστική μεταρρύθμιση του ν.4670/2020 με την οποία συντελέστηκε η απλοποίηση του ασφαλιστικού συστήματος και η αποσύνδεση των εισφορών από το εισόδημα. Με το νέο απλό, λιτό και ανταποδοτικό ασφαλιστικό σύστημα καταργήθηκε η ετήσια εκκαθάριση των μη μισθωτών και εξαλείφθηκαν η πολύμηνη καθυστέρηση  που οφειλόταν σε αυτήν.</w:t>
      </w:r>
    </w:p>
    <w:p>
      <w:pPr>
        <w:pStyle w:val="ListParagraph"/>
        <w:numPr>
          <w:ilvl w:val="0"/>
          <w:numId w:val="3"/>
        </w:numPr>
        <w:jc w:val="both"/>
        <w:rPr/>
      </w:pPr>
      <w:r>
        <w:rPr/>
        <w:t xml:space="preserve">την οργανωτική ανασυγκρότηση και αναδιάρθρωση όλων των υπηρεσιών απονομής του </w:t>
      </w:r>
      <w:r>
        <w:rPr>
          <w:lang w:val="en-US"/>
        </w:rPr>
        <w:t>e</w:t>
      </w:r>
      <w:r>
        <w:rPr/>
        <w:t xml:space="preserve">-ΕΦΚΑ </w:t>
      </w:r>
      <w:r>
        <w:rPr>
          <w:color w:val="000000" w:themeColor="text1"/>
        </w:rPr>
        <w:t>και την ενίσχυσή τους</w:t>
      </w:r>
      <w:r>
        <w:rPr/>
        <w:t xml:space="preserve"> τόσο με την αξιοποίηση έμπειρου προσωπικού όσο και με την εκπαίδευση νέου.  </w:t>
      </w:r>
    </w:p>
    <w:p>
      <w:pPr>
        <w:pStyle w:val="ListParagraph"/>
        <w:numPr>
          <w:ilvl w:val="0"/>
          <w:numId w:val="3"/>
        </w:numPr>
        <w:jc w:val="both"/>
        <w:rPr/>
      </w:pPr>
      <w:r>
        <w:rPr/>
        <w:t>την ολοκλήρωση των εκκρεμοτήτων στις εφαρμογές</w:t>
      </w:r>
      <w:r>
        <w:rPr>
          <w:color w:val="FF0000"/>
        </w:rPr>
        <w:t xml:space="preserve"> </w:t>
      </w:r>
      <w:r>
        <w:rPr/>
        <w:t xml:space="preserve">απονομής συντάξεων που παραλάβαμε. </w:t>
      </w:r>
    </w:p>
    <w:p>
      <w:pPr>
        <w:pStyle w:val="Normal"/>
        <w:jc w:val="both"/>
        <w:rPr/>
      </w:pPr>
      <w:r>
        <w:rPr/>
        <w:t>Ο ψηφιακός μετασχηματισμός της απονομής μέσω του συστήματος «ΑΤΛΑΣ» ολοκληρώνεται στο τέλος του 2021 σύμφωνα με το πλήρες χρονοδιάγραμμα που έχουμε παρουσιάσει. Στόχος μας είναι, καθώς οι νέες συντάξεις θα απονέμονται ψηφιακά, ο αριθμός των εκκρεμών συντάξεων συνεχώς να φθίνει μέχρι την πλήρη εξάλειψ</w:t>
      </w:r>
      <w:r>
        <w:rPr>
          <w:color w:val="000000" w:themeColor="text1"/>
        </w:rPr>
        <w:t>ή</w:t>
      </w:r>
      <w:r>
        <w:rPr/>
        <w:t xml:space="preserve"> τους.</w:t>
      </w:r>
    </w:p>
    <w:p>
      <w:pPr>
        <w:pStyle w:val="Normal"/>
        <w:spacing w:before="0" w:after="200"/>
        <w:contextualSpacing/>
        <w:jc w:val="both"/>
        <w:rPr/>
      </w:pPr>
      <w:r>
        <w:rPr/>
        <w:t>Μέσα από την 1η έκθεση «ΑΤΛΑΣ» μπορεί κάποιος να διακρίνει 3 κρίσιμα σημεία:</w:t>
      </w:r>
    </w:p>
    <w:p>
      <w:pPr>
        <w:pStyle w:val="Normal"/>
        <w:spacing w:before="0" w:after="200"/>
        <w:ind w:left="568" w:hanging="284"/>
        <w:contextualSpacing/>
        <w:jc w:val="both"/>
        <w:rPr/>
      </w:pPr>
      <w:r>
        <w:rPr/>
        <w:t>1.</w:t>
        <w:tab/>
        <w:t>Την ποσοστιαία αύξηση της απονομής των συντάξεων από το Α’ εξάμηνο του 2020.</w:t>
      </w:r>
    </w:p>
    <w:p>
      <w:pPr>
        <w:pStyle w:val="Normal"/>
        <w:spacing w:before="0" w:after="200"/>
        <w:ind w:left="568" w:hanging="284"/>
        <w:contextualSpacing/>
        <w:jc w:val="both"/>
        <w:rPr/>
      </w:pPr>
      <w:r>
        <w:rPr/>
        <w:t>2.</w:t>
        <w:tab/>
        <w:t xml:space="preserve">Το ρεκόρ σε απόλυτο νούμερο των απονεμηθεισών συντάξεων τον Σεπτέμβριο του 2020, ήτοι </w:t>
      </w:r>
      <w:r>
        <w:rPr>
          <w:b/>
        </w:rPr>
        <w:t>19.632</w:t>
      </w:r>
      <w:r>
        <w:rPr/>
        <w:t xml:space="preserve"> συντάξεις.</w:t>
      </w:r>
    </w:p>
    <w:p>
      <w:pPr>
        <w:pStyle w:val="Normal"/>
        <w:ind w:left="568" w:hanging="284"/>
        <w:jc w:val="both"/>
        <w:rPr/>
      </w:pPr>
      <w:r>
        <w:rPr/>
        <w:t>3.</w:t>
        <w:tab/>
        <w:t xml:space="preserve">Την αύξηση κατά </w:t>
      </w:r>
      <w:r>
        <w:rPr>
          <w:b/>
          <w:bCs/>
        </w:rPr>
        <w:t xml:space="preserve">21.461 των απονομών συντάξεων (109.552 το πρώτο εννεάμηνο του 2020, έναντι 88.091 το αντίστοιχο διάστημα του 2019) </w:t>
      </w:r>
      <w:r>
        <w:rPr/>
        <w:t>παρά την υστέρηση που προκάλεσαν οι επιπτώσεις του περιορισμού λόγω της πανδημίας στην προσέλευση του προσωπικού (Μάρτιος-Μάιος 2020).</w:t>
      </w:r>
    </w:p>
    <w:p>
      <w:pPr>
        <w:pStyle w:val="Normal"/>
        <w:jc w:val="both"/>
        <w:rPr/>
      </w:pPr>
      <w:r>
        <w:rPr/>
        <w:t>Και κάτι ακόμα, ιδιαίτερα σημαντικό.</w:t>
      </w:r>
    </w:p>
    <w:p>
      <w:pPr>
        <w:pStyle w:val="Normal"/>
        <w:jc w:val="both"/>
        <w:rPr/>
      </w:pPr>
      <w:r>
        <w:rPr/>
        <w:t>Μετά την παρουσίαση της μηνιαίας έκθεσης ΑΤΛΑΣ, κανείς στο μέλλον δεν θα μπορέσει να αποκρύψει τον αριθμό αιτήσεων συνταξιοδότησης καθώς αυτές θα καταχωρούνται αμέσως με ημερομηνία υποβολής της αίτησης και όχι σε μεταγενέστερο χρόνο όπως συνέβαινε.</w:t>
      </w:r>
    </w:p>
    <w:p>
      <w:pPr>
        <w:pStyle w:val="Normal"/>
        <w:jc w:val="both"/>
        <w:rPr/>
      </w:pPr>
      <w:r>
        <w:rPr/>
        <w:t xml:space="preserve">Κανείς στο μέλλον δεν θα ξαναρωτήσει ούτε θα μπορεί να αμφισβητήσει τα κρίσιμα αυτά  στοιχεία του ασφαλιστικού συστήματος. </w:t>
      </w:r>
    </w:p>
    <w:p>
      <w:pPr>
        <w:pStyle w:val="Normal"/>
        <w:jc w:val="both"/>
        <w:rPr/>
      </w:pPr>
      <w:r>
        <w:rPr/>
        <w:t xml:space="preserve">Σε μηνιαία βάση θα βρίσκονται στους πολίτες, στους κοινωνικούς εταίρους και στους ερευνητές. </w:t>
      </w:r>
    </w:p>
    <w:p>
      <w:pPr>
        <w:pStyle w:val="Normal"/>
        <w:jc w:val="both"/>
        <w:rPr/>
      </w:pPr>
      <w:r>
        <w:rPr/>
        <w:t xml:space="preserve">Η Έκθεση αυτή είναι αποτέλεσμα πολύμηνου σχεδιασμού, επίπονης προσπάθειας και συνεργασίας Υπουργείου και </w:t>
      </w:r>
      <w:r>
        <w:rPr>
          <w:lang w:val="en-US"/>
        </w:rPr>
        <w:t>e</w:t>
      </w:r>
      <w:r>
        <w:rPr/>
        <w:t xml:space="preserve">-ΕΦΚΑ και κάθε μήνα θα εμπλουτίζεται με νέα στοιχεία. </w:t>
      </w:r>
    </w:p>
    <w:p>
      <w:pPr>
        <w:pStyle w:val="Normal"/>
        <w:jc w:val="both"/>
        <w:rPr/>
      </w:pPr>
      <w:r>
        <w:rPr/>
        <w:t xml:space="preserve">Κλείνοντας, νιώθω την ανάγκη να ευχαριστήσω το έμψυχο δυναμικό του e- ΕΦΚΑ για την εργώδη προσπάθειά του και τη Διοίκηση του e- ΕΦΚΑ για το σχεδιασμό και την οργάνωση  της έκθεσης. </w:t>
      </w:r>
    </w:p>
    <w:p>
      <w:pPr>
        <w:pStyle w:val="Normal"/>
        <w:rPr>
          <w:lang w:eastAsia="el-GR"/>
        </w:rPr>
      </w:pPr>
      <w:r>
        <w:rPr>
          <w:lang w:eastAsia="el-GR"/>
        </w:rPr>
        <w:tab/>
        <w:tab/>
        <w:tab/>
        <w:tab/>
        <w:tab/>
        <w:tab/>
        <w:tab/>
        <w:tab/>
        <w:t xml:space="preserve">               Ιωάννης Βρούτσης </w:t>
      </w:r>
    </w:p>
    <w:p>
      <w:pPr>
        <w:pStyle w:val="Normal"/>
        <w:spacing w:lineRule="auto" w:line="240" w:before="0" w:after="0"/>
        <w:rPr>
          <w:rFonts w:ascii="Calibri" w:hAnsi="Calibri" w:eastAsia="Times New Roman" w:cs="Calibri" w:asciiTheme="minorHAnsi" w:cstheme="minorHAnsi" w:hAnsiTheme="minorHAnsi"/>
          <w:b/>
          <w:b/>
          <w:bCs/>
          <w:color w:val="365F91" w:themeColor="accent1" w:themeShade="bf"/>
          <w:sz w:val="24"/>
          <w:szCs w:val="24"/>
          <w:lang w:eastAsia="el-GR"/>
        </w:rPr>
      </w:pPr>
      <w:r>
        <w:rPr>
          <w:rFonts w:eastAsia="Times New Roman" w:cs="Calibri" w:cstheme="minorHAnsi"/>
          <w:b/>
          <w:bCs/>
          <w:color w:val="365F91" w:themeColor="accent1" w:themeShade="bf"/>
          <w:sz w:val="24"/>
          <w:szCs w:val="24"/>
          <w:lang w:eastAsia="el-GR"/>
        </w:rPr>
      </w:r>
      <w:r>
        <w:br w:type="page"/>
      </w:r>
    </w:p>
    <w:p>
      <w:pPr>
        <w:pStyle w:val="1"/>
        <w:jc w:val="center"/>
        <w:rPr>
          <w:rFonts w:ascii="Calibri" w:hAnsi="Calibri" w:eastAsia="Times New Roman" w:cs="Calibri" w:asciiTheme="minorHAnsi" w:cstheme="minorHAnsi" w:hAnsiTheme="minorHAnsi"/>
          <w:sz w:val="24"/>
          <w:szCs w:val="24"/>
          <w:lang w:eastAsia="el-GR"/>
        </w:rPr>
      </w:pPr>
      <w:bookmarkStart w:id="1" w:name="_Toc56598600"/>
      <w:r>
        <w:rPr>
          <w:rFonts w:eastAsia="Times New Roman" w:cs="Calibri" w:ascii="Calibri" w:hAnsi="Calibri" w:asciiTheme="minorHAnsi" w:cstheme="minorHAnsi" w:hAnsiTheme="minorHAnsi"/>
          <w:sz w:val="24"/>
          <w:szCs w:val="24"/>
          <w:lang w:eastAsia="el-GR"/>
        </w:rPr>
        <w:t>Πρόλογος</w:t>
      </w:r>
      <w:bookmarkEnd w:id="1"/>
    </w:p>
    <w:p>
      <w:pPr>
        <w:pStyle w:val="Normal"/>
        <w:jc w:val="both"/>
        <w:rPr/>
      </w:pPr>
      <w:r>
        <w:rPr/>
      </w:r>
    </w:p>
    <w:p>
      <w:pPr>
        <w:pStyle w:val="Normal"/>
        <w:jc w:val="both"/>
        <w:rPr/>
      </w:pPr>
      <w:r>
        <w:rPr/>
        <w:t xml:space="preserve">Το πληροφοριακό σύστημα «ΑΤΛΑΣ» αποτελεί μια ολοκληρωμένη τεχνολογική λύση για την αυτοματοποίηση της διαδικασίας απονομής σύνταξης. Μια γραφειοκρατική, χρονοβόρα  και δαιδαλώδης διαδικασία που αποτελεί το μεγαλύτερο πρόβλημα εδώ και δεκαετίες για όλους τους ασφαλισμένους που ολοκληρώνουν τον εργασιακό τους βίο και την κοινωνική ασφάλιση αλλάζει. Με την αξιοποίηση των σύγχρονων τεχνολογικών εργαλείων, η διαδικασία μετασχηματίζεται σταδιακά για την πλειοψηφία των ασφαλισμένων σε μια ηλεκτρονική υπηρεσία άμεσης απονομής της σύνταξης, ενώ για όσους δεν ενταχθούν το έμπειρο προσωπικό των απονομών του </w:t>
      </w:r>
      <w:r>
        <w:rPr>
          <w:lang w:val="en-US"/>
        </w:rPr>
        <w:t>e</w:t>
      </w:r>
      <w:r>
        <w:rPr/>
        <w:t xml:space="preserve">-ΕΦΚΑ θα ολοκληρώνει την επεξεργασία εντός του προβλεπόμενου τριμήνου. </w:t>
      </w:r>
    </w:p>
    <w:p>
      <w:pPr>
        <w:pStyle w:val="Normal"/>
        <w:jc w:val="both"/>
        <w:rPr/>
      </w:pPr>
      <w:r>
        <w:rPr/>
        <w:t xml:space="preserve">Η νέα Διοίκηση του </w:t>
      </w:r>
      <w:r>
        <w:rPr>
          <w:lang w:val="en-US"/>
        </w:rPr>
        <w:t>e</w:t>
      </w:r>
      <w:r>
        <w:rPr/>
        <w:t xml:space="preserve">-ΕΦΚΑ, που ανέλαβε το Σεπτέμβριο του 2019, έθεσε ως πρώτη προτεραιότητα την ταχύτερη δυνατή ολοκλήρωση των εκκρεμών αιτήσεων συνταξιοδότησης. Το αποτέλεσμα της προσπάθειας που καταβάλλεται έκτοτε από το σύνολο του προσωπικού του οργανισμού, είναι η αύξηση του πλήθους των συνταξιοδοτικών αιτημάτων που ολοκληρώνονται μηνιαίως από 9.756 το Σεπτέμβριο του 2019 σε 13.506 το Φεβρουάριο του 2020 (αύξηση 38,44%), πριν την έναρξη της πανδημίας του </w:t>
      </w:r>
      <w:r>
        <w:rPr>
          <w:lang w:val="en-US"/>
        </w:rPr>
        <w:t>COVID</w:t>
      </w:r>
      <w:r>
        <w:rPr/>
        <w:t xml:space="preserve">19, και ο υπερδιπλασιασμός  σε 19.632 ένα χρόνο μετά, το Σεπτέμβριο του 2020, με την καθοριστική συμβολή και των ψηφιακών απονομών του συστήματος «ΑΤΛΑΣ».   </w:t>
      </w:r>
    </w:p>
    <w:p>
      <w:pPr>
        <w:pStyle w:val="Normal"/>
        <w:jc w:val="both"/>
        <w:rPr/>
      </w:pPr>
      <w:r>
        <w:rPr/>
        <w:t xml:space="preserve">Το αποτέλεσμα αυτό προέκυψε μέσα από τη στενή συνεργασία με το προσωπικό του </w:t>
      </w:r>
      <w:r>
        <w:rPr>
          <w:lang w:val="en-US"/>
        </w:rPr>
        <w:t>e</w:t>
      </w:r>
      <w:r>
        <w:rPr/>
        <w:t xml:space="preserve">-ΕΦΚΑ και την υιοθέτηση δέσμης συγκεκριμένων μέτρων με κυριότερα τα εξής: </w:t>
      </w:r>
    </w:p>
    <w:p>
      <w:pPr>
        <w:pStyle w:val="Normal"/>
        <w:spacing w:before="0" w:after="0"/>
        <w:ind w:left="426" w:hanging="284"/>
        <w:jc w:val="both"/>
        <w:rPr/>
      </w:pPr>
      <w:r>
        <w:rPr/>
        <w:t xml:space="preserve">α. την αύξηση του προσωπικού που απασχολείται στις απονομές κατά 38% μέσω της επιστροφής 86 εισηγητών από διάφορες άλλες υπηρεσίες του </w:t>
      </w:r>
      <w:r>
        <w:rPr>
          <w:lang w:val="en-US"/>
        </w:rPr>
        <w:t>e</w:t>
      </w:r>
      <w:r>
        <w:rPr/>
        <w:t>-ΕΦΚΑ στην  απονομή των συντάξεων και την επιπλέον εκπαίδευση 110 υπαλλήλων στην απονομή των συντάξεων.</w:t>
      </w:r>
    </w:p>
    <w:p>
      <w:pPr>
        <w:pStyle w:val="Normal"/>
        <w:spacing w:before="0" w:after="0"/>
        <w:ind w:left="426" w:hanging="284"/>
        <w:jc w:val="both"/>
        <w:rPr/>
      </w:pPr>
      <w:r>
        <w:rPr/>
        <w:t xml:space="preserve">β. την ολοκλήρωση 45 εφαρμογών λογισμικού που παραλήφθηκαν το Σεπτέμβριο του 2019 στο αρχικό στάδιο της ανάπτυξης. Παρότι αφορούσαν πρακτικά όλες τις περιπτώσεις της απονομής σύνταξης από 1/1/2019, δεν είχε ολοκληρωθεί για αυτές το σχετικό λογισμικό, με συνέπεια είτε να απαιτείται πολλαπλάσιος χρόνος για την απονομή, είτε αυτή να είναι αδύνατη.       </w:t>
      </w:r>
    </w:p>
    <w:p>
      <w:pPr>
        <w:pStyle w:val="Normal"/>
        <w:spacing w:before="0" w:after="0"/>
        <w:ind w:left="426" w:hanging="284"/>
        <w:jc w:val="both"/>
        <w:rPr/>
      </w:pPr>
      <w:r>
        <w:rPr/>
        <w:t>γ. την καθιέρωση κινήτρων ατομικής απόδοσης για το προσωπικό που εργάζεται εκτός ωραρίου για την απονομή των συντάξεων.</w:t>
      </w:r>
    </w:p>
    <w:p>
      <w:pPr>
        <w:pStyle w:val="Normal"/>
        <w:spacing w:before="0" w:after="0"/>
        <w:ind w:left="426" w:hanging="284"/>
        <w:jc w:val="both"/>
        <w:rPr/>
      </w:pPr>
      <w:r>
        <w:rPr/>
        <w:t>δ. τη μεταφορά έργου από μονάδες με περιορισμένη  στελέχωση σε μονάδες με επαρκή στελέχωση.</w:t>
      </w:r>
    </w:p>
    <w:p>
      <w:pPr>
        <w:pStyle w:val="Normal"/>
        <w:spacing w:before="0" w:after="0"/>
        <w:ind w:left="426" w:hanging="284"/>
        <w:jc w:val="both"/>
        <w:rPr/>
      </w:pPr>
      <w:r>
        <w:rPr/>
        <w:t>ε. την αποκέντρωση  της απονομής για όλους τους τέως φορείς κοινωνικής ασφάλισης.</w:t>
      </w:r>
    </w:p>
    <w:p>
      <w:pPr>
        <w:pStyle w:val="Normal"/>
        <w:spacing w:before="0" w:after="0"/>
        <w:ind w:left="426" w:hanging="284"/>
        <w:jc w:val="both"/>
        <w:rPr/>
      </w:pPr>
      <w:r>
        <w:rPr/>
        <w:t xml:space="preserve">στ. το σταδιακό ψηφιακό μετασχηματισμό της απονομής μέσω του συστήματος «ΑΤΛΑΣ», ώστε ήδη οι μεταβιβάσεις συντάξεων αιτία θανάτου και οι συντάξεις γήρατος του ΟΓΑ να εκδίδονται αυτόματα.       </w:t>
      </w:r>
    </w:p>
    <w:p>
      <w:pPr>
        <w:pStyle w:val="NoSpacing"/>
        <w:spacing w:lineRule="exact" w:line="340"/>
        <w:jc w:val="both"/>
        <w:rPr/>
      </w:pPr>
      <w:r>
        <w:rPr/>
      </w:r>
    </w:p>
    <w:p>
      <w:pPr>
        <w:pStyle w:val="NoSpacing"/>
        <w:spacing w:lineRule="exact" w:line="340"/>
        <w:jc w:val="both"/>
        <w:rPr/>
      </w:pPr>
      <w:r>
        <w:rPr/>
        <w:t>Η δραστική αύξηση των απονομών δεν έχει ακόμη μεταφραστεί σε μείωση του πλήθους των εκκρεμών αιτήσεων που εμφανίζονται αυξημένες κατά 10% σε σχέση με το Σεπτέμβριο του 2019, εξαιτίας δύο εξωγενών, απρόβλεπτων παραγόντων που αφορούν:</w:t>
      </w:r>
    </w:p>
    <w:p>
      <w:pPr>
        <w:pStyle w:val="NoSpacing"/>
        <w:spacing w:lineRule="exact" w:line="340"/>
        <w:ind w:left="426" w:hanging="284"/>
        <w:jc w:val="both"/>
        <w:rPr/>
      </w:pPr>
      <w:r>
        <w:rPr/>
        <w:t>α. στη μεγάλη αύξηση κατά 18% των νέων αιτήσεων συνταξιοδότησης το τελευταίο τετράμηνο του 2019 σε σχέση με το αντίστοιχο του 2018 και</w:t>
      </w:r>
    </w:p>
    <w:p>
      <w:pPr>
        <w:pStyle w:val="NoSpacing"/>
        <w:spacing w:lineRule="exact" w:line="340"/>
        <w:ind w:left="426" w:hanging="284"/>
        <w:jc w:val="both"/>
        <w:rPr/>
      </w:pPr>
      <w:r>
        <w:rPr/>
        <w:t xml:space="preserve">β. στην πανδημία του </w:t>
      </w:r>
      <w:r>
        <w:rPr>
          <w:lang w:val="en-US"/>
        </w:rPr>
        <w:t>Covid</w:t>
      </w:r>
      <w:r>
        <w:rPr/>
        <w:t xml:space="preserve"> 19 που οδήγησε στον πρώτο αποκλεισμό κυκλοφορίας και την εκ περιτροπής λειτουργία του δημόσιου τομέα το τρίμηνο Μάρτιος-Μάιος 2020, με αποτέλεσμα να ολοκληρωθούν περίπου 15.600 λιγότερες αιτήσεις.</w:t>
      </w:r>
    </w:p>
    <w:p>
      <w:pPr>
        <w:pStyle w:val="NoSpacing"/>
        <w:spacing w:lineRule="exact" w:line="340"/>
        <w:jc w:val="both"/>
        <w:rPr/>
      </w:pPr>
      <w:r>
        <w:rPr/>
        <w:t xml:space="preserve"> </w:t>
      </w:r>
    </w:p>
    <w:p>
      <w:pPr>
        <w:pStyle w:val="NoSpacing"/>
        <w:spacing w:lineRule="exact" w:line="340"/>
        <w:jc w:val="both"/>
        <w:rPr/>
      </w:pPr>
      <w:r>
        <w:rPr/>
        <w:t xml:space="preserve">Ωστόσο, η δυναμική που έχει αναπτυχθεί αποτυπώνεται ξεκάθαρα στις απονομές της περιόδου Ιανουάριος 2020-Σεπτέμβριος 2020. </w:t>
      </w:r>
      <w:r>
        <w:rPr>
          <w:b/>
          <w:bCs/>
        </w:rPr>
        <w:t>Συνολικά έχουν εκδοθεί 94.961 εγκριτικές αποφάσεις (22.398 παραπάνω σε σχέση με το πρώτο εννεάμηνο του 2019) και έχουν ολοκληρωθεί 109.552 αιτήματα, 21.461 περισσότερα από τα αντίστοιχα του πρώτου εννεαμήνου του 2019.</w:t>
      </w:r>
    </w:p>
    <w:p>
      <w:pPr>
        <w:pStyle w:val="NoSpacing"/>
        <w:spacing w:lineRule="exact" w:line="340"/>
        <w:jc w:val="both"/>
        <w:rPr/>
      </w:pPr>
      <w:r>
        <w:rPr/>
      </w:r>
    </w:p>
    <w:p>
      <w:pPr>
        <w:pStyle w:val="NoSpacing"/>
        <w:spacing w:lineRule="exact" w:line="340"/>
        <w:jc w:val="both"/>
        <w:rPr/>
      </w:pPr>
      <w:r>
        <w:rPr/>
        <w:t xml:space="preserve">Σκοπός της παρούσας έκθεσης είναι αφενός η ενίσχυση της διαφάνειας προς τους υποψήφιους συνταξιούχους για την πορεία ολοκλήρωσης των εκκρεμοτήτων και αφετέρου η μηνιαία αποτύπωση της αποδοτικότητας του μηχανισμού απονομής και της προόδου του ψηφιακού μετασχηματισμού της διαδικασίας απονομής. </w:t>
      </w:r>
    </w:p>
    <w:p>
      <w:pPr>
        <w:pStyle w:val="NoSpacing"/>
        <w:spacing w:lineRule="exact" w:line="340"/>
        <w:jc w:val="both"/>
        <w:rPr/>
      </w:pPr>
      <w:r>
        <w:rPr/>
      </w:r>
    </w:p>
    <w:p>
      <w:pPr>
        <w:pStyle w:val="NoSpacing"/>
        <w:spacing w:lineRule="exact" w:line="340"/>
        <w:jc w:val="both"/>
        <w:rPr/>
      </w:pPr>
      <w:r>
        <w:rPr/>
        <w:t>Η έκθεση αποτυπώνει τις μηνιαίες ολοκληρώσεις των εκκρεμών αιτήσεων σύνταξης. Διαρθρώνεται σε 3 βασικές ενότητες ως εξής:</w:t>
      </w:r>
    </w:p>
    <w:p>
      <w:pPr>
        <w:pStyle w:val="NoSpacing"/>
        <w:numPr>
          <w:ilvl w:val="0"/>
          <w:numId w:val="2"/>
        </w:numPr>
        <w:spacing w:lineRule="exact" w:line="340"/>
        <w:jc w:val="both"/>
        <w:rPr>
          <w:rFonts w:cs="Arial"/>
        </w:rPr>
      </w:pPr>
      <w:r>
        <w:rPr/>
        <w:t xml:space="preserve">στην πρώτη ενότητα  καταγράφονται οι απονομές του τελευταίου μήνα και ιστορικά στοιχεία των απονομών από 1/1/2019, καθώς νωρίτερα δεν υπάρχουν συγκρίσιμα στοιχεία που να περιλαμβάνουν και το δημόσιο τομέα. </w:t>
      </w:r>
    </w:p>
    <w:p>
      <w:pPr>
        <w:pStyle w:val="NoSpacing"/>
        <w:numPr>
          <w:ilvl w:val="0"/>
          <w:numId w:val="2"/>
        </w:numPr>
        <w:spacing w:lineRule="exact" w:line="340"/>
        <w:jc w:val="both"/>
        <w:rPr>
          <w:rFonts w:cs="Arial"/>
        </w:rPr>
      </w:pPr>
      <w:r>
        <w:rPr/>
        <w:t xml:space="preserve">στη δεύτερη ενότητα καταγράφονται τα στοιχεία των νέων αιτήσεων που υποβάλλονται κατά το μήνα αναφοράς.  </w:t>
      </w:r>
    </w:p>
    <w:p>
      <w:pPr>
        <w:pStyle w:val="NoSpacing"/>
        <w:numPr>
          <w:ilvl w:val="0"/>
          <w:numId w:val="2"/>
        </w:numPr>
        <w:spacing w:lineRule="exact" w:line="340"/>
        <w:jc w:val="both"/>
        <w:rPr>
          <w:rFonts w:cs="Arial"/>
        </w:rPr>
      </w:pPr>
      <w:r>
        <w:rPr/>
        <w:t xml:space="preserve">στην τρίτη ενότητα αποτυπώνεται το πλήθος και το ύψος του ποσού των ληξιπρόθεσμων (αιτήσεις για τις οποίες έχουν παρέλθει 90 ημέρες από την υποβολή) αιτημάτων και των συνολικών εκκρεμοτήτων εκτός των αιτημάτων διεθνών σχέσεων. </w:t>
      </w:r>
    </w:p>
    <w:p>
      <w:pPr>
        <w:pStyle w:val="NoSpacing"/>
        <w:spacing w:lineRule="exact" w:line="340"/>
        <w:jc w:val="both"/>
        <w:rPr/>
      </w:pPr>
      <w:r>
        <w:rPr/>
      </w:r>
    </w:p>
    <w:p>
      <w:pPr>
        <w:pStyle w:val="NoSpacing"/>
        <w:spacing w:lineRule="exact" w:line="340"/>
        <w:ind w:left="6237" w:hanging="0"/>
        <w:jc w:val="both"/>
        <w:rPr/>
      </w:pPr>
      <w:r>
        <w:rPr/>
        <w:t xml:space="preserve">Χρήστος Ε. .Χάλαρης </w:t>
      </w:r>
    </w:p>
    <w:p>
      <w:pPr>
        <w:pStyle w:val="NoSpacing"/>
        <w:spacing w:lineRule="exact" w:line="340"/>
        <w:ind w:left="6237" w:hanging="0"/>
        <w:jc w:val="center"/>
        <w:rPr>
          <w:rFonts w:cs="Arial"/>
        </w:rPr>
      </w:pPr>
      <w:r>
        <w:rPr>
          <w:rFonts w:cs="Arial"/>
        </w:rPr>
        <w:t xml:space="preserve">Διοικητής </w:t>
      </w:r>
      <w:r>
        <w:rPr>
          <w:rFonts w:cs="Arial"/>
          <w:lang w:val="en-US"/>
        </w:rPr>
        <w:t>e</w:t>
      </w:r>
      <w:r>
        <w:rPr>
          <w:rFonts w:cs="Arial"/>
        </w:rPr>
        <w:t>-ΕΦΚΑ</w:t>
      </w:r>
    </w:p>
    <w:p>
      <w:pPr>
        <w:pStyle w:val="Normal"/>
        <w:jc w:val="both"/>
        <w:rPr/>
      </w:pPr>
      <w:r>
        <w:rPr/>
      </w:r>
    </w:p>
    <w:p>
      <w:pPr>
        <w:pStyle w:val="NoSpacing"/>
        <w:spacing w:lineRule="exact" w:line="340"/>
        <w:ind w:left="360" w:hanging="0"/>
        <w:jc w:val="both"/>
        <w:rPr>
          <w:rFonts w:cs="Arial"/>
        </w:rPr>
      </w:pPr>
      <w:r>
        <w:rPr>
          <w:rFonts w:cs="Arial"/>
        </w:rPr>
      </w:r>
    </w:p>
    <w:p>
      <w:pPr>
        <w:pStyle w:val="Normal"/>
        <w:spacing w:lineRule="auto" w:line="240" w:before="0" w:after="0"/>
        <w:jc w:val="center"/>
        <w:rPr>
          <w:rFonts w:ascii="Calibri" w:hAnsi="Calibri" w:cs="Arial" w:asciiTheme="minorHAnsi" w:hAnsiTheme="minorHAnsi"/>
        </w:rPr>
      </w:pPr>
      <w:r>
        <w:rPr>
          <w:rFonts w:cs="Arial"/>
        </w:rPr>
      </w:r>
      <w:r>
        <mc:AlternateContent>
          <mc:Choice Requires="wps">
            <w:drawing>
              <wp:anchor behindDoc="0" distT="0" distB="0" distL="114300" distR="114300" simplePos="0" locked="0" layoutInCell="0" allowOverlap="1" relativeHeight="5">
                <wp:simplePos x="0" y="0"/>
                <wp:positionH relativeFrom="column">
                  <wp:posOffset>1409700</wp:posOffset>
                </wp:positionH>
                <wp:positionV relativeFrom="paragraph">
                  <wp:posOffset>534670</wp:posOffset>
                </wp:positionV>
                <wp:extent cx="695325" cy="409575"/>
                <wp:effectExtent l="0" t="0" r="0" b="0"/>
                <wp:wrapNone/>
                <wp:docPr id="4" name=""/>
                <a:graphic xmlns:a="http://schemas.openxmlformats.org/drawingml/2006/main">
                  <a:graphicData uri="http://schemas.microsoft.com/office/word/2010/wordprocessingShape">
                    <wps:wsp>
                      <wps:cNvSpPr txBox="1"/>
                      <wps:spPr>
                        <a:xfrm>
                          <a:off x="0" y="0"/>
                          <a:ext cx="695325" cy="409575"/>
                        </a:xfrm>
                        <a:prstGeom prst="rect"/>
                        <a:solidFill>
                          <a:srgbClr val="FFFFFF">
                            <a:alpha val="0"/>
                          </a:srgbClr>
                        </a:solidFill>
                      </wps:spPr>
                      <wps:txbx>
                        <w:txbxContent>
                          <w:p>
                            <w:pPr>
                              <w:pStyle w:val="Style23"/>
                              <w:spacing w:before="0" w:after="200"/>
                              <w:rPr>
                                <w:b/>
                                <w:b/>
                                <w:color w:val="C0504D"/>
                                <w:sz w:val="12"/>
                                <w:szCs w:val="12"/>
                              </w:rPr>
                            </w:pPr>
                            <w:r>
                              <w:rPr/>
                            </w:r>
                          </w:p>
                        </w:txbxContent>
                      </wps:txbx>
                      <wps:bodyPr anchor="t" lIns="91440" tIns="45720" rIns="91440" bIns="45720">
                        <a:noAutofit/>
                      </wps:bodyPr>
                    </wps:wsp>
                  </a:graphicData>
                </a:graphic>
              </wp:anchor>
            </w:drawing>
          </mc:Choice>
          <mc:Fallback>
            <w:pict>
              <v:rect stroked="f" strokeweight="0pt" style="position:absolute;rotation:0;width:54.75pt;height:32.25pt;mso-wrap-distance-left:9pt;mso-wrap-distance-right:9pt;mso-wrap-distance-top:0pt;mso-wrap-distance-bottom:0pt;margin-top:42.1pt;mso-position-vertical-relative:text;margin-left:111pt;mso-position-horizontal-relative:text">
                <v:textbox>
                  <w:txbxContent>
                    <w:p>
                      <w:pPr>
                        <w:pStyle w:val="Style23"/>
                        <w:spacing w:before="0" w:after="200"/>
                        <w:rPr>
                          <w:b/>
                          <w:b/>
                          <w:color w:val="C0504D"/>
                          <w:sz w:val="12"/>
                          <w:szCs w:val="12"/>
                        </w:rPr>
                      </w:pPr>
                      <w:r>
                        <w:rPr/>
                      </w:r>
                    </w:p>
                  </w:txbxContent>
                </v:textbox>
                <w10:wrap type="none"/>
              </v:rect>
            </w:pict>
          </mc:Fallback>
        </mc:AlternateContent>
      </w:r>
    </w:p>
    <w:p>
      <w:pPr>
        <w:pStyle w:val="Normal"/>
        <w:spacing w:lineRule="auto" w:line="240" w:before="0" w:after="0"/>
        <w:rPr>
          <w:rFonts w:ascii="Calibri" w:hAnsi="Calibri" w:cs="Arial" w:asciiTheme="minorHAnsi" w:hAnsiTheme="minorHAnsi"/>
        </w:rPr>
      </w:pPr>
      <w:r>
        <w:rPr>
          <w:rFonts w:cs="Arial"/>
        </w:rPr>
      </w:r>
    </w:p>
    <w:p>
      <w:pPr>
        <w:pStyle w:val="Normal"/>
        <w:spacing w:lineRule="auto" w:line="240" w:before="0" w:after="0"/>
        <w:rPr>
          <w:rFonts w:ascii="Calibri" w:hAnsi="Calibri" w:cs="Arial" w:asciiTheme="minorHAnsi" w:hAnsiTheme="minorHAnsi"/>
        </w:rPr>
      </w:pPr>
      <w:r>
        <w:rPr>
          <w:rFonts w:cs="Arial"/>
        </w:rPr>
      </w:r>
    </w:p>
    <w:p>
      <w:pPr>
        <w:pStyle w:val="Normal"/>
        <w:spacing w:lineRule="auto" w:line="240" w:before="0" w:after="0"/>
        <w:rPr>
          <w:rFonts w:ascii="Calibri" w:hAnsi="Calibri" w:cs="Arial" w:asciiTheme="minorHAnsi" w:hAnsiTheme="minorHAnsi"/>
        </w:rPr>
      </w:pPr>
      <w:r>
        <w:rPr>
          <w:rFonts w:cs="Arial"/>
        </w:rPr>
      </w:r>
    </w:p>
    <w:p>
      <w:pPr>
        <w:pStyle w:val="Normal"/>
        <w:spacing w:lineRule="auto" w:line="240" w:before="0" w:after="0"/>
        <w:rPr>
          <w:rFonts w:ascii="Calibri" w:hAnsi="Calibri" w:cs="Arial" w:asciiTheme="minorHAnsi" w:hAnsiTheme="minorHAnsi"/>
        </w:rPr>
      </w:pPr>
      <w:r>
        <w:rPr>
          <w:rFonts w:cs="Arial"/>
        </w:rPr>
      </w:r>
    </w:p>
    <w:p>
      <w:pPr>
        <w:pStyle w:val="Normal"/>
        <w:spacing w:lineRule="auto" w:line="240" w:before="0" w:after="0"/>
        <w:rPr>
          <w:rFonts w:ascii="Calibri" w:hAnsi="Calibri" w:eastAsia="" w:cs="Arial" w:asciiTheme="minorHAnsi" w:eastAsiaTheme="minorEastAsia" w:hAnsiTheme="minorHAnsi"/>
        </w:rPr>
      </w:pPr>
      <w:r>
        <w:rPr>
          <w:rFonts w:eastAsia="" w:cs="Arial" w:eastAsiaTheme="minorEastAsia"/>
        </w:rPr>
      </w:r>
    </w:p>
    <w:p>
      <w:pPr>
        <w:pStyle w:val="1"/>
        <w:numPr>
          <w:ilvl w:val="0"/>
          <w:numId w:val="1"/>
        </w:numPr>
        <w:rPr>
          <w:rFonts w:ascii="Calibri" w:hAnsi="Calibri" w:eastAsia="Times New Roman" w:cs="Calibri" w:asciiTheme="minorHAnsi" w:cstheme="minorHAnsi" w:hAnsiTheme="minorHAnsi"/>
          <w:sz w:val="24"/>
          <w:szCs w:val="24"/>
          <w:lang w:eastAsia="el-GR"/>
        </w:rPr>
      </w:pPr>
      <w:bookmarkStart w:id="2" w:name="_Toc56598601"/>
      <w:bookmarkStart w:id="3" w:name="_Toc55981079"/>
      <w:r>
        <w:rPr>
          <w:rFonts w:eastAsia="Times New Roman" w:cs="Calibri" w:ascii="Calibri" w:hAnsi="Calibri" w:asciiTheme="minorHAnsi" w:cstheme="minorHAnsi" w:hAnsiTheme="minorHAnsi"/>
          <w:sz w:val="24"/>
          <w:szCs w:val="24"/>
          <w:lang w:eastAsia="el-GR"/>
        </w:rPr>
        <w:t>Μηνιαία ολοκλήρωση Αιτημάτων Κύριας Σύνταξης</w:t>
      </w:r>
      <w:bookmarkEnd w:id="2"/>
      <w:bookmarkEnd w:id="3"/>
      <w:r>
        <w:rPr>
          <w:rFonts w:eastAsia="Times New Roman" w:cs="Calibri" w:ascii="Calibri" w:hAnsi="Calibri" w:asciiTheme="minorHAnsi" w:cstheme="minorHAnsi" w:hAnsiTheme="minorHAnsi"/>
          <w:sz w:val="24"/>
          <w:szCs w:val="24"/>
          <w:lang w:eastAsia="el-GR"/>
        </w:rPr>
        <w:t xml:space="preserve"> </w:t>
      </w:r>
    </w:p>
    <w:p>
      <w:pPr>
        <w:pStyle w:val="Normal"/>
        <w:jc w:val="both"/>
        <w:rPr/>
      </w:pPr>
      <w:r>
        <w:rPr/>
      </w:r>
    </w:p>
    <w:p>
      <w:pPr>
        <w:pStyle w:val="Normal"/>
        <w:ind w:firstLine="360"/>
        <w:jc w:val="both"/>
        <w:rPr/>
      </w:pPr>
      <w:r>
        <w:rPr/>
        <w:t xml:space="preserve">Τα αιτήματα συνταξιοδότησης που υποβάλλουν οι ασφαλισμένοι  ολοκληρώνονται κατά κανόνα από τις αρμόδιες υπηρεσίες του </w:t>
      </w:r>
      <w:r>
        <w:rPr>
          <w:lang w:val="en-US"/>
        </w:rPr>
        <w:t>e</w:t>
      </w:r>
      <w:r>
        <w:rPr/>
        <w:t xml:space="preserve">-ΕΦΚΑ με την έκδοση εγκριτικών ή απορριπτικών αποφάσεων. Σε κάποιες περιπτώσεις, όπως για παράδειγμα όταν ο ασφαλισμένος καταθέσει αίτηση εκ παραδρομής ή όταν κάποιος έχει υποβάλλει δύο αιτήσεις σε διαφορετικά υποκαταστήματα, η ολοκλήρωση της αίτησης πραγματοποιείται χωρίς την έκδοση απόφασης. </w:t>
      </w:r>
    </w:p>
    <w:p>
      <w:pPr>
        <w:pStyle w:val="Normal"/>
        <w:ind w:firstLine="720"/>
        <w:jc w:val="both"/>
        <w:rPr/>
      </w:pPr>
      <w:r>
        <w:rPr/>
        <w:t xml:space="preserve">Με τη συνδρομή και της ψηφιακής απονομής «ΑΤΛΑΣ» το Σεπτέμβριο του 2020  διπλασιάστηκε ο αριθμός των αιτημάτων που ολοκληρώθηκαν σε σχέση με τον αντίστοιχο μήνα του 2019, όταν ανέλαβε η νέα Διοίκηση.  </w:t>
      </w:r>
      <w:r>
        <w:rPr>
          <w:b/>
          <w:bCs/>
        </w:rPr>
        <w:t>(Σεπτέμβριος 2019 - 9.756 ολοκληρωμένες αιτήσεις, Σεπτέμβριος 2020 - 19.632 ολοκληρωμένες αιτήσεις).</w:t>
      </w:r>
      <w:r>
        <w:rPr/>
        <w:t xml:space="preserve"> Συνολικά, στο πρώτο εννεάμηνο η αύξηση της ολοκλήρωσης των αιτημάτων ανέρχεται σε 24,36% παρότι κατά το τρίμηνο (Μάρτιος-Μάιος 2020) οι υπηρεσίες του </w:t>
      </w:r>
      <w:r>
        <w:rPr>
          <w:lang w:val="en-US"/>
        </w:rPr>
        <w:t>e</w:t>
      </w:r>
      <w:r>
        <w:rPr/>
        <w:t xml:space="preserve">-ΕΦΚΑ λειτουργούσαν με μειωμένο προσωπικό λόγω της πανδημίας του </w:t>
      </w:r>
      <w:r>
        <w:rPr>
          <w:lang w:val="en-US"/>
        </w:rPr>
        <w:t>COVID</w:t>
      </w:r>
      <w:r>
        <w:rPr/>
        <w:t xml:space="preserve">19.  </w:t>
      </w:r>
    </w:p>
    <w:p>
      <w:pPr>
        <w:pStyle w:val="Normal"/>
        <w:ind w:firstLine="360"/>
        <w:jc w:val="both"/>
        <w:rPr/>
      </w:pPr>
      <w:r>
        <w:rPr/>
        <w:t>Στο Διάγραμμα 1 που ακολουθεί αποτυπώνεται η ολοκλήρωση των συνταξιοδοτικών αιτήσεων κύριας σύνταξης ανά μήνα για τα έτη 2019 και 2020. Αναλυτικά στοιχεία παρουσιάζονται στον Πίνακα 1.</w:t>
      </w:r>
    </w:p>
    <w:p>
      <w:pPr>
        <w:pStyle w:val="Normal"/>
        <w:jc w:val="both"/>
        <w:rPr/>
      </w:pPr>
      <w:r>
        <w:rPr/>
        <w:drawing>
          <wp:inline distT="0" distB="0" distL="0" distR="0">
            <wp:extent cx="5327650" cy="2641600"/>
            <wp:effectExtent l="0" t="0" r="0" b="0"/>
            <wp:docPr id="5"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pStyle w:val="Normal"/>
        <w:spacing w:lineRule="auto" w:line="240" w:before="0" w:after="0"/>
        <w:jc w:val="both"/>
        <w:rPr/>
      </w:pPr>
      <w:r>
        <w:rPr>
          <w:b/>
          <w:u w:val="single"/>
        </w:rPr>
        <w:t>Διάγραμμα 1:</w:t>
      </w:r>
      <w:r>
        <w:rPr/>
        <w:t xml:space="preserve"> Μηνιαία εξέλιξη ολοκλήρωσης αιτημάτων κύριας σύνταξης. (Το τρίμηνο Μάρτιος 2020-Μάιος 2020 εφαρμόστηκε αποκλεισμός κυκλοφορίας λόγω </w:t>
      </w:r>
      <w:r>
        <w:rPr>
          <w:lang w:val="en-US"/>
        </w:rPr>
        <w:t>COVID</w:t>
      </w:r>
      <w:r>
        <w:rPr/>
        <w:t xml:space="preserve"> 19, και λειτουργία του δημόσιου τομέα με εκ περιτροπής εργασία).  </w:t>
      </w:r>
    </w:p>
    <w:p>
      <w:pPr>
        <w:pStyle w:val="Normal"/>
        <w:spacing w:lineRule="auto" w:line="240" w:before="0" w:after="0"/>
        <w:rPr/>
      </w:pPr>
      <w:r>
        <w:rPr/>
      </w:r>
      <w:r>
        <w:br w:type="page"/>
      </w:r>
    </w:p>
    <w:tbl>
      <w:tblPr>
        <w:tblW w:w="10119" w:type="dxa"/>
        <w:jc w:val="center"/>
        <w:tblInd w:w="0" w:type="dxa"/>
        <w:tblLayout w:type="fixed"/>
        <w:tblCellMar>
          <w:top w:w="0" w:type="dxa"/>
          <w:left w:w="108" w:type="dxa"/>
          <w:bottom w:w="0" w:type="dxa"/>
          <w:right w:w="108" w:type="dxa"/>
        </w:tblCellMar>
        <w:tblLook w:val="04a0"/>
      </w:tblPr>
      <w:tblGrid>
        <w:gridCol w:w="1467"/>
        <w:gridCol w:w="1156"/>
        <w:gridCol w:w="1102"/>
        <w:gridCol w:w="1132"/>
        <w:gridCol w:w="944"/>
        <w:gridCol w:w="1156"/>
        <w:gridCol w:w="1102"/>
        <w:gridCol w:w="1115"/>
        <w:gridCol w:w="944"/>
      </w:tblGrid>
      <w:tr>
        <w:trPr>
          <w:trHeight w:val="273" w:hRule="atLeast"/>
        </w:trPr>
        <w:tc>
          <w:tcPr>
            <w:tcW w:w="1467" w:type="dxa"/>
            <w:vMerge w:val="restart"/>
            <w:tcBorders>
              <w:top w:val="single" w:sz="4" w:space="0" w:color="000000"/>
              <w:left w:val="single" w:sz="4" w:space="0" w:color="000000"/>
              <w:right w:val="single" w:sz="4" w:space="0" w:color="000000"/>
            </w:tcBorders>
            <w:shd w:color="auto" w:fill="1F497D" w:themeFill="text2" w:val="clear"/>
            <w:vAlign w:val="bottom"/>
          </w:tcPr>
          <w:p>
            <w:pPr>
              <w:pStyle w:val="Normal"/>
              <w:pageBreakBefore/>
              <w:widowControl w:val="false"/>
              <w:spacing w:lineRule="auto" w:line="240" w:before="0" w:after="0"/>
              <w:rPr>
                <w:rFonts w:ascii="Calibri" w:hAnsi="Calibri" w:eastAsia="Times New Roman" w:cs="Calibri" w:asciiTheme="minorHAnsi" w:cstheme="minorHAnsi" w:hAnsiTheme="minorHAnsi"/>
                <w:b/>
                <w:b/>
                <w:color w:val="FFFFFF" w:themeColor="background1"/>
                <w:lang w:eastAsia="el-GR"/>
              </w:rPr>
            </w:pPr>
            <w:r>
              <w:rPr>
                <w:rFonts w:eastAsia="Times New Roman" w:cs="Calibri" w:cstheme="minorHAnsi"/>
                <w:b/>
                <w:color w:val="FFFFFF" w:themeColor="background1"/>
                <w:lang w:eastAsia="el-GR"/>
              </w:rPr>
              <w:t> </w:t>
            </w:r>
          </w:p>
          <w:p>
            <w:pPr>
              <w:pStyle w:val="Normal"/>
              <w:widowControl w:val="false"/>
              <w:spacing w:lineRule="auto" w:line="240" w:before="0" w:after="0"/>
              <w:jc w:val="center"/>
              <w:rPr>
                <w:rFonts w:ascii="Calibri" w:hAnsi="Calibri" w:eastAsia="Times New Roman" w:cs="Calibri" w:asciiTheme="minorHAnsi" w:cstheme="minorHAnsi" w:hAnsiTheme="minorHAnsi"/>
                <w:b/>
                <w:b/>
                <w:color w:val="FFFFFF" w:themeColor="background1"/>
                <w:lang w:eastAsia="el-GR"/>
              </w:rPr>
            </w:pPr>
            <w:r>
              <w:rPr>
                <w:rFonts w:eastAsia="Times New Roman" w:cs="Calibri" w:cstheme="minorHAnsi"/>
                <w:b/>
                <w:color w:val="FFFFFF" w:themeColor="background1"/>
                <w:lang w:eastAsia="el-GR"/>
              </w:rPr>
              <w:t>Μήνας</w:t>
            </w:r>
          </w:p>
        </w:tc>
        <w:tc>
          <w:tcPr>
            <w:tcW w:w="4334" w:type="dxa"/>
            <w:gridSpan w:val="4"/>
            <w:tcBorders>
              <w:top w:val="single" w:sz="4" w:space="0" w:color="000000"/>
              <w:bottom w:val="single" w:sz="4" w:space="0" w:color="000000"/>
              <w:right w:val="single" w:sz="4" w:space="0" w:color="000000"/>
            </w:tcBorders>
            <w:shd w:color="auto" w:fill="1F497D" w:themeFill="text2" w:val="clear"/>
            <w:vAlign w:val="bottom"/>
          </w:tcPr>
          <w:p>
            <w:pPr>
              <w:pStyle w:val="Normal"/>
              <w:widowControl w:val="false"/>
              <w:spacing w:lineRule="auto" w:line="240" w:before="0" w:after="0"/>
              <w:jc w:val="center"/>
              <w:rPr>
                <w:rFonts w:ascii="Calibri" w:hAnsi="Calibri" w:eastAsia="Times New Roman" w:cs="Calibri" w:asciiTheme="minorHAnsi" w:cstheme="minorHAnsi" w:hAnsiTheme="minorHAnsi"/>
                <w:b/>
                <w:b/>
                <w:color w:val="FFFFFF" w:themeColor="background1"/>
                <w:lang w:eastAsia="el-GR"/>
              </w:rPr>
            </w:pPr>
            <w:r>
              <w:rPr>
                <w:rFonts w:eastAsia="Times New Roman" w:cs="Calibri" w:cstheme="minorHAnsi"/>
                <w:b/>
                <w:color w:val="FFFFFF" w:themeColor="background1"/>
                <w:lang w:eastAsia="el-GR"/>
              </w:rPr>
              <w:t>Έτος 2019</w:t>
            </w:r>
          </w:p>
        </w:tc>
        <w:tc>
          <w:tcPr>
            <w:tcW w:w="4317" w:type="dxa"/>
            <w:gridSpan w:val="4"/>
            <w:tcBorders>
              <w:top w:val="single" w:sz="4" w:space="0" w:color="000000"/>
              <w:bottom w:val="single" w:sz="4" w:space="0" w:color="000000"/>
              <w:right w:val="single" w:sz="4" w:space="0" w:color="000000"/>
            </w:tcBorders>
            <w:shd w:color="auto" w:fill="1F497D" w:themeFill="text2" w:val="clear"/>
            <w:vAlign w:val="bottom"/>
          </w:tcPr>
          <w:p>
            <w:pPr>
              <w:pStyle w:val="Normal"/>
              <w:widowControl w:val="false"/>
              <w:spacing w:lineRule="auto" w:line="240" w:before="0" w:after="0"/>
              <w:jc w:val="center"/>
              <w:rPr>
                <w:rFonts w:ascii="Calibri" w:hAnsi="Calibri" w:eastAsia="Times New Roman" w:cs="Calibri" w:asciiTheme="minorHAnsi" w:cstheme="minorHAnsi" w:hAnsiTheme="minorHAnsi"/>
                <w:b/>
                <w:b/>
                <w:color w:val="FFFFFF" w:themeColor="background1"/>
                <w:lang w:eastAsia="el-GR"/>
              </w:rPr>
            </w:pPr>
            <w:r>
              <w:rPr>
                <w:rFonts w:eastAsia="Times New Roman" w:cs="Calibri" w:cstheme="minorHAnsi"/>
                <w:b/>
                <w:color w:val="FFFFFF" w:themeColor="background1"/>
                <w:lang w:eastAsia="el-GR"/>
              </w:rPr>
              <w:t xml:space="preserve"> </w:t>
            </w:r>
            <w:r>
              <w:rPr>
                <w:rFonts w:eastAsia="Times New Roman" w:cs="Calibri" w:cstheme="minorHAnsi"/>
                <w:b/>
                <w:color w:val="FFFFFF" w:themeColor="background1"/>
                <w:lang w:eastAsia="el-GR"/>
              </w:rPr>
              <w:t>Έτος 2020</w:t>
            </w:r>
          </w:p>
        </w:tc>
      </w:tr>
      <w:tr>
        <w:trPr>
          <w:trHeight w:val="335" w:hRule="atLeast"/>
        </w:trPr>
        <w:tc>
          <w:tcPr>
            <w:tcW w:w="1467" w:type="dxa"/>
            <w:vMerge w:val="continue"/>
            <w:tcBorders>
              <w:left w:val="single" w:sz="4" w:space="0" w:color="000000"/>
              <w:bottom w:val="single" w:sz="4" w:space="0" w:color="000000"/>
              <w:right w:val="single" w:sz="4" w:space="0" w:color="000000"/>
            </w:tcBorders>
            <w:shd w:color="auto" w:fill="1F497D" w:themeFill="text2" w:val="clear"/>
            <w:vAlign w:val="bottom"/>
          </w:tcPr>
          <w:p>
            <w:pPr>
              <w:pStyle w:val="Normal"/>
              <w:widowControl w:val="false"/>
              <w:spacing w:lineRule="auto" w:line="240" w:before="0" w:after="0"/>
              <w:rPr>
                <w:rFonts w:ascii="Calibri" w:hAnsi="Calibri" w:eastAsia="Times New Roman" w:cs="Calibri" w:asciiTheme="minorHAnsi" w:cstheme="minorHAnsi" w:hAnsiTheme="minorHAnsi"/>
                <w:b/>
                <w:b/>
                <w:color w:val="FFFFFF" w:themeColor="background1"/>
                <w:lang w:eastAsia="el-GR"/>
              </w:rPr>
            </w:pPr>
            <w:r>
              <w:rPr>
                <w:rFonts w:eastAsia="Times New Roman" w:cs="Calibri" w:cstheme="minorHAnsi"/>
                <w:b/>
                <w:color w:val="FFFFFF" w:themeColor="background1"/>
                <w:lang w:eastAsia="el-GR"/>
              </w:rPr>
            </w:r>
          </w:p>
        </w:tc>
        <w:tc>
          <w:tcPr>
            <w:tcW w:w="1156" w:type="dxa"/>
            <w:tcBorders>
              <w:bottom w:val="single" w:sz="4" w:space="0" w:color="000000"/>
              <w:right w:val="single" w:sz="4" w:space="0" w:color="000000"/>
            </w:tcBorders>
            <w:shd w:color="auto" w:fill="1F497D" w:themeFill="text2" w:val="clear"/>
            <w:vAlign w:val="bottom"/>
          </w:tcPr>
          <w:p>
            <w:pPr>
              <w:pStyle w:val="Normal"/>
              <w:widowControl w:val="false"/>
              <w:spacing w:lineRule="auto" w:line="240" w:before="0" w:after="0"/>
              <w:rPr>
                <w:rFonts w:ascii="Calibri" w:hAnsi="Calibri" w:eastAsia="Times New Roman" w:cs="Calibri" w:asciiTheme="minorHAnsi" w:cstheme="minorHAnsi" w:hAnsiTheme="minorHAnsi"/>
                <w:b/>
                <w:b/>
                <w:color w:val="FFFFFF" w:themeColor="background1"/>
                <w:lang w:eastAsia="el-GR"/>
              </w:rPr>
            </w:pPr>
            <w:r>
              <w:rPr>
                <w:rFonts w:eastAsia="Times New Roman" w:cs="Calibri" w:cstheme="minorHAnsi"/>
                <w:b/>
                <w:color w:val="FFFFFF" w:themeColor="background1"/>
                <w:lang w:eastAsia="el-GR"/>
              </w:rPr>
              <w:t>Εγκριτικές</w:t>
            </w:r>
          </w:p>
        </w:tc>
        <w:tc>
          <w:tcPr>
            <w:tcW w:w="1102" w:type="dxa"/>
            <w:tcBorders>
              <w:bottom w:val="single" w:sz="4" w:space="0" w:color="000000"/>
              <w:right w:val="single" w:sz="4" w:space="0" w:color="000000"/>
            </w:tcBorders>
            <w:shd w:color="auto" w:fill="1F497D" w:themeFill="text2" w:val="clear"/>
            <w:vAlign w:val="bottom"/>
          </w:tcPr>
          <w:p>
            <w:pPr>
              <w:pStyle w:val="Normal"/>
              <w:widowControl w:val="false"/>
              <w:spacing w:lineRule="auto" w:line="240" w:before="0" w:after="0"/>
              <w:rPr>
                <w:rFonts w:ascii="Calibri" w:hAnsi="Calibri" w:eastAsia="Times New Roman" w:cs="Calibri" w:asciiTheme="minorHAnsi" w:cstheme="minorHAnsi" w:hAnsiTheme="minorHAnsi"/>
                <w:b/>
                <w:b/>
                <w:color w:val="FFFFFF" w:themeColor="background1"/>
                <w:lang w:eastAsia="el-GR"/>
              </w:rPr>
            </w:pPr>
            <w:r>
              <w:rPr>
                <w:rFonts w:eastAsia="Times New Roman" w:cs="Calibri" w:cstheme="minorHAnsi"/>
                <w:b/>
                <w:color w:val="FFFFFF" w:themeColor="background1"/>
                <w:lang w:eastAsia="el-GR"/>
              </w:rPr>
              <w:t>Απορ/κές</w:t>
            </w:r>
          </w:p>
        </w:tc>
        <w:tc>
          <w:tcPr>
            <w:tcW w:w="1132" w:type="dxa"/>
            <w:tcBorders>
              <w:bottom w:val="single" w:sz="4" w:space="0" w:color="000000"/>
              <w:right w:val="single" w:sz="4" w:space="0" w:color="000000"/>
            </w:tcBorders>
            <w:shd w:color="auto" w:fill="1F497D" w:themeFill="text2" w:val="clear"/>
            <w:vAlign w:val="bottom"/>
          </w:tcPr>
          <w:p>
            <w:pPr>
              <w:pStyle w:val="Normal"/>
              <w:widowControl w:val="false"/>
              <w:spacing w:lineRule="auto" w:line="240" w:before="0" w:after="0"/>
              <w:jc w:val="center"/>
              <w:rPr>
                <w:rFonts w:ascii="Calibri" w:hAnsi="Calibri" w:eastAsia="Times New Roman" w:cs="Calibri" w:asciiTheme="minorHAnsi" w:cstheme="minorHAnsi" w:hAnsiTheme="minorHAnsi"/>
                <w:b/>
                <w:b/>
                <w:color w:val="FFFFFF" w:themeColor="background1"/>
                <w:lang w:eastAsia="el-GR"/>
              </w:rPr>
            </w:pPr>
            <w:r>
              <w:rPr>
                <w:rFonts w:eastAsia="Times New Roman" w:cs="Calibri" w:cstheme="minorHAnsi"/>
                <w:b/>
                <w:color w:val="FFFFFF" w:themeColor="background1"/>
                <w:lang w:eastAsia="el-GR"/>
              </w:rPr>
              <w:t>Κλείσιμο Χωρίς Απόφαση</w:t>
            </w:r>
          </w:p>
        </w:tc>
        <w:tc>
          <w:tcPr>
            <w:tcW w:w="944" w:type="dxa"/>
            <w:tcBorders>
              <w:bottom w:val="single" w:sz="4" w:space="0" w:color="000000"/>
              <w:right w:val="single" w:sz="4" w:space="0" w:color="000000"/>
            </w:tcBorders>
            <w:shd w:color="auto" w:fill="1F497D" w:themeFill="text2" w:val="clear"/>
            <w:vAlign w:val="bottom"/>
          </w:tcPr>
          <w:p>
            <w:pPr>
              <w:pStyle w:val="Normal"/>
              <w:widowControl w:val="false"/>
              <w:spacing w:lineRule="auto" w:line="240" w:before="0" w:after="0"/>
              <w:rPr>
                <w:rFonts w:ascii="Calibri" w:hAnsi="Calibri" w:eastAsia="Times New Roman" w:cs="Calibri" w:asciiTheme="minorHAnsi" w:cstheme="minorHAnsi" w:hAnsiTheme="minorHAnsi"/>
                <w:b/>
                <w:b/>
                <w:color w:val="FFFFFF" w:themeColor="background1"/>
                <w:lang w:eastAsia="el-GR"/>
              </w:rPr>
            </w:pPr>
            <w:r>
              <w:rPr>
                <w:rFonts w:eastAsia="Times New Roman" w:cs="Calibri" w:cstheme="minorHAnsi"/>
                <w:b/>
                <w:color w:val="FFFFFF" w:themeColor="background1"/>
                <w:lang w:eastAsia="el-GR"/>
              </w:rPr>
              <w:t>Σύνολο</w:t>
            </w:r>
          </w:p>
        </w:tc>
        <w:tc>
          <w:tcPr>
            <w:tcW w:w="1156" w:type="dxa"/>
            <w:tcBorders>
              <w:bottom w:val="single" w:sz="4" w:space="0" w:color="000000"/>
              <w:right w:val="single" w:sz="4" w:space="0" w:color="000000"/>
            </w:tcBorders>
            <w:shd w:color="auto" w:fill="1F497D" w:themeFill="text2" w:val="clear"/>
            <w:vAlign w:val="bottom"/>
          </w:tcPr>
          <w:p>
            <w:pPr>
              <w:pStyle w:val="Normal"/>
              <w:widowControl w:val="false"/>
              <w:spacing w:lineRule="auto" w:line="240" w:before="0" w:after="0"/>
              <w:rPr>
                <w:rFonts w:ascii="Calibri" w:hAnsi="Calibri" w:eastAsia="Times New Roman" w:cs="Calibri" w:asciiTheme="minorHAnsi" w:cstheme="minorHAnsi" w:hAnsiTheme="minorHAnsi"/>
                <w:b/>
                <w:b/>
                <w:color w:val="FFFFFF" w:themeColor="background1"/>
                <w:lang w:eastAsia="el-GR"/>
              </w:rPr>
            </w:pPr>
            <w:r>
              <w:rPr>
                <w:rFonts w:eastAsia="Times New Roman" w:cs="Calibri" w:cstheme="minorHAnsi"/>
                <w:b/>
                <w:color w:val="FFFFFF" w:themeColor="background1"/>
                <w:lang w:eastAsia="el-GR"/>
              </w:rPr>
              <w:t>Εγκριτικές</w:t>
            </w:r>
          </w:p>
        </w:tc>
        <w:tc>
          <w:tcPr>
            <w:tcW w:w="1102" w:type="dxa"/>
            <w:tcBorders>
              <w:bottom w:val="single" w:sz="4" w:space="0" w:color="000000"/>
              <w:right w:val="single" w:sz="4" w:space="0" w:color="000000"/>
            </w:tcBorders>
            <w:shd w:color="auto" w:fill="1F497D" w:themeFill="text2" w:val="clear"/>
            <w:vAlign w:val="bottom"/>
          </w:tcPr>
          <w:p>
            <w:pPr>
              <w:pStyle w:val="Normal"/>
              <w:widowControl w:val="false"/>
              <w:spacing w:lineRule="auto" w:line="240" w:before="0" w:after="0"/>
              <w:rPr>
                <w:rFonts w:ascii="Calibri" w:hAnsi="Calibri" w:eastAsia="Times New Roman" w:cs="Calibri" w:asciiTheme="minorHAnsi" w:cstheme="minorHAnsi" w:hAnsiTheme="minorHAnsi"/>
                <w:b/>
                <w:b/>
                <w:color w:val="FFFFFF" w:themeColor="background1"/>
                <w:lang w:eastAsia="el-GR"/>
              </w:rPr>
            </w:pPr>
            <w:r>
              <w:rPr>
                <w:rFonts w:eastAsia="Times New Roman" w:cs="Calibri" w:cstheme="minorHAnsi"/>
                <w:b/>
                <w:color w:val="FFFFFF" w:themeColor="background1"/>
                <w:lang w:eastAsia="el-GR"/>
              </w:rPr>
              <w:t>Απορ/κές</w:t>
            </w:r>
          </w:p>
        </w:tc>
        <w:tc>
          <w:tcPr>
            <w:tcW w:w="1115" w:type="dxa"/>
            <w:tcBorders>
              <w:bottom w:val="single" w:sz="4" w:space="0" w:color="000000"/>
              <w:right w:val="single" w:sz="4" w:space="0" w:color="000000"/>
            </w:tcBorders>
            <w:shd w:color="auto" w:fill="1F497D" w:themeFill="text2" w:val="clear"/>
            <w:vAlign w:val="bottom"/>
          </w:tcPr>
          <w:p>
            <w:pPr>
              <w:pStyle w:val="Normal"/>
              <w:widowControl w:val="false"/>
              <w:spacing w:lineRule="auto" w:line="240" w:before="0" w:after="0"/>
              <w:jc w:val="center"/>
              <w:rPr>
                <w:rFonts w:ascii="Calibri" w:hAnsi="Calibri" w:eastAsia="Times New Roman" w:cs="Calibri" w:asciiTheme="minorHAnsi" w:cstheme="minorHAnsi" w:hAnsiTheme="minorHAnsi"/>
                <w:b/>
                <w:b/>
                <w:color w:val="FFFFFF" w:themeColor="background1"/>
                <w:lang w:eastAsia="el-GR"/>
              </w:rPr>
            </w:pPr>
            <w:r>
              <w:rPr>
                <w:rFonts w:eastAsia="Times New Roman" w:cs="Calibri" w:cstheme="minorHAnsi"/>
                <w:b/>
                <w:color w:val="FFFFFF" w:themeColor="background1"/>
                <w:lang w:eastAsia="el-GR"/>
              </w:rPr>
              <w:t>Κλείσιμο Χωρίς απόφαση</w:t>
            </w:r>
          </w:p>
        </w:tc>
        <w:tc>
          <w:tcPr>
            <w:tcW w:w="944" w:type="dxa"/>
            <w:tcBorders>
              <w:bottom w:val="single" w:sz="4" w:space="0" w:color="000000"/>
              <w:right w:val="single" w:sz="4" w:space="0" w:color="000000"/>
            </w:tcBorders>
            <w:shd w:color="auto" w:fill="1F497D" w:themeFill="text2" w:val="clear"/>
            <w:vAlign w:val="bottom"/>
          </w:tcPr>
          <w:p>
            <w:pPr>
              <w:pStyle w:val="Normal"/>
              <w:widowControl w:val="false"/>
              <w:spacing w:lineRule="auto" w:line="240" w:before="0" w:after="0"/>
              <w:rPr>
                <w:rFonts w:ascii="Calibri" w:hAnsi="Calibri" w:eastAsia="Times New Roman" w:cs="Calibri" w:asciiTheme="minorHAnsi" w:cstheme="minorHAnsi" w:hAnsiTheme="minorHAnsi"/>
                <w:b/>
                <w:b/>
                <w:color w:val="FFFFFF" w:themeColor="background1"/>
                <w:lang w:eastAsia="el-GR"/>
              </w:rPr>
            </w:pPr>
            <w:r>
              <w:rPr>
                <w:rFonts w:eastAsia="Times New Roman" w:cs="Calibri" w:cstheme="minorHAnsi"/>
                <w:b/>
                <w:color w:val="FFFFFF" w:themeColor="background1"/>
                <w:lang w:eastAsia="el-GR"/>
              </w:rPr>
              <w:t>Σύνολο</w:t>
            </w:r>
          </w:p>
        </w:tc>
      </w:tr>
      <w:tr>
        <w:trPr>
          <w:trHeight w:val="273"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Ιανουάριος</w:t>
            </w:r>
          </w:p>
        </w:tc>
        <w:tc>
          <w:tcPr>
            <w:tcW w:w="115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7.894</w:t>
            </w:r>
          </w:p>
        </w:tc>
        <w:tc>
          <w:tcPr>
            <w:tcW w:w="110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600</w:t>
            </w:r>
          </w:p>
        </w:tc>
        <w:tc>
          <w:tcPr>
            <w:tcW w:w="113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3.149</w:t>
            </w:r>
          </w:p>
        </w:tc>
        <w:tc>
          <w:tcPr>
            <w:tcW w:w="94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b/>
                <w:b/>
                <w:color w:val="000000"/>
                <w:lang w:eastAsia="el-GR"/>
              </w:rPr>
            </w:pPr>
            <w:r>
              <w:rPr>
                <w:rFonts w:eastAsia="Times New Roman" w:cs="Calibri" w:cstheme="minorHAnsi"/>
                <w:b/>
                <w:color w:val="000000"/>
                <w:lang w:eastAsia="el-GR"/>
              </w:rPr>
              <w:t>11.643</w:t>
            </w:r>
          </w:p>
        </w:tc>
        <w:tc>
          <w:tcPr>
            <w:tcW w:w="115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12.171</w:t>
            </w:r>
          </w:p>
        </w:tc>
        <w:tc>
          <w:tcPr>
            <w:tcW w:w="110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624</w:t>
            </w:r>
          </w:p>
        </w:tc>
        <w:tc>
          <w:tcPr>
            <w:tcW w:w="111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720</w:t>
            </w:r>
          </w:p>
        </w:tc>
        <w:tc>
          <w:tcPr>
            <w:tcW w:w="94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b/>
                <w:b/>
                <w:color w:val="000000"/>
                <w:lang w:eastAsia="el-GR"/>
              </w:rPr>
            </w:pPr>
            <w:r>
              <w:rPr>
                <w:rFonts w:eastAsia="Times New Roman" w:cs="Calibri" w:cstheme="minorHAnsi"/>
                <w:b/>
                <w:color w:val="000000"/>
                <w:lang w:eastAsia="el-GR"/>
              </w:rPr>
              <w:t>13.515</w:t>
            </w:r>
          </w:p>
        </w:tc>
      </w:tr>
      <w:tr>
        <w:trPr>
          <w:trHeight w:val="273"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Φεβρουάριος</w:t>
            </w:r>
          </w:p>
        </w:tc>
        <w:tc>
          <w:tcPr>
            <w:tcW w:w="115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8.594</w:t>
            </w:r>
          </w:p>
        </w:tc>
        <w:tc>
          <w:tcPr>
            <w:tcW w:w="110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525</w:t>
            </w:r>
          </w:p>
        </w:tc>
        <w:tc>
          <w:tcPr>
            <w:tcW w:w="113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785</w:t>
            </w:r>
          </w:p>
        </w:tc>
        <w:tc>
          <w:tcPr>
            <w:tcW w:w="94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b/>
                <w:b/>
                <w:color w:val="000000"/>
                <w:lang w:eastAsia="el-GR"/>
              </w:rPr>
            </w:pPr>
            <w:r>
              <w:rPr>
                <w:rFonts w:eastAsia="Times New Roman" w:cs="Calibri" w:cstheme="minorHAnsi"/>
                <w:b/>
                <w:color w:val="000000"/>
                <w:lang w:eastAsia="el-GR"/>
              </w:rPr>
              <w:t>9.904</w:t>
            </w:r>
          </w:p>
        </w:tc>
        <w:tc>
          <w:tcPr>
            <w:tcW w:w="115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11.735</w:t>
            </w:r>
          </w:p>
        </w:tc>
        <w:tc>
          <w:tcPr>
            <w:tcW w:w="110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983</w:t>
            </w:r>
          </w:p>
        </w:tc>
        <w:tc>
          <w:tcPr>
            <w:tcW w:w="111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788</w:t>
            </w:r>
          </w:p>
        </w:tc>
        <w:tc>
          <w:tcPr>
            <w:tcW w:w="94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b/>
                <w:b/>
                <w:color w:val="000000"/>
                <w:lang w:eastAsia="el-GR"/>
              </w:rPr>
            </w:pPr>
            <w:r>
              <w:rPr>
                <w:rFonts w:eastAsia="Times New Roman" w:cs="Calibri" w:cstheme="minorHAnsi"/>
                <w:b/>
                <w:color w:val="000000"/>
                <w:lang w:eastAsia="el-GR"/>
              </w:rPr>
              <w:t>13.506</w:t>
            </w:r>
          </w:p>
        </w:tc>
      </w:tr>
      <w:tr>
        <w:trPr>
          <w:trHeight w:val="273"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Μάρτιος</w:t>
            </w:r>
          </w:p>
        </w:tc>
        <w:tc>
          <w:tcPr>
            <w:tcW w:w="115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9.270</w:t>
            </w:r>
          </w:p>
        </w:tc>
        <w:tc>
          <w:tcPr>
            <w:tcW w:w="110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736</w:t>
            </w:r>
          </w:p>
        </w:tc>
        <w:tc>
          <w:tcPr>
            <w:tcW w:w="113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821</w:t>
            </w:r>
          </w:p>
        </w:tc>
        <w:tc>
          <w:tcPr>
            <w:tcW w:w="94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b/>
                <w:b/>
                <w:color w:val="000000"/>
                <w:lang w:eastAsia="el-GR"/>
              </w:rPr>
            </w:pPr>
            <w:r>
              <w:rPr>
                <w:rFonts w:eastAsia="Times New Roman" w:cs="Calibri" w:cstheme="minorHAnsi"/>
                <w:b/>
                <w:color w:val="000000"/>
                <w:lang w:eastAsia="el-GR"/>
              </w:rPr>
              <w:t>10.827</w:t>
            </w:r>
          </w:p>
        </w:tc>
        <w:tc>
          <w:tcPr>
            <w:tcW w:w="115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7.362</w:t>
            </w:r>
          </w:p>
        </w:tc>
        <w:tc>
          <w:tcPr>
            <w:tcW w:w="110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726</w:t>
            </w:r>
          </w:p>
        </w:tc>
        <w:tc>
          <w:tcPr>
            <w:tcW w:w="111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576</w:t>
            </w:r>
          </w:p>
        </w:tc>
        <w:tc>
          <w:tcPr>
            <w:tcW w:w="94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b/>
                <w:b/>
                <w:color w:val="000000"/>
                <w:lang w:eastAsia="el-GR"/>
              </w:rPr>
            </w:pPr>
            <w:r>
              <w:rPr>
                <w:rFonts w:eastAsia="Times New Roman" w:cs="Calibri" w:cstheme="minorHAnsi"/>
                <w:b/>
                <w:color w:val="000000"/>
                <w:lang w:eastAsia="el-GR"/>
              </w:rPr>
              <w:t>8.664</w:t>
            </w:r>
          </w:p>
        </w:tc>
      </w:tr>
      <w:tr>
        <w:trPr>
          <w:trHeight w:val="273"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Απρίλιος</w:t>
            </w:r>
          </w:p>
        </w:tc>
        <w:tc>
          <w:tcPr>
            <w:tcW w:w="115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8.924</w:t>
            </w:r>
          </w:p>
        </w:tc>
        <w:tc>
          <w:tcPr>
            <w:tcW w:w="110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811</w:t>
            </w:r>
          </w:p>
        </w:tc>
        <w:tc>
          <w:tcPr>
            <w:tcW w:w="113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898</w:t>
            </w:r>
          </w:p>
        </w:tc>
        <w:tc>
          <w:tcPr>
            <w:tcW w:w="94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b/>
                <w:b/>
                <w:color w:val="000000"/>
                <w:lang w:eastAsia="el-GR"/>
              </w:rPr>
            </w:pPr>
            <w:r>
              <w:rPr>
                <w:rFonts w:eastAsia="Times New Roman" w:cs="Calibri" w:cstheme="minorHAnsi"/>
                <w:b/>
                <w:color w:val="000000"/>
                <w:lang w:eastAsia="el-GR"/>
              </w:rPr>
              <w:t>10.633</w:t>
            </w:r>
          </w:p>
        </w:tc>
        <w:tc>
          <w:tcPr>
            <w:tcW w:w="115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6.179</w:t>
            </w:r>
          </w:p>
        </w:tc>
        <w:tc>
          <w:tcPr>
            <w:tcW w:w="110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542</w:t>
            </w:r>
          </w:p>
        </w:tc>
        <w:tc>
          <w:tcPr>
            <w:tcW w:w="111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350</w:t>
            </w:r>
          </w:p>
        </w:tc>
        <w:tc>
          <w:tcPr>
            <w:tcW w:w="94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b/>
                <w:b/>
                <w:color w:val="000000"/>
                <w:lang w:eastAsia="el-GR"/>
              </w:rPr>
            </w:pPr>
            <w:r>
              <w:rPr>
                <w:rFonts w:eastAsia="Times New Roman" w:cs="Calibri" w:cstheme="minorHAnsi"/>
                <w:b/>
                <w:color w:val="000000"/>
                <w:lang w:eastAsia="el-GR"/>
              </w:rPr>
              <w:t>7.071</w:t>
            </w:r>
          </w:p>
        </w:tc>
      </w:tr>
      <w:tr>
        <w:trPr>
          <w:trHeight w:val="273"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Μάιος</w:t>
            </w:r>
          </w:p>
        </w:tc>
        <w:tc>
          <w:tcPr>
            <w:tcW w:w="115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7.968</w:t>
            </w:r>
          </w:p>
        </w:tc>
        <w:tc>
          <w:tcPr>
            <w:tcW w:w="110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715</w:t>
            </w:r>
          </w:p>
        </w:tc>
        <w:tc>
          <w:tcPr>
            <w:tcW w:w="113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916</w:t>
            </w:r>
          </w:p>
        </w:tc>
        <w:tc>
          <w:tcPr>
            <w:tcW w:w="94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b/>
                <w:b/>
                <w:color w:val="000000"/>
                <w:lang w:eastAsia="el-GR"/>
              </w:rPr>
            </w:pPr>
            <w:r>
              <w:rPr>
                <w:rFonts w:eastAsia="Times New Roman" w:cs="Calibri" w:cstheme="minorHAnsi"/>
                <w:b/>
                <w:color w:val="000000"/>
                <w:lang w:eastAsia="el-GR"/>
              </w:rPr>
              <w:t>9.599</w:t>
            </w:r>
          </w:p>
        </w:tc>
        <w:tc>
          <w:tcPr>
            <w:tcW w:w="115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7.922</w:t>
            </w:r>
          </w:p>
        </w:tc>
        <w:tc>
          <w:tcPr>
            <w:tcW w:w="110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745</w:t>
            </w:r>
          </w:p>
        </w:tc>
        <w:tc>
          <w:tcPr>
            <w:tcW w:w="111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496</w:t>
            </w:r>
          </w:p>
        </w:tc>
        <w:tc>
          <w:tcPr>
            <w:tcW w:w="94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b/>
                <w:b/>
                <w:color w:val="000000"/>
                <w:lang w:eastAsia="el-GR"/>
              </w:rPr>
            </w:pPr>
            <w:r>
              <w:rPr>
                <w:rFonts w:eastAsia="Times New Roman" w:cs="Calibri" w:cstheme="minorHAnsi"/>
                <w:b/>
                <w:color w:val="000000"/>
                <w:lang w:eastAsia="el-GR"/>
              </w:rPr>
              <w:t>9.163</w:t>
            </w:r>
          </w:p>
        </w:tc>
      </w:tr>
      <w:tr>
        <w:trPr>
          <w:trHeight w:val="273"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Ιούνιος</w:t>
            </w:r>
          </w:p>
        </w:tc>
        <w:tc>
          <w:tcPr>
            <w:tcW w:w="115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7.991</w:t>
            </w:r>
          </w:p>
        </w:tc>
        <w:tc>
          <w:tcPr>
            <w:tcW w:w="110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728</w:t>
            </w:r>
          </w:p>
        </w:tc>
        <w:tc>
          <w:tcPr>
            <w:tcW w:w="113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817</w:t>
            </w:r>
          </w:p>
        </w:tc>
        <w:tc>
          <w:tcPr>
            <w:tcW w:w="94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b/>
                <w:b/>
                <w:color w:val="000000"/>
                <w:lang w:eastAsia="el-GR"/>
              </w:rPr>
            </w:pPr>
            <w:r>
              <w:rPr>
                <w:rFonts w:eastAsia="Times New Roman" w:cs="Calibri" w:cstheme="minorHAnsi"/>
                <w:b/>
                <w:color w:val="000000"/>
                <w:lang w:eastAsia="el-GR"/>
              </w:rPr>
              <w:t>9.536</w:t>
            </w:r>
          </w:p>
        </w:tc>
        <w:tc>
          <w:tcPr>
            <w:tcW w:w="115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10.687</w:t>
            </w:r>
          </w:p>
        </w:tc>
        <w:tc>
          <w:tcPr>
            <w:tcW w:w="110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680</w:t>
            </w:r>
          </w:p>
        </w:tc>
        <w:tc>
          <w:tcPr>
            <w:tcW w:w="111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803</w:t>
            </w:r>
          </w:p>
        </w:tc>
        <w:tc>
          <w:tcPr>
            <w:tcW w:w="94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b/>
                <w:b/>
                <w:color w:val="000000"/>
                <w:lang w:eastAsia="el-GR"/>
              </w:rPr>
            </w:pPr>
            <w:r>
              <w:rPr>
                <w:rFonts w:eastAsia="Times New Roman" w:cs="Calibri" w:cstheme="minorHAnsi"/>
                <w:b/>
                <w:color w:val="000000"/>
                <w:lang w:eastAsia="el-GR"/>
              </w:rPr>
              <w:t>12.170</w:t>
            </w:r>
          </w:p>
        </w:tc>
      </w:tr>
      <w:tr>
        <w:trPr>
          <w:trHeight w:val="273"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Ιούλιος</w:t>
            </w:r>
          </w:p>
        </w:tc>
        <w:tc>
          <w:tcPr>
            <w:tcW w:w="115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8.339</w:t>
            </w:r>
          </w:p>
        </w:tc>
        <w:tc>
          <w:tcPr>
            <w:tcW w:w="110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782</w:t>
            </w:r>
          </w:p>
        </w:tc>
        <w:tc>
          <w:tcPr>
            <w:tcW w:w="113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738</w:t>
            </w:r>
          </w:p>
        </w:tc>
        <w:tc>
          <w:tcPr>
            <w:tcW w:w="94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b/>
                <w:b/>
                <w:color w:val="000000"/>
                <w:lang w:eastAsia="el-GR"/>
              </w:rPr>
            </w:pPr>
            <w:r>
              <w:rPr>
                <w:rFonts w:eastAsia="Times New Roman" w:cs="Calibri" w:cstheme="minorHAnsi"/>
                <w:b/>
                <w:color w:val="000000"/>
                <w:lang w:eastAsia="el-GR"/>
              </w:rPr>
              <w:t>9.859</w:t>
            </w:r>
          </w:p>
        </w:tc>
        <w:tc>
          <w:tcPr>
            <w:tcW w:w="115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14.230</w:t>
            </w:r>
          </w:p>
        </w:tc>
        <w:tc>
          <w:tcPr>
            <w:tcW w:w="110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502</w:t>
            </w:r>
          </w:p>
        </w:tc>
        <w:tc>
          <w:tcPr>
            <w:tcW w:w="111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963</w:t>
            </w:r>
          </w:p>
        </w:tc>
        <w:tc>
          <w:tcPr>
            <w:tcW w:w="94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b/>
                <w:b/>
                <w:color w:val="000000"/>
                <w:lang w:eastAsia="el-GR"/>
              </w:rPr>
            </w:pPr>
            <w:r>
              <w:rPr>
                <w:rFonts w:eastAsia="Times New Roman" w:cs="Calibri" w:cstheme="minorHAnsi"/>
                <w:b/>
                <w:color w:val="000000"/>
                <w:lang w:eastAsia="el-GR"/>
              </w:rPr>
              <w:t>15.695</w:t>
            </w:r>
          </w:p>
        </w:tc>
      </w:tr>
      <w:tr>
        <w:trPr>
          <w:trHeight w:val="273"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Αύγουστος</w:t>
            </w:r>
          </w:p>
        </w:tc>
        <w:tc>
          <w:tcPr>
            <w:tcW w:w="115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5.229</w:t>
            </w:r>
          </w:p>
        </w:tc>
        <w:tc>
          <w:tcPr>
            <w:tcW w:w="110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479</w:t>
            </w:r>
          </w:p>
        </w:tc>
        <w:tc>
          <w:tcPr>
            <w:tcW w:w="113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626</w:t>
            </w:r>
          </w:p>
        </w:tc>
        <w:tc>
          <w:tcPr>
            <w:tcW w:w="94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b/>
                <w:b/>
                <w:color w:val="000000"/>
                <w:lang w:eastAsia="el-GR"/>
              </w:rPr>
            </w:pPr>
            <w:r>
              <w:rPr>
                <w:rFonts w:eastAsia="Times New Roman" w:cs="Calibri" w:cstheme="minorHAnsi"/>
                <w:b/>
                <w:color w:val="000000"/>
                <w:lang w:eastAsia="el-GR"/>
              </w:rPr>
              <w:t>6.334</w:t>
            </w:r>
          </w:p>
        </w:tc>
        <w:tc>
          <w:tcPr>
            <w:tcW w:w="115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8.746</w:t>
            </w:r>
          </w:p>
        </w:tc>
        <w:tc>
          <w:tcPr>
            <w:tcW w:w="110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560</w:t>
            </w:r>
          </w:p>
        </w:tc>
        <w:tc>
          <w:tcPr>
            <w:tcW w:w="111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830</w:t>
            </w:r>
          </w:p>
        </w:tc>
        <w:tc>
          <w:tcPr>
            <w:tcW w:w="94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b/>
                <w:b/>
                <w:color w:val="000000"/>
                <w:lang w:eastAsia="el-GR"/>
              </w:rPr>
            </w:pPr>
            <w:r>
              <w:rPr>
                <w:rFonts w:eastAsia="Times New Roman" w:cs="Calibri" w:cstheme="minorHAnsi"/>
                <w:b/>
                <w:color w:val="000000"/>
                <w:lang w:eastAsia="el-GR"/>
              </w:rPr>
              <w:t>10.136</w:t>
            </w:r>
          </w:p>
        </w:tc>
      </w:tr>
      <w:tr>
        <w:trPr>
          <w:trHeight w:val="273"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Σεπτέμβριος</w:t>
            </w:r>
          </w:p>
        </w:tc>
        <w:tc>
          <w:tcPr>
            <w:tcW w:w="115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8.354</w:t>
            </w:r>
          </w:p>
        </w:tc>
        <w:tc>
          <w:tcPr>
            <w:tcW w:w="110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637</w:t>
            </w:r>
          </w:p>
        </w:tc>
        <w:tc>
          <w:tcPr>
            <w:tcW w:w="113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765</w:t>
            </w:r>
          </w:p>
        </w:tc>
        <w:tc>
          <w:tcPr>
            <w:tcW w:w="94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b/>
                <w:b/>
                <w:color w:val="000000"/>
                <w:lang w:eastAsia="el-GR"/>
              </w:rPr>
            </w:pPr>
            <w:r>
              <w:rPr>
                <w:rFonts w:eastAsia="Times New Roman" w:cs="Calibri" w:cstheme="minorHAnsi"/>
                <w:b/>
                <w:color w:val="000000"/>
                <w:lang w:eastAsia="el-GR"/>
              </w:rPr>
              <w:t>9.756</w:t>
            </w:r>
          </w:p>
        </w:tc>
        <w:tc>
          <w:tcPr>
            <w:tcW w:w="115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15.929</w:t>
            </w:r>
          </w:p>
        </w:tc>
        <w:tc>
          <w:tcPr>
            <w:tcW w:w="110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1.821</w:t>
            </w:r>
          </w:p>
        </w:tc>
        <w:tc>
          <w:tcPr>
            <w:tcW w:w="111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1.882</w:t>
            </w:r>
          </w:p>
        </w:tc>
        <w:tc>
          <w:tcPr>
            <w:tcW w:w="94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b/>
                <w:b/>
                <w:color w:val="000000"/>
                <w:lang w:eastAsia="el-GR"/>
              </w:rPr>
            </w:pPr>
            <w:r>
              <w:rPr>
                <w:rFonts w:eastAsia="Times New Roman" w:cs="Calibri" w:cstheme="minorHAnsi"/>
                <w:b/>
                <w:color w:val="000000"/>
                <w:lang w:eastAsia="el-GR"/>
              </w:rPr>
              <w:t>19.632</w:t>
            </w:r>
          </w:p>
        </w:tc>
      </w:tr>
      <w:tr>
        <w:trPr>
          <w:trHeight w:val="273"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Calibri" w:hAnsi="Calibri" w:eastAsia="Times New Roman" w:cs="Calibri" w:asciiTheme="minorHAnsi" w:cstheme="minorHAnsi" w:hAnsiTheme="minorHAnsi"/>
                <w:b/>
                <w:b/>
                <w:bCs/>
                <w:color w:val="000000"/>
                <w:lang w:eastAsia="el-GR"/>
              </w:rPr>
            </w:pPr>
            <w:r>
              <w:rPr>
                <w:rFonts w:eastAsia="Times New Roman" w:cs="Calibri" w:cstheme="minorHAnsi"/>
                <w:b/>
                <w:bCs/>
                <w:color w:val="000000"/>
                <w:lang w:eastAsia="el-GR"/>
              </w:rPr>
              <w:t xml:space="preserve">ΥΠΟΣΥΝΟΛΟ </w:t>
            </w:r>
          </w:p>
        </w:tc>
        <w:tc>
          <w:tcPr>
            <w:tcW w:w="115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w:hAnsi="Calibri" w:eastAsia="Times New Roman" w:cs="Calibri" w:asciiTheme="minorHAnsi" w:cstheme="minorHAnsi" w:hAnsiTheme="minorHAnsi"/>
                <w:b/>
                <w:b/>
                <w:bCs/>
                <w:color w:val="000000"/>
                <w:lang w:eastAsia="el-GR"/>
              </w:rPr>
            </w:pPr>
            <w:r>
              <w:rPr>
                <w:rFonts w:cs="Calibri"/>
                <w:b/>
                <w:bCs/>
                <w:color w:val="000000"/>
              </w:rPr>
              <w:t>72.563</w:t>
            </w:r>
          </w:p>
        </w:tc>
        <w:tc>
          <w:tcPr>
            <w:tcW w:w="1102"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w:hAnsi="Calibri" w:eastAsia="Times New Roman" w:cs="Calibri" w:asciiTheme="minorHAnsi" w:cstheme="minorHAnsi" w:hAnsiTheme="minorHAnsi"/>
                <w:b/>
                <w:b/>
                <w:bCs/>
                <w:color w:val="000000"/>
                <w:lang w:eastAsia="el-GR"/>
              </w:rPr>
            </w:pPr>
            <w:r>
              <w:rPr>
                <w:rFonts w:cs="Calibri"/>
                <w:b/>
                <w:bCs/>
                <w:color w:val="000000"/>
              </w:rPr>
              <w:t>6.013</w:t>
            </w:r>
          </w:p>
        </w:tc>
        <w:tc>
          <w:tcPr>
            <w:tcW w:w="1132"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w:hAnsi="Calibri" w:eastAsia="Times New Roman" w:cs="Calibri" w:asciiTheme="minorHAnsi" w:cstheme="minorHAnsi" w:hAnsiTheme="minorHAnsi"/>
                <w:b/>
                <w:b/>
                <w:bCs/>
                <w:color w:val="000000"/>
                <w:lang w:eastAsia="el-GR"/>
              </w:rPr>
            </w:pPr>
            <w:r>
              <w:rPr>
                <w:rFonts w:cs="Calibri"/>
                <w:b/>
                <w:bCs/>
                <w:color w:val="000000"/>
              </w:rPr>
              <w:t>9.515</w:t>
            </w:r>
          </w:p>
        </w:tc>
        <w:tc>
          <w:tcPr>
            <w:tcW w:w="944"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w:hAnsi="Calibri" w:eastAsia="Times New Roman" w:cs="Calibri" w:asciiTheme="minorHAnsi" w:cstheme="minorHAnsi" w:hAnsiTheme="minorHAnsi"/>
                <w:b/>
                <w:b/>
                <w:color w:val="000000"/>
                <w:lang w:eastAsia="el-GR"/>
              </w:rPr>
            </w:pPr>
            <w:r>
              <w:rPr>
                <w:rFonts w:cs="Calibri"/>
                <w:b/>
                <w:color w:val="000000"/>
              </w:rPr>
              <w:t>88.091</w:t>
            </w:r>
          </w:p>
        </w:tc>
        <w:tc>
          <w:tcPr>
            <w:tcW w:w="1156"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b/>
                <w:color w:val="000000"/>
                <w:lang w:eastAsia="el-GR"/>
              </w:rPr>
              <w:t>94.961</w:t>
            </w:r>
          </w:p>
        </w:tc>
        <w:tc>
          <w:tcPr>
            <w:tcW w:w="1102"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b/>
                <w:color w:val="000000"/>
                <w:lang w:eastAsia="el-GR"/>
              </w:rPr>
              <w:t>7.183</w:t>
            </w:r>
          </w:p>
        </w:tc>
        <w:tc>
          <w:tcPr>
            <w:tcW w:w="1115"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b/>
                <w:color w:val="000000"/>
                <w:lang w:eastAsia="el-GR"/>
              </w:rPr>
              <w:t>7.408</w:t>
            </w:r>
          </w:p>
        </w:tc>
        <w:tc>
          <w:tcPr>
            <w:tcW w:w="944"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w:hAnsi="Calibri" w:eastAsia="Times New Roman" w:cs="Calibri" w:asciiTheme="minorHAnsi" w:cstheme="minorHAnsi" w:hAnsiTheme="minorHAnsi"/>
                <w:b/>
                <w:b/>
                <w:color w:val="000000"/>
                <w:lang w:eastAsia="el-GR"/>
              </w:rPr>
            </w:pPr>
            <w:r>
              <w:rPr>
                <w:rFonts w:eastAsia="Times New Roman" w:cs="Calibri" w:cstheme="minorHAnsi"/>
                <w:b/>
                <w:color w:val="000000"/>
                <w:lang w:eastAsia="el-GR"/>
              </w:rPr>
              <w:t>109.552</w:t>
            </w:r>
          </w:p>
        </w:tc>
      </w:tr>
      <w:tr>
        <w:trPr>
          <w:trHeight w:val="273"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Οκτώβριος</w:t>
            </w:r>
          </w:p>
        </w:tc>
        <w:tc>
          <w:tcPr>
            <w:tcW w:w="115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8.980</w:t>
            </w:r>
          </w:p>
        </w:tc>
        <w:tc>
          <w:tcPr>
            <w:tcW w:w="110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1.015</w:t>
            </w:r>
          </w:p>
        </w:tc>
        <w:tc>
          <w:tcPr>
            <w:tcW w:w="113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884</w:t>
            </w:r>
          </w:p>
        </w:tc>
        <w:tc>
          <w:tcPr>
            <w:tcW w:w="94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bCs/>
                <w:color w:val="000000"/>
                <w:lang w:eastAsia="el-GR"/>
              </w:rPr>
            </w:pPr>
            <w:r>
              <w:rPr>
                <w:rFonts w:eastAsia="Times New Roman" w:cs="Calibri" w:cstheme="minorHAnsi"/>
                <w:bCs/>
                <w:color w:val="000000"/>
                <w:lang w:eastAsia="el-GR"/>
              </w:rPr>
              <w:t>10.879</w:t>
            </w:r>
          </w:p>
        </w:tc>
        <w:tc>
          <w:tcPr>
            <w:tcW w:w="1156" w:type="dxa"/>
            <w:tcBorders>
              <w:top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bCs/>
                <w:color w:val="000000"/>
                <w:lang w:eastAsia="el-GR"/>
              </w:rPr>
            </w:pPr>
            <w:r>
              <w:rPr>
                <w:rFonts w:eastAsia="Times New Roman" w:cs="Calibri" w:cstheme="minorHAnsi"/>
                <w:bCs/>
                <w:color w:val="000000"/>
                <w:lang w:eastAsia="el-GR"/>
              </w:rPr>
              <w:t> </w:t>
            </w:r>
          </w:p>
        </w:tc>
        <w:tc>
          <w:tcPr>
            <w:tcW w:w="1102" w:type="dxa"/>
            <w:tcBorders>
              <w:bottom w:val="single" w:sz="4" w:space="0" w:color="000000"/>
              <w:right w:val="single" w:sz="4" w:space="0" w:color="000000"/>
            </w:tcBorders>
            <w:shd w:color="auto" w:fill="D9D9D9" w:themeFill="background1" w:themeFillShade="d9"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bCs/>
                <w:color w:val="000000"/>
                <w:lang w:eastAsia="el-GR"/>
              </w:rPr>
            </w:pPr>
            <w:r>
              <w:rPr>
                <w:rFonts w:eastAsia="Times New Roman" w:cs="Calibri" w:cstheme="minorHAnsi"/>
                <w:bCs/>
                <w:color w:val="000000"/>
                <w:lang w:eastAsia="el-GR"/>
              </w:rPr>
              <w:t> </w:t>
            </w:r>
          </w:p>
        </w:tc>
        <w:tc>
          <w:tcPr>
            <w:tcW w:w="1115" w:type="dxa"/>
            <w:tcBorders>
              <w:bottom w:val="single" w:sz="4" w:space="0" w:color="000000"/>
              <w:right w:val="single" w:sz="4" w:space="0" w:color="000000"/>
            </w:tcBorders>
            <w:shd w:color="auto" w:fill="D9D9D9" w:themeFill="background1" w:themeFillShade="d9"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bCs/>
                <w:color w:val="000000"/>
                <w:lang w:eastAsia="el-GR"/>
              </w:rPr>
            </w:pPr>
            <w:r>
              <w:rPr>
                <w:rFonts w:eastAsia="Times New Roman" w:cs="Calibri" w:cstheme="minorHAnsi"/>
                <w:bCs/>
                <w:color w:val="000000"/>
                <w:lang w:eastAsia="el-GR"/>
              </w:rPr>
              <w:t> </w:t>
            </w:r>
          </w:p>
        </w:tc>
        <w:tc>
          <w:tcPr>
            <w:tcW w:w="944" w:type="dxa"/>
            <w:tcBorders>
              <w:bottom w:val="single" w:sz="4" w:space="0" w:color="000000"/>
              <w:right w:val="single" w:sz="4" w:space="0" w:color="000000"/>
            </w:tcBorders>
            <w:shd w:color="auto" w:fill="D9D9D9" w:themeFill="background1" w:themeFillShade="d9"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bCs/>
                <w:color w:val="000000"/>
                <w:lang w:eastAsia="el-GR"/>
              </w:rPr>
            </w:pPr>
            <w:r>
              <w:rPr>
                <w:rFonts w:eastAsia="Times New Roman" w:cs="Calibri" w:cstheme="minorHAnsi"/>
                <w:bCs/>
                <w:color w:val="000000"/>
                <w:lang w:eastAsia="el-GR"/>
              </w:rPr>
              <w:t> </w:t>
            </w:r>
          </w:p>
        </w:tc>
      </w:tr>
      <w:tr>
        <w:trPr>
          <w:trHeight w:val="273"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Νοέμβριος</w:t>
            </w:r>
          </w:p>
        </w:tc>
        <w:tc>
          <w:tcPr>
            <w:tcW w:w="115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10.145</w:t>
            </w:r>
          </w:p>
        </w:tc>
        <w:tc>
          <w:tcPr>
            <w:tcW w:w="110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855</w:t>
            </w:r>
          </w:p>
        </w:tc>
        <w:tc>
          <w:tcPr>
            <w:tcW w:w="113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806</w:t>
            </w:r>
          </w:p>
        </w:tc>
        <w:tc>
          <w:tcPr>
            <w:tcW w:w="94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bCs/>
                <w:color w:val="000000"/>
                <w:lang w:eastAsia="el-GR"/>
              </w:rPr>
            </w:pPr>
            <w:r>
              <w:rPr>
                <w:rFonts w:eastAsia="Times New Roman" w:cs="Calibri" w:cstheme="minorHAnsi"/>
                <w:bCs/>
                <w:color w:val="000000"/>
                <w:lang w:eastAsia="el-GR"/>
              </w:rPr>
              <w:t>11.806</w:t>
            </w:r>
          </w:p>
        </w:tc>
        <w:tc>
          <w:tcPr>
            <w:tcW w:w="1156" w:type="dxa"/>
            <w:tcBorders>
              <w:top w:val="single" w:sz="4" w:space="0" w:color="000000"/>
              <w:bottom w:val="single" w:sz="4" w:space="0" w:color="000000"/>
              <w:right w:val="single" w:sz="4" w:space="0" w:color="000000"/>
            </w:tcBorders>
            <w:shd w:color="auto" w:fill="D9D9D9" w:themeFill="background1" w:themeFillShade="d9" w:val="clear"/>
            <w:vAlign w:val="bottom"/>
          </w:tcPr>
          <w:p>
            <w:pPr>
              <w:pStyle w:val="Normal"/>
              <w:widowControl w:val="false"/>
              <w:spacing w:lineRule="auto" w:line="240" w:before="0" w:after="0"/>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 </w:t>
            </w:r>
          </w:p>
        </w:tc>
        <w:tc>
          <w:tcPr>
            <w:tcW w:w="1102" w:type="dxa"/>
            <w:tcBorders>
              <w:bottom w:val="single" w:sz="4" w:space="0" w:color="000000"/>
              <w:right w:val="single" w:sz="4" w:space="0" w:color="000000"/>
            </w:tcBorders>
            <w:shd w:color="auto" w:fill="D9D9D9" w:themeFill="background1" w:themeFillShade="d9" w:val="clear"/>
            <w:vAlign w:val="bottom"/>
          </w:tcPr>
          <w:p>
            <w:pPr>
              <w:pStyle w:val="Normal"/>
              <w:widowControl w:val="false"/>
              <w:spacing w:lineRule="auto" w:line="240" w:before="0" w:after="0"/>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 </w:t>
            </w:r>
          </w:p>
        </w:tc>
        <w:tc>
          <w:tcPr>
            <w:tcW w:w="1115" w:type="dxa"/>
            <w:tcBorders>
              <w:bottom w:val="single" w:sz="4" w:space="0" w:color="000000"/>
              <w:right w:val="single" w:sz="4" w:space="0" w:color="000000"/>
            </w:tcBorders>
            <w:shd w:color="auto" w:fill="D9D9D9" w:themeFill="background1" w:themeFillShade="d9" w:val="clear"/>
            <w:vAlign w:val="bottom"/>
          </w:tcPr>
          <w:p>
            <w:pPr>
              <w:pStyle w:val="Normal"/>
              <w:widowControl w:val="false"/>
              <w:spacing w:lineRule="auto" w:line="240" w:before="0" w:after="0"/>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 </w:t>
            </w:r>
          </w:p>
        </w:tc>
        <w:tc>
          <w:tcPr>
            <w:tcW w:w="944" w:type="dxa"/>
            <w:tcBorders>
              <w:bottom w:val="single" w:sz="4" w:space="0" w:color="000000"/>
              <w:right w:val="single" w:sz="4" w:space="0" w:color="000000"/>
            </w:tcBorders>
            <w:shd w:color="auto" w:fill="D9D9D9" w:themeFill="background1" w:themeFillShade="d9" w:val="clear"/>
            <w:vAlign w:val="bottom"/>
          </w:tcPr>
          <w:p>
            <w:pPr>
              <w:pStyle w:val="Normal"/>
              <w:widowControl w:val="false"/>
              <w:spacing w:lineRule="auto" w:line="240" w:before="0" w:after="0"/>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 </w:t>
            </w:r>
          </w:p>
        </w:tc>
      </w:tr>
      <w:tr>
        <w:trPr>
          <w:trHeight w:val="273"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Δεκέμβριος</w:t>
            </w:r>
          </w:p>
        </w:tc>
        <w:tc>
          <w:tcPr>
            <w:tcW w:w="115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11.350</w:t>
            </w:r>
          </w:p>
        </w:tc>
        <w:tc>
          <w:tcPr>
            <w:tcW w:w="110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557</w:t>
            </w:r>
          </w:p>
        </w:tc>
        <w:tc>
          <w:tcPr>
            <w:tcW w:w="113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641</w:t>
            </w:r>
          </w:p>
        </w:tc>
        <w:tc>
          <w:tcPr>
            <w:tcW w:w="94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bCs/>
                <w:color w:val="000000"/>
                <w:lang w:eastAsia="el-GR"/>
              </w:rPr>
            </w:pPr>
            <w:r>
              <w:rPr>
                <w:rFonts w:eastAsia="Times New Roman" w:cs="Calibri" w:cstheme="minorHAnsi"/>
                <w:bCs/>
                <w:color w:val="000000"/>
                <w:lang w:eastAsia="el-GR"/>
              </w:rPr>
              <w:t>12.548</w:t>
            </w:r>
          </w:p>
        </w:tc>
        <w:tc>
          <w:tcPr>
            <w:tcW w:w="1156" w:type="dxa"/>
            <w:tcBorders>
              <w:top w:val="single" w:sz="4" w:space="0" w:color="000000"/>
              <w:bottom w:val="single" w:sz="4" w:space="0" w:color="000000"/>
              <w:right w:val="single" w:sz="4" w:space="0" w:color="000000"/>
            </w:tcBorders>
            <w:shd w:color="auto" w:fill="D9D9D9" w:themeFill="background1" w:themeFillShade="d9" w:val="clear"/>
            <w:vAlign w:val="bottom"/>
          </w:tcPr>
          <w:p>
            <w:pPr>
              <w:pStyle w:val="Normal"/>
              <w:widowControl w:val="false"/>
              <w:spacing w:lineRule="auto" w:line="240" w:before="0" w:after="0"/>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 </w:t>
            </w:r>
          </w:p>
        </w:tc>
        <w:tc>
          <w:tcPr>
            <w:tcW w:w="1102" w:type="dxa"/>
            <w:tcBorders>
              <w:bottom w:val="single" w:sz="4" w:space="0" w:color="000000"/>
              <w:right w:val="single" w:sz="4" w:space="0" w:color="000000"/>
            </w:tcBorders>
            <w:shd w:color="auto" w:fill="D9D9D9" w:themeFill="background1" w:themeFillShade="d9" w:val="clear"/>
            <w:vAlign w:val="bottom"/>
          </w:tcPr>
          <w:p>
            <w:pPr>
              <w:pStyle w:val="Normal"/>
              <w:widowControl w:val="false"/>
              <w:spacing w:lineRule="auto" w:line="240" w:before="0" w:after="0"/>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 </w:t>
            </w:r>
          </w:p>
        </w:tc>
        <w:tc>
          <w:tcPr>
            <w:tcW w:w="1115" w:type="dxa"/>
            <w:tcBorders>
              <w:bottom w:val="single" w:sz="4" w:space="0" w:color="000000"/>
              <w:right w:val="single" w:sz="4" w:space="0" w:color="000000"/>
            </w:tcBorders>
            <w:shd w:color="auto" w:fill="D9D9D9" w:themeFill="background1" w:themeFillShade="d9" w:val="clear"/>
            <w:vAlign w:val="bottom"/>
          </w:tcPr>
          <w:p>
            <w:pPr>
              <w:pStyle w:val="Normal"/>
              <w:widowControl w:val="false"/>
              <w:spacing w:lineRule="auto" w:line="240" w:before="0" w:after="0"/>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 </w:t>
            </w:r>
          </w:p>
        </w:tc>
        <w:tc>
          <w:tcPr>
            <w:tcW w:w="944" w:type="dxa"/>
            <w:tcBorders>
              <w:bottom w:val="single" w:sz="4" w:space="0" w:color="000000"/>
              <w:right w:val="single" w:sz="4" w:space="0" w:color="000000"/>
            </w:tcBorders>
            <w:shd w:color="auto" w:fill="D9D9D9" w:themeFill="background1" w:themeFillShade="d9" w:val="clear"/>
            <w:vAlign w:val="bottom"/>
          </w:tcPr>
          <w:p>
            <w:pPr>
              <w:pStyle w:val="Normal"/>
              <w:widowControl w:val="false"/>
              <w:spacing w:lineRule="auto" w:line="240" w:before="0" w:after="0"/>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 </w:t>
            </w:r>
          </w:p>
        </w:tc>
      </w:tr>
      <w:tr>
        <w:trPr>
          <w:trHeight w:val="273" w:hRule="atLeast"/>
        </w:trPr>
        <w:tc>
          <w:tcPr>
            <w:tcW w:w="1467"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Calibri" w:hAnsi="Calibri" w:eastAsia="Times New Roman" w:cs="Calibri" w:asciiTheme="minorHAnsi" w:cstheme="minorHAnsi" w:hAnsiTheme="minorHAnsi"/>
                <w:b/>
                <w:b/>
                <w:bCs/>
                <w:color w:val="000000"/>
                <w:lang w:eastAsia="el-GR"/>
              </w:rPr>
            </w:pPr>
            <w:r>
              <w:rPr>
                <w:rFonts w:eastAsia="Times New Roman" w:cs="Calibri" w:cstheme="minorHAnsi"/>
                <w:b/>
                <w:bCs/>
                <w:color w:val="000000"/>
                <w:lang w:eastAsia="el-GR"/>
              </w:rPr>
              <w:t>ΣΥΝΟΛΟ ΕΤΟΥΣ</w:t>
            </w:r>
          </w:p>
        </w:tc>
        <w:tc>
          <w:tcPr>
            <w:tcW w:w="1156"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b/>
                <w:b/>
                <w:bCs/>
                <w:color w:val="000000"/>
                <w:lang w:eastAsia="el-GR"/>
              </w:rPr>
            </w:pPr>
            <w:r>
              <w:rPr>
                <w:rFonts w:eastAsia="Times New Roman" w:cs="Calibri" w:cstheme="minorHAnsi"/>
                <w:b/>
                <w:bCs/>
                <w:color w:val="000000"/>
                <w:lang w:eastAsia="el-GR"/>
              </w:rPr>
              <w:t>103.038</w:t>
            </w:r>
          </w:p>
        </w:tc>
        <w:tc>
          <w:tcPr>
            <w:tcW w:w="110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b/>
                <w:b/>
                <w:bCs/>
                <w:color w:val="000000"/>
                <w:lang w:eastAsia="el-GR"/>
              </w:rPr>
            </w:pPr>
            <w:r>
              <w:rPr>
                <w:rFonts w:eastAsia="Times New Roman" w:cs="Calibri" w:cstheme="minorHAnsi"/>
                <w:b/>
                <w:bCs/>
                <w:color w:val="000000"/>
                <w:lang w:eastAsia="el-GR"/>
              </w:rPr>
              <w:t>8.440</w:t>
            </w:r>
          </w:p>
        </w:tc>
        <w:tc>
          <w:tcPr>
            <w:tcW w:w="1132"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b/>
                <w:b/>
                <w:bCs/>
                <w:color w:val="000000"/>
                <w:lang w:eastAsia="el-GR"/>
              </w:rPr>
            </w:pPr>
            <w:r>
              <w:rPr>
                <w:rFonts w:eastAsia="Times New Roman" w:cs="Calibri" w:cstheme="minorHAnsi"/>
                <w:b/>
                <w:bCs/>
                <w:color w:val="000000"/>
                <w:lang w:eastAsia="el-GR"/>
              </w:rPr>
              <w:t>11.846</w:t>
            </w:r>
          </w:p>
        </w:tc>
        <w:tc>
          <w:tcPr>
            <w:tcW w:w="94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b/>
                <w:b/>
                <w:color w:val="000000"/>
                <w:lang w:eastAsia="el-GR"/>
              </w:rPr>
            </w:pPr>
            <w:r>
              <w:rPr>
                <w:rFonts w:eastAsia="Times New Roman" w:cs="Calibri" w:cstheme="minorHAnsi"/>
                <w:b/>
                <w:color w:val="000000"/>
                <w:lang w:eastAsia="el-GR"/>
              </w:rPr>
              <w:t>123.324</w:t>
            </w:r>
          </w:p>
        </w:tc>
        <w:tc>
          <w:tcPr>
            <w:tcW w:w="1156" w:type="dxa"/>
            <w:tcBorders>
              <w:top w:val="single" w:sz="4" w:space="0" w:color="000000"/>
              <w:bottom w:val="single" w:sz="4" w:space="0" w:color="000000"/>
              <w:right w:val="single" w:sz="4" w:space="0" w:color="000000"/>
            </w:tcBorders>
            <w:shd w:color="auto" w:fill="D9D9D9" w:themeFill="background1" w:themeFillShade="d9" w:val="clear"/>
            <w:vAlign w:val="bottom"/>
          </w:tcPr>
          <w:p>
            <w:pPr>
              <w:pStyle w:val="Normal"/>
              <w:widowControl w:val="false"/>
              <w:spacing w:lineRule="auto" w:line="240" w:before="0" w:after="0"/>
              <w:jc w:val="right"/>
              <w:rPr>
                <w:rFonts w:ascii="Calibri" w:hAnsi="Calibri" w:eastAsia="Times New Roman" w:cs="Calibri" w:asciiTheme="minorHAnsi" w:cstheme="minorHAnsi" w:hAnsiTheme="minorHAnsi"/>
                <w:b/>
                <w:b/>
                <w:color w:val="000000"/>
                <w:lang w:eastAsia="el-GR"/>
              </w:rPr>
            </w:pPr>
            <w:r>
              <w:rPr>
                <w:rFonts w:eastAsia="Times New Roman" w:cs="Calibri" w:cstheme="minorHAnsi"/>
                <w:b/>
                <w:color w:val="000000"/>
                <w:lang w:eastAsia="el-GR"/>
              </w:rPr>
            </w:r>
          </w:p>
        </w:tc>
        <w:tc>
          <w:tcPr>
            <w:tcW w:w="1102" w:type="dxa"/>
            <w:tcBorders>
              <w:bottom w:val="single" w:sz="4" w:space="0" w:color="000000"/>
              <w:right w:val="single" w:sz="4" w:space="0" w:color="000000"/>
            </w:tcBorders>
            <w:shd w:color="auto" w:fill="D9D9D9" w:themeFill="background1" w:themeFillShade="d9" w:val="clear"/>
            <w:vAlign w:val="bottom"/>
          </w:tcPr>
          <w:p>
            <w:pPr>
              <w:pStyle w:val="Normal"/>
              <w:widowControl w:val="false"/>
              <w:spacing w:lineRule="auto" w:line="240" w:before="0" w:after="0"/>
              <w:jc w:val="right"/>
              <w:rPr>
                <w:rFonts w:ascii="Calibri" w:hAnsi="Calibri" w:eastAsia="Times New Roman" w:cs="Calibri" w:asciiTheme="minorHAnsi" w:cstheme="minorHAnsi" w:hAnsiTheme="minorHAnsi"/>
                <w:b/>
                <w:b/>
                <w:color w:val="000000"/>
                <w:lang w:eastAsia="el-GR"/>
              </w:rPr>
            </w:pPr>
            <w:r>
              <w:rPr>
                <w:rFonts w:eastAsia="Times New Roman" w:cs="Calibri" w:cstheme="minorHAnsi"/>
                <w:b/>
                <w:color w:val="000000"/>
                <w:lang w:eastAsia="el-GR"/>
              </w:rPr>
            </w:r>
          </w:p>
        </w:tc>
        <w:tc>
          <w:tcPr>
            <w:tcW w:w="1115" w:type="dxa"/>
            <w:tcBorders>
              <w:bottom w:val="single" w:sz="4" w:space="0" w:color="000000"/>
              <w:right w:val="single" w:sz="4" w:space="0" w:color="000000"/>
            </w:tcBorders>
            <w:shd w:color="auto" w:fill="D9D9D9" w:themeFill="background1" w:themeFillShade="d9" w:val="clear"/>
            <w:vAlign w:val="bottom"/>
          </w:tcPr>
          <w:p>
            <w:pPr>
              <w:pStyle w:val="Normal"/>
              <w:widowControl w:val="false"/>
              <w:spacing w:lineRule="auto" w:line="240" w:before="0" w:after="0"/>
              <w:jc w:val="right"/>
              <w:rPr>
                <w:rFonts w:ascii="Calibri" w:hAnsi="Calibri" w:eastAsia="Times New Roman" w:cs="Calibri" w:asciiTheme="minorHAnsi" w:cstheme="minorHAnsi" w:hAnsiTheme="minorHAnsi"/>
                <w:b/>
                <w:b/>
                <w:color w:val="000000"/>
                <w:lang w:eastAsia="el-GR"/>
              </w:rPr>
            </w:pPr>
            <w:r>
              <w:rPr>
                <w:rFonts w:eastAsia="Times New Roman" w:cs="Calibri" w:cstheme="minorHAnsi"/>
                <w:b/>
                <w:color w:val="000000"/>
                <w:lang w:eastAsia="el-GR"/>
              </w:rPr>
            </w:r>
          </w:p>
        </w:tc>
        <w:tc>
          <w:tcPr>
            <w:tcW w:w="944" w:type="dxa"/>
            <w:tcBorders>
              <w:bottom w:val="single" w:sz="4" w:space="0" w:color="000000"/>
              <w:right w:val="single" w:sz="4" w:space="0" w:color="000000"/>
            </w:tcBorders>
            <w:shd w:color="auto" w:fill="D9D9D9" w:themeFill="background1" w:themeFillShade="d9" w:val="clear"/>
            <w:vAlign w:val="bottom"/>
          </w:tcPr>
          <w:p>
            <w:pPr>
              <w:pStyle w:val="Normal"/>
              <w:widowControl w:val="false"/>
              <w:spacing w:lineRule="auto" w:line="240" w:before="0" w:after="0"/>
              <w:jc w:val="right"/>
              <w:rPr>
                <w:rFonts w:ascii="Calibri" w:hAnsi="Calibri" w:eastAsia="Times New Roman" w:cs="Calibri" w:asciiTheme="minorHAnsi" w:cstheme="minorHAnsi" w:hAnsiTheme="minorHAnsi"/>
                <w:b/>
                <w:b/>
                <w:color w:val="000000"/>
                <w:lang w:eastAsia="el-GR"/>
              </w:rPr>
            </w:pPr>
            <w:r>
              <w:rPr>
                <w:rFonts w:eastAsia="Times New Roman" w:cs="Calibri" w:cstheme="minorHAnsi"/>
                <w:b/>
                <w:color w:val="000000"/>
                <w:lang w:eastAsia="el-GR"/>
              </w:rPr>
            </w:r>
          </w:p>
        </w:tc>
      </w:tr>
    </w:tbl>
    <w:p>
      <w:pPr>
        <w:pStyle w:val="Normal"/>
        <w:rPr/>
      </w:pPr>
      <w:r>
        <w:rPr>
          <w:b/>
          <w:u w:val="single"/>
        </w:rPr>
        <w:t>Πίνακας 1:</w:t>
      </w:r>
      <w:r>
        <w:rPr/>
        <w:t xml:space="preserve"> Κατανομή ολοκλήρωσης συνταξιοδοτικών αιτημάτων (εγκριτικών, απορριπτικών) ανά μήνα</w:t>
      </w:r>
      <w:r>
        <w:rPr>
          <w:b/>
        </w:rPr>
        <w:t xml:space="preserve">              </w:t>
      </w:r>
    </w:p>
    <w:p>
      <w:pPr>
        <w:pStyle w:val="1"/>
        <w:numPr>
          <w:ilvl w:val="0"/>
          <w:numId w:val="1"/>
        </w:numPr>
        <w:rPr>
          <w:rFonts w:ascii="Calibri" w:hAnsi="Calibri" w:eastAsia="Times New Roman" w:asciiTheme="minorHAnsi" w:hAnsiTheme="minorHAnsi"/>
          <w:sz w:val="24"/>
          <w:szCs w:val="24"/>
          <w:lang w:eastAsia="el-GR"/>
        </w:rPr>
      </w:pPr>
      <w:bookmarkStart w:id="4" w:name="_Toc56598602"/>
      <w:bookmarkStart w:id="5" w:name="_Toc55981080"/>
      <w:r>
        <w:rPr>
          <w:rFonts w:eastAsia="Times New Roman" w:ascii="Calibri" w:hAnsi="Calibri" w:asciiTheme="minorHAnsi" w:hAnsiTheme="minorHAnsi"/>
          <w:sz w:val="24"/>
          <w:szCs w:val="24"/>
          <w:lang w:eastAsia="el-GR"/>
        </w:rPr>
        <w:t>Πλήθος νέων αιτήσεων οριστικής κύριας σύνταξης</w:t>
      </w:r>
      <w:bookmarkEnd w:id="4"/>
      <w:bookmarkEnd w:id="5"/>
    </w:p>
    <w:p>
      <w:pPr>
        <w:pStyle w:val="Normal"/>
        <w:ind w:firstLine="357"/>
        <w:jc w:val="both"/>
        <w:rPr>
          <w:rFonts w:eastAsia="Times New Roman" w:cs="Calibri"/>
          <w:color w:val="000000"/>
          <w:lang w:eastAsia="el-GR"/>
        </w:rPr>
      </w:pPr>
      <w:r>
        <w:rPr>
          <w:rFonts w:eastAsia="Times New Roman" w:cs="Calibri"/>
          <w:color w:val="000000"/>
          <w:lang w:eastAsia="el-GR"/>
        </w:rPr>
        <w:t xml:space="preserve">Οι νέες αιτήσεις για συνταξιοδότηση που υποβάλλουν οι ασφαλισμένοι παρουσιάζουν  αυξητικές τάσεις από το 2017 που ιδρύθηκε ο </w:t>
      </w:r>
      <w:r>
        <w:rPr>
          <w:rFonts w:eastAsia="Times New Roman" w:cs="Calibri"/>
          <w:color w:val="000000"/>
          <w:lang w:val="en-US" w:eastAsia="el-GR"/>
        </w:rPr>
        <w:t>e</w:t>
      </w:r>
      <w:r>
        <w:rPr>
          <w:rFonts w:eastAsia="Times New Roman" w:cs="Calibri"/>
          <w:color w:val="000000"/>
          <w:lang w:eastAsia="el-GR"/>
        </w:rPr>
        <w:t>-ΕΦΚΑ, με το φαινόμενο να εμφανίζεται πιο έντονο το τετράμηνο Σεπτέμβριος-Δεκέμβριος του 2019 (αύξηση 18% - 9.174 περισσότερες νέες αιτήσεις σε σχέση με το αντίστοιχο διάστημα του 2018).</w:t>
      </w:r>
    </w:p>
    <w:p>
      <w:pPr>
        <w:pStyle w:val="Normal"/>
        <w:ind w:firstLine="357"/>
        <w:jc w:val="both"/>
        <w:rPr>
          <w:rFonts w:eastAsia="Times New Roman" w:cs="Calibri"/>
          <w:color w:val="000000"/>
          <w:lang w:eastAsia="el-GR"/>
        </w:rPr>
      </w:pPr>
      <w:r>
        <w:rPr>
          <w:rFonts w:eastAsia="Times New Roman" w:cs="Calibri"/>
          <w:color w:val="000000"/>
          <w:lang w:eastAsia="el-GR"/>
        </w:rPr>
        <w:t xml:space="preserve">Οι αιτήσεις καταγράφονται με βάση την ημερομηνία υποβολής αντί της ημερομηνίας καταχώρησης στο πληροφοριακό σύστημα στο παρελθόν, καθώς στα τέλη του 2019 διαπιστώθηκε ότι υπήρχε μεγάλος αριθμός αιτημάτων τα οποία δεν είχαν καταχωρηθεί  για πολλούς μήνες. </w:t>
      </w:r>
    </w:p>
    <w:p>
      <w:pPr>
        <w:pStyle w:val="Normal"/>
        <w:ind w:firstLine="357"/>
        <w:jc w:val="both"/>
        <w:rPr>
          <w:rFonts w:eastAsia="Times New Roman" w:cs="Calibri"/>
          <w:color w:val="000000"/>
          <w:lang w:eastAsia="el-GR"/>
        </w:rPr>
      </w:pPr>
      <w:r>
        <w:rPr>
          <w:rFonts w:eastAsia="Times New Roman" w:cs="Calibri"/>
          <w:color w:val="000000"/>
          <w:lang w:eastAsia="el-GR"/>
        </w:rPr>
        <w:t xml:space="preserve">Στο διάγραμμα που ακολουθεί αποτυπώνεται η τάση των νέων αιτήσεων. Για το 2020 γίνεται εκτίμηση με βάση τα δεδομένα του πρώτου εννεαμήνου του έτους και εκτιμάται  ότι  το πλήθος των νέων αιτήσεων κύριας σύνταξης θα ανέλθει περίπου στις 160.000 συνολικά. </w:t>
      </w:r>
    </w:p>
    <w:p>
      <w:pPr>
        <w:pStyle w:val="Normal"/>
        <w:ind w:firstLine="360"/>
        <w:jc w:val="both"/>
        <w:rPr>
          <w:rFonts w:eastAsia="Times New Roman" w:cs="Calibri"/>
          <w:color w:val="000000"/>
          <w:lang w:eastAsia="el-GR"/>
        </w:rPr>
      </w:pPr>
      <w:r>
        <w:rPr/>
        <w:drawing>
          <wp:inline distT="0" distB="0" distL="0" distR="0">
            <wp:extent cx="4572000" cy="2743200"/>
            <wp:effectExtent l="0" t="0" r="0" b="0"/>
            <wp:docPr id="6"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pStyle w:val="Normal"/>
        <w:rPr>
          <w:i/>
          <w:i/>
        </w:rPr>
      </w:pPr>
      <w:r>
        <w:rPr>
          <w:b/>
        </w:rPr>
        <w:t xml:space="preserve">       </w:t>
      </w:r>
      <w:r>
        <w:rPr>
          <w:b/>
          <w:u w:val="single"/>
        </w:rPr>
        <w:t>Διάγραμμα 2:</w:t>
      </w:r>
      <w:r>
        <w:rPr/>
        <w:t xml:space="preserve"> Ετήσια κατανομή νέων αιτήσεων </w:t>
      </w:r>
      <w:r>
        <w:rPr>
          <w:i/>
        </w:rPr>
        <w:t>(</w:t>
      </w:r>
      <w:r>
        <w:rPr>
          <w:i/>
          <w:color w:val="FF0000"/>
        </w:rPr>
        <w:t>*</w:t>
      </w:r>
      <w:r>
        <w:rPr>
          <w:i/>
        </w:rPr>
        <w:t>Για το έτος 2020 προβλέπονται   περίπου 160.000 νέες αιτήσεις)</w:t>
      </w:r>
    </w:p>
    <w:p>
      <w:pPr>
        <w:pStyle w:val="Normal"/>
        <w:ind w:firstLine="357"/>
        <w:jc w:val="both"/>
        <w:rPr>
          <w:rFonts w:eastAsia="Times New Roman" w:cs="Calibri"/>
          <w:color w:val="000000"/>
          <w:lang w:eastAsia="el-GR"/>
        </w:rPr>
      </w:pPr>
      <w:r>
        <w:rPr>
          <w:rFonts w:eastAsia="Times New Roman" w:cs="Calibri"/>
          <w:color w:val="000000"/>
          <w:lang w:eastAsia="el-GR"/>
        </w:rPr>
        <w:t xml:space="preserve">Στον Πίνακα 2 παρουσιάζεται η εξέλιξη των νέων αιτήσεων κύριας συνταξιοδότησης από την έναρξη της λειτουργίας του ΕΦΚΑ το 2017. </w:t>
      </w:r>
      <w:r>
        <w:rPr/>
        <w:t>Επειδή μεσολαβεί ένα χρονικό διάστημα από την ηλεκτρονική υποβολή της αίτησης μέχρι την προσκόμιση των δικαιολογητικών από τον ασφαλισμένο, οπότε και οριστικοποιείται η αίτηση, ενδέχεται να υπάρχει μια μικρή  αναθεώρηση του πλήθους στην επόμενη κάθε φορά έκθεση.</w:t>
      </w:r>
    </w:p>
    <w:tbl>
      <w:tblPr>
        <w:tblW w:w="5884" w:type="dxa"/>
        <w:jc w:val="center"/>
        <w:tblInd w:w="0" w:type="dxa"/>
        <w:tblLayout w:type="fixed"/>
        <w:tblCellMar>
          <w:top w:w="0" w:type="dxa"/>
          <w:left w:w="108" w:type="dxa"/>
          <w:bottom w:w="0" w:type="dxa"/>
          <w:right w:w="108" w:type="dxa"/>
        </w:tblCellMar>
        <w:tblLook w:val="04a0"/>
      </w:tblPr>
      <w:tblGrid>
        <w:gridCol w:w="2024"/>
        <w:gridCol w:w="943"/>
        <w:gridCol w:w="945"/>
        <w:gridCol w:w="944"/>
        <w:gridCol w:w="1028"/>
      </w:tblGrid>
      <w:tr>
        <w:trPr>
          <w:trHeight w:val="249" w:hRule="atLeast"/>
        </w:trPr>
        <w:tc>
          <w:tcPr>
            <w:tcW w:w="2024" w:type="dxa"/>
            <w:vMerge w:val="restart"/>
            <w:tcBorders>
              <w:top w:val="single" w:sz="4" w:space="0" w:color="000000"/>
              <w:left w:val="single" w:sz="4" w:space="0" w:color="000000"/>
            </w:tcBorders>
            <w:shd w:color="000000" w:fill="1F497D" w:val="clear"/>
            <w:vAlign w:val="center"/>
          </w:tcPr>
          <w:p>
            <w:pPr>
              <w:pStyle w:val="Normal"/>
              <w:widowControl w:val="false"/>
              <w:spacing w:lineRule="auto" w:line="240" w:before="0" w:after="0"/>
              <w:rPr>
                <w:rFonts w:eastAsia="Times New Roman" w:cs="Calibri"/>
                <w:b/>
                <w:b/>
                <w:bCs/>
                <w:color w:val="FFFFFF"/>
                <w:lang w:eastAsia="el-GR"/>
              </w:rPr>
            </w:pPr>
            <w:r>
              <w:rPr>
                <w:rFonts w:eastAsia="Times New Roman" w:cs="Calibri"/>
                <w:b/>
                <w:bCs/>
                <w:color w:val="FFFFFF"/>
                <w:lang w:eastAsia="el-GR"/>
              </w:rPr>
              <w:t> </w:t>
            </w:r>
            <w:r>
              <w:rPr>
                <w:rFonts w:eastAsia="Times New Roman" w:cs="Calibri"/>
                <w:b/>
                <w:bCs/>
                <w:color w:val="FFFFFF"/>
                <w:lang w:eastAsia="el-GR"/>
              </w:rPr>
              <w:t>Μήνας</w:t>
            </w:r>
          </w:p>
        </w:tc>
        <w:tc>
          <w:tcPr>
            <w:tcW w:w="3860" w:type="dxa"/>
            <w:gridSpan w:val="4"/>
            <w:tcBorders>
              <w:top w:val="single" w:sz="4" w:space="0" w:color="000000"/>
              <w:left w:val="single" w:sz="4" w:space="0" w:color="000000"/>
              <w:bottom w:val="single" w:sz="4" w:space="0" w:color="000000"/>
              <w:right w:val="single" w:sz="4" w:space="0" w:color="000000"/>
            </w:tcBorders>
            <w:shd w:color="000000" w:fill="1F497D" w:val="clear"/>
            <w:vAlign w:val="center"/>
          </w:tcPr>
          <w:p>
            <w:pPr>
              <w:pStyle w:val="Normal"/>
              <w:widowControl w:val="false"/>
              <w:spacing w:lineRule="auto" w:line="240" w:before="0" w:after="0"/>
              <w:jc w:val="center"/>
              <w:rPr>
                <w:rFonts w:eastAsia="Times New Roman" w:cs="Calibri"/>
                <w:b/>
                <w:b/>
                <w:bCs/>
                <w:color w:val="FFFFFF"/>
                <w:lang w:eastAsia="el-GR"/>
              </w:rPr>
            </w:pPr>
            <w:r>
              <w:rPr>
                <w:rFonts w:eastAsia="Times New Roman" w:cs="Calibri"/>
                <w:b/>
                <w:bCs/>
                <w:color w:val="FFFFFF"/>
                <w:lang w:eastAsia="el-GR"/>
              </w:rPr>
              <w:t>Νέες αιτήσεις κύριας σύνταξης</w:t>
            </w:r>
          </w:p>
        </w:tc>
      </w:tr>
      <w:tr>
        <w:trPr>
          <w:trHeight w:val="249" w:hRule="atLeast"/>
        </w:trPr>
        <w:tc>
          <w:tcPr>
            <w:tcW w:w="2024" w:type="dxa"/>
            <w:vMerge w:val="continue"/>
            <w:tcBorders>
              <w:top w:val="single" w:sz="4" w:space="0" w:color="000000"/>
              <w:left w:val="single" w:sz="4" w:space="0" w:color="000000"/>
            </w:tcBorders>
            <w:vAlign w:val="center"/>
          </w:tcPr>
          <w:p>
            <w:pPr>
              <w:pStyle w:val="Normal"/>
              <w:widowControl w:val="false"/>
              <w:spacing w:lineRule="auto" w:line="240" w:before="0" w:after="0"/>
              <w:rPr>
                <w:rFonts w:eastAsia="Times New Roman" w:cs="Calibri"/>
                <w:b/>
                <w:b/>
                <w:bCs/>
                <w:color w:val="FFFFFF"/>
                <w:lang w:eastAsia="el-GR"/>
              </w:rPr>
            </w:pPr>
            <w:r>
              <w:rPr>
                <w:rFonts w:eastAsia="Times New Roman" w:cs="Calibri"/>
                <w:b/>
                <w:bCs/>
                <w:color w:val="FFFFFF"/>
                <w:lang w:eastAsia="el-GR"/>
              </w:rPr>
            </w:r>
          </w:p>
        </w:tc>
        <w:tc>
          <w:tcPr>
            <w:tcW w:w="943" w:type="dxa"/>
            <w:tcBorders>
              <w:left w:val="single" w:sz="4" w:space="0" w:color="000000"/>
              <w:right w:val="single" w:sz="4" w:space="0" w:color="000000"/>
            </w:tcBorders>
            <w:shd w:color="000000" w:fill="1F497D" w:val="clear"/>
            <w:vAlign w:val="center"/>
          </w:tcPr>
          <w:p>
            <w:pPr>
              <w:pStyle w:val="Normal"/>
              <w:widowControl w:val="false"/>
              <w:spacing w:lineRule="auto" w:line="240" w:before="0" w:after="0"/>
              <w:jc w:val="center"/>
              <w:rPr>
                <w:rFonts w:eastAsia="Times New Roman" w:cs="Calibri"/>
                <w:b/>
                <w:b/>
                <w:bCs/>
                <w:color w:val="FFFFFF"/>
                <w:lang w:eastAsia="el-GR"/>
              </w:rPr>
            </w:pPr>
            <w:r>
              <w:rPr>
                <w:rFonts w:eastAsia="Times New Roman" w:cs="Calibri"/>
                <w:b/>
                <w:bCs/>
                <w:color w:val="FFFFFF"/>
                <w:lang w:eastAsia="el-GR"/>
              </w:rPr>
              <w:t>2017</w:t>
            </w:r>
          </w:p>
        </w:tc>
        <w:tc>
          <w:tcPr>
            <w:tcW w:w="945" w:type="dxa"/>
            <w:tcBorders>
              <w:right w:val="single" w:sz="4" w:space="0" w:color="000000"/>
            </w:tcBorders>
            <w:shd w:color="000000" w:fill="1F497D" w:val="clear"/>
            <w:vAlign w:val="center"/>
          </w:tcPr>
          <w:p>
            <w:pPr>
              <w:pStyle w:val="Normal"/>
              <w:widowControl w:val="false"/>
              <w:spacing w:lineRule="auto" w:line="240" w:before="0" w:after="0"/>
              <w:jc w:val="center"/>
              <w:rPr>
                <w:rFonts w:eastAsia="Times New Roman" w:cs="Calibri"/>
                <w:b/>
                <w:b/>
                <w:bCs/>
                <w:color w:val="FFFFFF"/>
                <w:lang w:eastAsia="el-GR"/>
              </w:rPr>
            </w:pPr>
            <w:r>
              <w:rPr>
                <w:rFonts w:eastAsia="Times New Roman" w:cs="Calibri"/>
                <w:b/>
                <w:bCs/>
                <w:color w:val="FFFFFF"/>
                <w:lang w:eastAsia="el-GR"/>
              </w:rPr>
              <w:t>2018</w:t>
            </w:r>
          </w:p>
        </w:tc>
        <w:tc>
          <w:tcPr>
            <w:tcW w:w="944" w:type="dxa"/>
            <w:tcBorders>
              <w:right w:val="single" w:sz="4" w:space="0" w:color="000000"/>
            </w:tcBorders>
            <w:shd w:color="000000" w:fill="1F497D" w:val="clear"/>
            <w:vAlign w:val="center"/>
          </w:tcPr>
          <w:p>
            <w:pPr>
              <w:pStyle w:val="Normal"/>
              <w:widowControl w:val="false"/>
              <w:spacing w:lineRule="auto" w:line="240" w:before="0" w:after="0"/>
              <w:jc w:val="center"/>
              <w:rPr>
                <w:rFonts w:eastAsia="Times New Roman" w:cs="Calibri"/>
                <w:b/>
                <w:b/>
                <w:bCs/>
                <w:color w:val="FFFFFF"/>
                <w:lang w:eastAsia="el-GR"/>
              </w:rPr>
            </w:pPr>
            <w:r>
              <w:rPr>
                <w:rFonts w:eastAsia="Times New Roman" w:cs="Calibri"/>
                <w:b/>
                <w:bCs/>
                <w:color w:val="FFFFFF"/>
                <w:lang w:eastAsia="el-GR"/>
              </w:rPr>
              <w:t>2019</w:t>
            </w:r>
          </w:p>
        </w:tc>
        <w:tc>
          <w:tcPr>
            <w:tcW w:w="1028" w:type="dxa"/>
            <w:tcBorders>
              <w:right w:val="single" w:sz="4" w:space="0" w:color="000000"/>
            </w:tcBorders>
            <w:shd w:color="000000" w:fill="1F497D" w:val="clear"/>
            <w:vAlign w:val="center"/>
          </w:tcPr>
          <w:p>
            <w:pPr>
              <w:pStyle w:val="Normal"/>
              <w:widowControl w:val="false"/>
              <w:spacing w:lineRule="auto" w:line="240" w:before="0" w:after="0"/>
              <w:jc w:val="center"/>
              <w:rPr>
                <w:rFonts w:eastAsia="Times New Roman" w:cs="Calibri"/>
                <w:b/>
                <w:b/>
                <w:bCs/>
                <w:color w:val="FFFFFF"/>
                <w:lang w:eastAsia="el-GR"/>
              </w:rPr>
            </w:pPr>
            <w:r>
              <w:rPr>
                <w:rFonts w:eastAsia="Times New Roman" w:cs="Calibri"/>
                <w:b/>
                <w:bCs/>
                <w:color w:val="FFFFFF"/>
                <w:lang w:eastAsia="el-GR"/>
              </w:rPr>
              <w:t>2020</w:t>
            </w:r>
          </w:p>
        </w:tc>
      </w:tr>
      <w:tr>
        <w:trPr>
          <w:trHeight w:val="249" w:hRule="atLeast"/>
        </w:trPr>
        <w:tc>
          <w:tcPr>
            <w:tcW w:w="202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eastAsia="Times New Roman" w:cs="Calibri"/>
                <w:b/>
                <w:b/>
                <w:bCs/>
                <w:color w:val="000000"/>
                <w:lang w:eastAsia="el-GR"/>
              </w:rPr>
            </w:pPr>
            <w:r>
              <w:rPr>
                <w:rFonts w:eastAsia="Times New Roman" w:cs="Calibri"/>
                <w:b/>
                <w:bCs/>
                <w:color w:val="000000"/>
                <w:lang w:eastAsia="el-GR"/>
              </w:rPr>
              <w:t>Ιανουάριος</w:t>
            </w:r>
          </w:p>
        </w:tc>
        <w:tc>
          <w:tcPr>
            <w:tcW w:w="943"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12.648</w:t>
            </w:r>
          </w:p>
        </w:tc>
        <w:tc>
          <w:tcPr>
            <w:tcW w:w="945"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11.544</w:t>
            </w:r>
          </w:p>
        </w:tc>
        <w:tc>
          <w:tcPr>
            <w:tcW w:w="944"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cs="Calibri" w:cstheme="minorHAnsi"/>
                <w:bCs/>
                <w:color w:val="000000"/>
              </w:rPr>
              <w:t>12.988</w:t>
            </w:r>
          </w:p>
        </w:tc>
        <w:tc>
          <w:tcPr>
            <w:tcW w:w="1028"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cs="Calibri" w:cstheme="minorHAnsi"/>
                <w:bCs/>
                <w:color w:val="000000"/>
              </w:rPr>
              <w:t>15.656</w:t>
            </w:r>
          </w:p>
        </w:tc>
      </w:tr>
      <w:tr>
        <w:trPr>
          <w:trHeight w:val="249" w:hRule="atLeast"/>
        </w:trPr>
        <w:tc>
          <w:tcPr>
            <w:tcW w:w="202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eastAsia="Times New Roman" w:cs="Calibri"/>
                <w:b/>
                <w:b/>
                <w:bCs/>
                <w:color w:val="000000"/>
                <w:lang w:eastAsia="el-GR"/>
              </w:rPr>
            </w:pPr>
            <w:r>
              <w:rPr>
                <w:rFonts w:eastAsia="Times New Roman" w:cs="Calibri"/>
                <w:b/>
                <w:bCs/>
                <w:color w:val="000000"/>
                <w:lang w:eastAsia="el-GR"/>
              </w:rPr>
              <w:t>Φεβρουάριος</w:t>
            </w:r>
          </w:p>
        </w:tc>
        <w:tc>
          <w:tcPr>
            <w:tcW w:w="9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14.884</w:t>
            </w:r>
          </w:p>
        </w:tc>
        <w:tc>
          <w:tcPr>
            <w:tcW w:w="94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11.480</w:t>
            </w:r>
          </w:p>
        </w:tc>
        <w:tc>
          <w:tcPr>
            <w:tcW w:w="94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cs="Calibri" w:cstheme="minorHAnsi"/>
                <w:bCs/>
                <w:color w:val="000000"/>
              </w:rPr>
              <w:t>13.560</w:t>
            </w:r>
          </w:p>
        </w:tc>
        <w:tc>
          <w:tcPr>
            <w:tcW w:w="102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cs="Calibri" w:cstheme="minorHAnsi"/>
                <w:bCs/>
                <w:color w:val="000000"/>
              </w:rPr>
              <w:t>14.912</w:t>
            </w:r>
          </w:p>
        </w:tc>
      </w:tr>
      <w:tr>
        <w:trPr>
          <w:trHeight w:val="261" w:hRule="atLeast"/>
        </w:trPr>
        <w:tc>
          <w:tcPr>
            <w:tcW w:w="202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eastAsia="Times New Roman" w:cs="Calibri"/>
                <w:b/>
                <w:b/>
                <w:bCs/>
                <w:color w:val="000000"/>
                <w:lang w:eastAsia="el-GR"/>
              </w:rPr>
            </w:pPr>
            <w:r>
              <w:rPr>
                <w:rFonts w:eastAsia="Times New Roman" w:cs="Calibri"/>
                <w:b/>
                <w:bCs/>
                <w:color w:val="000000"/>
                <w:lang w:eastAsia="el-GR"/>
              </w:rPr>
              <w:t>Μάρτιος</w:t>
            </w:r>
          </w:p>
        </w:tc>
        <w:tc>
          <w:tcPr>
            <w:tcW w:w="9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15.991</w:t>
            </w:r>
          </w:p>
        </w:tc>
        <w:tc>
          <w:tcPr>
            <w:tcW w:w="94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12.722</w:t>
            </w:r>
          </w:p>
        </w:tc>
        <w:tc>
          <w:tcPr>
            <w:tcW w:w="94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cs="Calibri" w:cstheme="minorHAnsi"/>
                <w:bCs/>
                <w:color w:val="000000"/>
              </w:rPr>
              <w:t>13.163</w:t>
            </w:r>
          </w:p>
        </w:tc>
        <w:tc>
          <w:tcPr>
            <w:tcW w:w="102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cs="Calibri" w:cstheme="minorHAnsi"/>
                <w:bCs/>
                <w:color w:val="000000"/>
              </w:rPr>
              <w:t>9.561</w:t>
            </w:r>
          </w:p>
        </w:tc>
      </w:tr>
      <w:tr>
        <w:trPr>
          <w:trHeight w:val="237" w:hRule="atLeast"/>
        </w:trPr>
        <w:tc>
          <w:tcPr>
            <w:tcW w:w="202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eastAsia="Times New Roman" w:cs="Calibri"/>
                <w:b/>
                <w:b/>
                <w:bCs/>
                <w:color w:val="000000"/>
                <w:lang w:eastAsia="el-GR"/>
              </w:rPr>
            </w:pPr>
            <w:r>
              <w:rPr>
                <w:rFonts w:eastAsia="Times New Roman" w:cs="Calibri"/>
                <w:b/>
                <w:bCs/>
                <w:color w:val="000000"/>
                <w:lang w:eastAsia="el-GR"/>
              </w:rPr>
              <w:t>Απρίλιος</w:t>
            </w:r>
          </w:p>
        </w:tc>
        <w:tc>
          <w:tcPr>
            <w:tcW w:w="9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9.868</w:t>
            </w:r>
          </w:p>
        </w:tc>
        <w:tc>
          <w:tcPr>
            <w:tcW w:w="94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9.689</w:t>
            </w:r>
          </w:p>
        </w:tc>
        <w:tc>
          <w:tcPr>
            <w:tcW w:w="94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cs="Calibri" w:cstheme="minorHAnsi"/>
                <w:bCs/>
                <w:color w:val="000000"/>
              </w:rPr>
              <w:t>12.671</w:t>
            </w:r>
          </w:p>
        </w:tc>
        <w:tc>
          <w:tcPr>
            <w:tcW w:w="102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cs="Calibri" w:cstheme="minorHAnsi"/>
                <w:bCs/>
                <w:color w:val="000000"/>
              </w:rPr>
              <w:t>6.368</w:t>
            </w:r>
          </w:p>
        </w:tc>
      </w:tr>
      <w:tr>
        <w:trPr>
          <w:trHeight w:val="237" w:hRule="atLeast"/>
        </w:trPr>
        <w:tc>
          <w:tcPr>
            <w:tcW w:w="202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eastAsia="Times New Roman" w:cs="Calibri"/>
                <w:b/>
                <w:b/>
                <w:bCs/>
                <w:color w:val="000000"/>
                <w:lang w:eastAsia="el-GR"/>
              </w:rPr>
            </w:pPr>
            <w:r>
              <w:rPr>
                <w:rFonts w:eastAsia="Times New Roman" w:cs="Calibri"/>
                <w:b/>
                <w:bCs/>
                <w:color w:val="000000"/>
                <w:lang w:eastAsia="el-GR"/>
              </w:rPr>
              <w:t>Μάιος</w:t>
            </w:r>
          </w:p>
        </w:tc>
        <w:tc>
          <w:tcPr>
            <w:tcW w:w="9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12.342</w:t>
            </w:r>
          </w:p>
        </w:tc>
        <w:tc>
          <w:tcPr>
            <w:tcW w:w="94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11.227</w:t>
            </w:r>
          </w:p>
        </w:tc>
        <w:tc>
          <w:tcPr>
            <w:tcW w:w="94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cs="Calibri" w:cstheme="minorHAnsi"/>
                <w:bCs/>
                <w:color w:val="000000"/>
              </w:rPr>
              <w:t>13.217</w:t>
            </w:r>
          </w:p>
        </w:tc>
        <w:tc>
          <w:tcPr>
            <w:tcW w:w="102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cs="Calibri" w:cstheme="minorHAnsi"/>
                <w:bCs/>
                <w:color w:val="000000"/>
              </w:rPr>
              <w:t>10.937</w:t>
            </w:r>
          </w:p>
        </w:tc>
      </w:tr>
      <w:tr>
        <w:trPr>
          <w:trHeight w:val="237" w:hRule="atLeast"/>
        </w:trPr>
        <w:tc>
          <w:tcPr>
            <w:tcW w:w="202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eastAsia="Times New Roman" w:cs="Calibri"/>
                <w:b/>
                <w:b/>
                <w:bCs/>
                <w:color w:val="000000"/>
                <w:lang w:eastAsia="el-GR"/>
              </w:rPr>
            </w:pPr>
            <w:r>
              <w:rPr>
                <w:rFonts w:eastAsia="Times New Roman" w:cs="Calibri"/>
                <w:b/>
                <w:bCs/>
                <w:color w:val="000000"/>
                <w:lang w:eastAsia="el-GR"/>
              </w:rPr>
              <w:t>Ιούνιος</w:t>
            </w:r>
          </w:p>
        </w:tc>
        <w:tc>
          <w:tcPr>
            <w:tcW w:w="9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10.870</w:t>
            </w:r>
          </w:p>
        </w:tc>
        <w:tc>
          <w:tcPr>
            <w:tcW w:w="94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11.265</w:t>
            </w:r>
          </w:p>
        </w:tc>
        <w:tc>
          <w:tcPr>
            <w:tcW w:w="94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cs="Calibri" w:cstheme="minorHAnsi"/>
                <w:bCs/>
                <w:color w:val="000000"/>
              </w:rPr>
              <w:t>12.818</w:t>
            </w:r>
          </w:p>
        </w:tc>
        <w:tc>
          <w:tcPr>
            <w:tcW w:w="102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cs="Calibri" w:cstheme="minorHAnsi"/>
                <w:bCs/>
                <w:color w:val="000000"/>
              </w:rPr>
              <w:t>14.537</w:t>
            </w:r>
          </w:p>
        </w:tc>
      </w:tr>
      <w:tr>
        <w:trPr>
          <w:trHeight w:val="237" w:hRule="atLeast"/>
        </w:trPr>
        <w:tc>
          <w:tcPr>
            <w:tcW w:w="202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eastAsia="Times New Roman" w:cs="Calibri"/>
                <w:b/>
                <w:b/>
                <w:bCs/>
                <w:color w:val="000000"/>
                <w:lang w:eastAsia="el-GR"/>
              </w:rPr>
            </w:pPr>
            <w:r>
              <w:rPr>
                <w:rFonts w:eastAsia="Times New Roman" w:cs="Calibri"/>
                <w:b/>
                <w:bCs/>
                <w:color w:val="000000"/>
                <w:lang w:eastAsia="el-GR"/>
              </w:rPr>
              <w:t>Ιούλιος</w:t>
            </w:r>
          </w:p>
        </w:tc>
        <w:tc>
          <w:tcPr>
            <w:tcW w:w="9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11.294</w:t>
            </w:r>
          </w:p>
        </w:tc>
        <w:tc>
          <w:tcPr>
            <w:tcW w:w="94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25.632</w:t>
            </w:r>
          </w:p>
        </w:tc>
        <w:tc>
          <w:tcPr>
            <w:tcW w:w="94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cs="Calibri" w:cstheme="minorHAnsi"/>
                <w:bCs/>
                <w:color w:val="000000"/>
              </w:rPr>
              <w:t>14.946</w:t>
            </w:r>
          </w:p>
        </w:tc>
        <w:tc>
          <w:tcPr>
            <w:tcW w:w="102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cs="Calibri" w:cstheme="minorHAnsi"/>
                <w:bCs/>
                <w:color w:val="000000"/>
              </w:rPr>
              <w:t>16.893</w:t>
            </w:r>
          </w:p>
        </w:tc>
      </w:tr>
      <w:tr>
        <w:trPr>
          <w:trHeight w:val="237" w:hRule="atLeast"/>
        </w:trPr>
        <w:tc>
          <w:tcPr>
            <w:tcW w:w="202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eastAsia="Times New Roman" w:cs="Calibri"/>
                <w:b/>
                <w:b/>
                <w:bCs/>
                <w:color w:val="000000"/>
                <w:lang w:eastAsia="el-GR"/>
              </w:rPr>
            </w:pPr>
            <w:r>
              <w:rPr>
                <w:rFonts w:eastAsia="Times New Roman" w:cs="Calibri"/>
                <w:b/>
                <w:bCs/>
                <w:color w:val="000000"/>
                <w:lang w:eastAsia="el-GR"/>
              </w:rPr>
              <w:t>Αύγουστος</w:t>
            </w:r>
          </w:p>
        </w:tc>
        <w:tc>
          <w:tcPr>
            <w:tcW w:w="9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9.491</w:t>
            </w:r>
          </w:p>
        </w:tc>
        <w:tc>
          <w:tcPr>
            <w:tcW w:w="94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9.791</w:t>
            </w:r>
          </w:p>
        </w:tc>
        <w:tc>
          <w:tcPr>
            <w:tcW w:w="94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cs="Calibri" w:cstheme="minorHAnsi"/>
                <w:bCs/>
                <w:color w:val="000000"/>
              </w:rPr>
              <w:t>10.716</w:t>
            </w:r>
          </w:p>
        </w:tc>
        <w:tc>
          <w:tcPr>
            <w:tcW w:w="102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cs="Calibri" w:cstheme="minorHAnsi"/>
                <w:bCs/>
                <w:color w:val="000000"/>
              </w:rPr>
              <w:t>11.074</w:t>
            </w:r>
          </w:p>
        </w:tc>
      </w:tr>
      <w:tr>
        <w:trPr>
          <w:trHeight w:val="237" w:hRule="atLeast"/>
        </w:trPr>
        <w:tc>
          <w:tcPr>
            <w:tcW w:w="202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eastAsia="Times New Roman" w:cs="Calibri"/>
                <w:b/>
                <w:b/>
                <w:bCs/>
                <w:color w:val="000000"/>
                <w:lang w:eastAsia="el-GR"/>
              </w:rPr>
            </w:pPr>
            <w:r>
              <w:rPr>
                <w:rFonts w:eastAsia="Times New Roman" w:cs="Calibri"/>
                <w:b/>
                <w:bCs/>
                <w:color w:val="000000"/>
                <w:lang w:eastAsia="el-GR"/>
              </w:rPr>
              <w:t>Σεπτέμβριος</w:t>
            </w:r>
          </w:p>
        </w:tc>
        <w:tc>
          <w:tcPr>
            <w:tcW w:w="9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13.637</w:t>
            </w:r>
          </w:p>
        </w:tc>
        <w:tc>
          <w:tcPr>
            <w:tcW w:w="94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12.757</w:t>
            </w:r>
          </w:p>
        </w:tc>
        <w:tc>
          <w:tcPr>
            <w:tcW w:w="94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cs="Calibri" w:cstheme="minorHAnsi"/>
                <w:bCs/>
                <w:color w:val="000000"/>
              </w:rPr>
              <w:t>15.747</w:t>
            </w:r>
          </w:p>
        </w:tc>
        <w:tc>
          <w:tcPr>
            <w:tcW w:w="102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cs="Calibri" w:cstheme="minorHAnsi"/>
                <w:bCs/>
                <w:color w:val="000000"/>
              </w:rPr>
              <w:t>16.570</w:t>
            </w:r>
          </w:p>
        </w:tc>
      </w:tr>
      <w:tr>
        <w:trPr>
          <w:trHeight w:val="237" w:hRule="atLeast"/>
        </w:trPr>
        <w:tc>
          <w:tcPr>
            <w:tcW w:w="202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eastAsia="Times New Roman" w:cs="Calibri"/>
                <w:b/>
                <w:b/>
                <w:bCs/>
                <w:color w:val="000000"/>
                <w:lang w:eastAsia="el-GR"/>
              </w:rPr>
            </w:pPr>
            <w:r>
              <w:rPr>
                <w:rFonts w:eastAsia="Times New Roman" w:cs="Calibri"/>
                <w:b/>
                <w:bCs/>
                <w:color w:val="000000"/>
                <w:lang w:eastAsia="el-GR"/>
              </w:rPr>
              <w:t>ΥΠΟΣΥΝΟΛΟ</w:t>
            </w:r>
          </w:p>
        </w:tc>
        <w:tc>
          <w:tcPr>
            <w:tcW w:w="9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b/>
                <w:b/>
                <w:bCs/>
                <w:color w:val="000000"/>
                <w:lang w:eastAsia="el-GR"/>
              </w:rPr>
            </w:pPr>
            <w:r>
              <w:rPr>
                <w:rFonts w:eastAsia="Times New Roman" w:cs="Calibri" w:cstheme="minorHAnsi"/>
                <w:b/>
                <w:bCs/>
                <w:color w:val="000000"/>
                <w:lang w:eastAsia="el-GR"/>
              </w:rPr>
              <w:t>109.025</w:t>
            </w:r>
          </w:p>
        </w:tc>
        <w:tc>
          <w:tcPr>
            <w:tcW w:w="94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b/>
                <w:b/>
                <w:bCs/>
                <w:color w:val="000000"/>
                <w:lang w:eastAsia="el-GR"/>
              </w:rPr>
            </w:pPr>
            <w:r>
              <w:rPr>
                <w:rFonts w:eastAsia="Times New Roman" w:cs="Calibri" w:cstheme="minorHAnsi"/>
                <w:b/>
                <w:bCs/>
                <w:color w:val="000000"/>
                <w:lang w:eastAsia="el-GR"/>
              </w:rPr>
              <w:t>116.107</w:t>
            </w:r>
          </w:p>
        </w:tc>
        <w:tc>
          <w:tcPr>
            <w:tcW w:w="94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b/>
                <w:b/>
                <w:bCs/>
                <w:color w:val="000000"/>
                <w:lang w:val="en-US" w:eastAsia="el-GR"/>
              </w:rPr>
            </w:pPr>
            <w:r>
              <w:rPr>
                <w:rFonts w:eastAsia="Times New Roman" w:cs="Calibri" w:cstheme="minorHAnsi"/>
                <w:b/>
                <w:bCs/>
                <w:color w:val="000000"/>
                <w:lang w:val="en-US" w:eastAsia="el-GR"/>
              </w:rPr>
              <w:t>119.826</w:t>
            </w:r>
          </w:p>
        </w:tc>
        <w:tc>
          <w:tcPr>
            <w:tcW w:w="1028"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b/>
                <w:b/>
                <w:bCs/>
                <w:color w:val="000000"/>
                <w:lang w:eastAsia="el-GR"/>
              </w:rPr>
            </w:pPr>
            <w:r>
              <w:rPr>
                <w:rFonts w:cs="Calibri" w:cstheme="minorHAnsi"/>
                <w:b/>
                <w:bCs/>
                <w:color w:val="000000"/>
              </w:rPr>
              <w:t>116.508</w:t>
            </w:r>
          </w:p>
        </w:tc>
      </w:tr>
      <w:tr>
        <w:trPr>
          <w:trHeight w:val="237" w:hRule="atLeast"/>
        </w:trPr>
        <w:tc>
          <w:tcPr>
            <w:tcW w:w="202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eastAsia="Times New Roman" w:cs="Calibri"/>
                <w:b/>
                <w:b/>
                <w:bCs/>
                <w:color w:val="000000"/>
                <w:lang w:eastAsia="el-GR"/>
              </w:rPr>
            </w:pPr>
            <w:r>
              <w:rPr>
                <w:rFonts w:eastAsia="Times New Roman" w:cs="Calibri"/>
                <w:b/>
                <w:bCs/>
                <w:color w:val="000000"/>
                <w:lang w:eastAsia="el-GR"/>
              </w:rPr>
              <w:t>Οκτώβριος</w:t>
            </w:r>
          </w:p>
        </w:tc>
        <w:tc>
          <w:tcPr>
            <w:tcW w:w="9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13.191</w:t>
            </w:r>
          </w:p>
        </w:tc>
        <w:tc>
          <w:tcPr>
            <w:tcW w:w="94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14.174</w:t>
            </w:r>
          </w:p>
        </w:tc>
        <w:tc>
          <w:tcPr>
            <w:tcW w:w="94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cs="Calibri" w:cstheme="minorHAnsi"/>
                <w:bCs/>
                <w:color w:val="000000"/>
              </w:rPr>
              <w:t>16.771</w:t>
            </w:r>
          </w:p>
        </w:tc>
        <w:tc>
          <w:tcPr>
            <w:tcW w:w="1028" w:type="dxa"/>
            <w:tcBorders>
              <w:top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spacing w:lineRule="auto" w:line="240" w:before="0" w:after="0"/>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r>
          </w:p>
        </w:tc>
      </w:tr>
      <w:tr>
        <w:trPr>
          <w:trHeight w:val="237" w:hRule="atLeast"/>
        </w:trPr>
        <w:tc>
          <w:tcPr>
            <w:tcW w:w="202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eastAsia="Times New Roman" w:cs="Calibri"/>
                <w:b/>
                <w:b/>
                <w:bCs/>
                <w:color w:val="000000"/>
                <w:lang w:eastAsia="el-GR"/>
              </w:rPr>
            </w:pPr>
            <w:r>
              <w:rPr>
                <w:rFonts w:eastAsia="Times New Roman" w:cs="Calibri"/>
                <w:b/>
                <w:bCs/>
                <w:color w:val="000000"/>
                <w:lang w:eastAsia="el-GR"/>
              </w:rPr>
              <w:t>Νοέμβριος</w:t>
            </w:r>
          </w:p>
        </w:tc>
        <w:tc>
          <w:tcPr>
            <w:tcW w:w="9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12.166</w:t>
            </w:r>
          </w:p>
        </w:tc>
        <w:tc>
          <w:tcPr>
            <w:tcW w:w="94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12.431</w:t>
            </w:r>
          </w:p>
        </w:tc>
        <w:tc>
          <w:tcPr>
            <w:tcW w:w="94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cs="Calibri" w:cstheme="minorHAnsi"/>
                <w:bCs/>
                <w:color w:val="000000"/>
              </w:rPr>
              <w:t>14.837</w:t>
            </w:r>
          </w:p>
        </w:tc>
        <w:tc>
          <w:tcPr>
            <w:tcW w:w="1028" w:type="dxa"/>
            <w:tcBorders>
              <w:top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spacing w:lineRule="auto" w:line="240" w:before="0" w:after="0"/>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r>
          </w:p>
        </w:tc>
      </w:tr>
      <w:tr>
        <w:trPr>
          <w:trHeight w:val="237" w:hRule="atLeast"/>
        </w:trPr>
        <w:tc>
          <w:tcPr>
            <w:tcW w:w="202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eastAsia="Times New Roman" w:cs="Calibri"/>
                <w:b/>
                <w:b/>
                <w:bCs/>
                <w:color w:val="000000"/>
                <w:lang w:eastAsia="el-GR"/>
              </w:rPr>
            </w:pPr>
            <w:r>
              <w:rPr>
                <w:rFonts w:eastAsia="Times New Roman" w:cs="Calibri"/>
                <w:b/>
                <w:bCs/>
                <w:color w:val="000000"/>
                <w:lang w:eastAsia="el-GR"/>
              </w:rPr>
              <w:t>Δεκέμβριος</w:t>
            </w:r>
          </w:p>
        </w:tc>
        <w:tc>
          <w:tcPr>
            <w:tcW w:w="9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11.173</w:t>
            </w:r>
          </w:p>
        </w:tc>
        <w:tc>
          <w:tcPr>
            <w:tcW w:w="94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11.615</w:t>
            </w:r>
          </w:p>
        </w:tc>
        <w:tc>
          <w:tcPr>
            <w:tcW w:w="94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cs="Calibri" w:cstheme="minorHAnsi"/>
                <w:bCs/>
                <w:color w:val="000000"/>
              </w:rPr>
              <w:t>12.796</w:t>
            </w:r>
          </w:p>
        </w:tc>
        <w:tc>
          <w:tcPr>
            <w:tcW w:w="1028" w:type="dxa"/>
            <w:tcBorders>
              <w:top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spacing w:lineRule="auto" w:line="240" w:before="0" w:after="0"/>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r>
          </w:p>
        </w:tc>
      </w:tr>
      <w:tr>
        <w:trPr>
          <w:trHeight w:val="237" w:hRule="atLeast"/>
        </w:trPr>
        <w:tc>
          <w:tcPr>
            <w:tcW w:w="2024"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eastAsia="Times New Roman" w:cs="Calibri"/>
                <w:b/>
                <w:b/>
                <w:bCs/>
                <w:color w:val="000000"/>
                <w:lang w:eastAsia="el-GR"/>
              </w:rPr>
            </w:pPr>
            <w:r>
              <w:rPr>
                <w:rFonts w:eastAsia="Times New Roman" w:cs="Calibri"/>
                <w:b/>
                <w:bCs/>
                <w:color w:val="000000"/>
                <w:lang w:eastAsia="el-GR"/>
              </w:rPr>
              <w:t>ΣΥΝΟΛΟ ΕΤΟΥΣ</w:t>
            </w:r>
          </w:p>
        </w:tc>
        <w:tc>
          <w:tcPr>
            <w:tcW w:w="943"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b/>
                <w:b/>
                <w:bCs/>
                <w:color w:val="000000"/>
                <w:lang w:eastAsia="el-GR"/>
              </w:rPr>
            </w:pPr>
            <w:r>
              <w:rPr>
                <w:rFonts w:eastAsia="Times New Roman" w:cs="Calibri" w:cstheme="minorHAnsi"/>
                <w:b/>
                <w:bCs/>
                <w:color w:val="000000"/>
                <w:lang w:eastAsia="el-GR"/>
              </w:rPr>
              <w:t>145.555</w:t>
            </w:r>
          </w:p>
        </w:tc>
        <w:tc>
          <w:tcPr>
            <w:tcW w:w="945"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b/>
                <w:b/>
                <w:bCs/>
                <w:color w:val="000000"/>
                <w:lang w:eastAsia="el-GR"/>
              </w:rPr>
            </w:pPr>
            <w:r>
              <w:rPr>
                <w:rFonts w:eastAsia="Times New Roman" w:cs="Calibri" w:cstheme="minorHAnsi"/>
                <w:b/>
                <w:bCs/>
                <w:color w:val="000000"/>
                <w:lang w:eastAsia="el-GR"/>
              </w:rPr>
              <w:t>154.327</w:t>
            </w:r>
          </w:p>
        </w:tc>
        <w:tc>
          <w:tcPr>
            <w:tcW w:w="944" w:type="dxa"/>
            <w:tcBorders>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b/>
                <w:b/>
                <w:bCs/>
                <w:color w:val="000000"/>
                <w:lang w:eastAsia="el-GR"/>
              </w:rPr>
            </w:pPr>
            <w:r>
              <w:rPr>
                <w:rFonts w:cs="Calibri" w:cstheme="minorHAnsi"/>
                <w:b/>
                <w:bCs/>
                <w:color w:val="000000"/>
              </w:rPr>
              <w:t>164.230</w:t>
            </w:r>
          </w:p>
        </w:tc>
        <w:tc>
          <w:tcPr>
            <w:tcW w:w="1028" w:type="dxa"/>
            <w:tcBorders>
              <w:top w:val="single" w:sz="4" w:space="0" w:color="000000"/>
              <w:bottom w:val="single" w:sz="4" w:space="0" w:color="000000"/>
              <w:right w:val="single" w:sz="4" w:space="0" w:color="000000"/>
            </w:tcBorders>
            <w:shd w:color="auto" w:fill="D9D9D9" w:themeFill="background1" w:themeFillShade="d9" w:val="clear"/>
            <w:vAlign w:val="center"/>
          </w:tcPr>
          <w:p>
            <w:pPr>
              <w:pStyle w:val="Normal"/>
              <w:widowControl w:val="false"/>
              <w:spacing w:lineRule="auto" w:line="240" w:before="0" w:after="0"/>
              <w:jc w:val="center"/>
              <w:rPr>
                <w:rFonts w:ascii="Calibri" w:hAnsi="Calibri" w:eastAsia="Times New Roman" w:cs="Calibri" w:asciiTheme="minorHAnsi" w:cstheme="minorHAnsi" w:hAnsiTheme="minorHAnsi"/>
                <w:b/>
                <w:b/>
                <w:bCs/>
                <w:color w:val="000000"/>
                <w:lang w:val="en-US" w:eastAsia="el-GR"/>
              </w:rPr>
            </w:pPr>
            <w:r>
              <w:rPr>
                <w:rFonts w:eastAsia="Times New Roman" w:cs="Calibri" w:cstheme="minorHAnsi"/>
                <w:b/>
                <w:bCs/>
                <w:color w:val="000000"/>
                <w:lang w:val="en-US" w:eastAsia="el-GR"/>
              </w:rPr>
            </w:r>
          </w:p>
        </w:tc>
      </w:tr>
    </w:tbl>
    <w:p>
      <w:pPr>
        <w:pStyle w:val="Normal"/>
        <w:spacing w:before="0" w:after="0"/>
        <w:rPr>
          <w:rFonts w:eastAsia="Times New Roman" w:cs="Calibri"/>
          <w:bCs/>
          <w:color w:val="000000"/>
          <w:lang w:eastAsia="el-GR"/>
        </w:rPr>
      </w:pPr>
      <w:r>
        <w:rPr>
          <w:rFonts w:eastAsia="Times New Roman" w:cs="Calibri"/>
          <w:b/>
          <w:bCs/>
          <w:color w:val="000000"/>
          <w:lang w:eastAsia="el-GR"/>
        </w:rPr>
        <w:t xml:space="preserve">                        </w:t>
      </w:r>
      <w:r>
        <w:rPr>
          <w:rFonts w:eastAsia="Times New Roman" w:cs="Calibri"/>
          <w:b/>
          <w:bCs/>
          <w:color w:val="000000"/>
          <w:u w:val="single"/>
          <w:lang w:eastAsia="el-GR"/>
        </w:rPr>
        <w:t>Πίνακας 2:</w:t>
      </w:r>
      <w:r>
        <w:rPr>
          <w:rFonts w:eastAsia="Times New Roman" w:cs="Calibri"/>
          <w:b/>
          <w:bCs/>
          <w:color w:val="000000"/>
          <w:lang w:eastAsia="el-GR"/>
        </w:rPr>
        <w:t xml:space="preserve"> </w:t>
      </w:r>
      <w:r>
        <w:rPr>
          <w:rFonts w:eastAsia="Times New Roman" w:cs="Calibri"/>
          <w:bCs/>
          <w:color w:val="000000"/>
          <w:lang w:eastAsia="el-GR"/>
        </w:rPr>
        <w:t>Κατανομή πλήθους νέων αιτήσεων οριστικής κύριας</w:t>
      </w:r>
    </w:p>
    <w:p>
      <w:pPr>
        <w:pStyle w:val="Normal"/>
        <w:spacing w:before="0" w:after="0"/>
        <w:rPr>
          <w:rFonts w:eastAsia="Times New Roman" w:cs="Calibri"/>
          <w:bCs/>
          <w:color w:val="000000"/>
          <w:lang w:eastAsia="el-GR"/>
        </w:rPr>
      </w:pPr>
      <w:r>
        <w:rPr>
          <w:rFonts w:eastAsia="Times New Roman" w:cs="Calibri"/>
          <w:bCs/>
          <w:color w:val="000000"/>
          <w:lang w:eastAsia="el-GR"/>
        </w:rPr>
        <w:t xml:space="preserve">                        </w:t>
      </w:r>
      <w:r>
        <w:rPr>
          <w:rFonts w:eastAsia="Times New Roman" w:cs="Calibri"/>
          <w:bCs/>
          <w:color w:val="000000"/>
          <w:lang w:eastAsia="el-GR"/>
        </w:rPr>
        <w:t xml:space="preserve">σύνταξης </w:t>
      </w:r>
    </w:p>
    <w:p>
      <w:pPr>
        <w:pStyle w:val="Normal"/>
        <w:rPr>
          <w:i/>
          <w:i/>
        </w:rPr>
      </w:pPr>
      <w:r>
        <w:rPr>
          <w:i/>
        </w:rPr>
      </w:r>
    </w:p>
    <w:p>
      <w:pPr>
        <w:pStyle w:val="Normal"/>
        <w:jc w:val="center"/>
        <w:rPr>
          <w:rFonts w:ascii="Cambria" w:hAnsi="Cambria" w:eastAsia="Times New Roman" w:cs="" w:asciiTheme="majorHAnsi" w:cstheme="majorBidi" w:hAnsiTheme="majorHAnsi"/>
          <w:b/>
          <w:b/>
          <w:bCs/>
          <w:color w:val="365F91" w:themeColor="accent1" w:themeShade="bf"/>
          <w:sz w:val="24"/>
          <w:szCs w:val="24"/>
          <w:lang w:eastAsia="el-GR"/>
        </w:rPr>
      </w:pPr>
      <w:r>
        <w:rPr>
          <w:rFonts w:eastAsia="Times New Roman" w:cs="" w:cstheme="majorBidi" w:ascii="Cambria" w:hAnsi="Cambria"/>
          <w:b/>
          <w:bCs/>
          <w:color w:val="365F91" w:themeColor="accent1" w:themeShade="bf"/>
          <w:sz w:val="24"/>
          <w:szCs w:val="24"/>
          <w:lang w:eastAsia="el-GR"/>
        </w:rPr>
      </w:r>
    </w:p>
    <w:p>
      <w:pPr>
        <w:pStyle w:val="Normal"/>
        <w:spacing w:lineRule="auto" w:line="240" w:before="0" w:after="0"/>
        <w:rPr>
          <w:rFonts w:ascii="Calibri" w:hAnsi="Calibri" w:cs="Calibri" w:asciiTheme="minorHAnsi" w:cstheme="minorHAnsi" w:hAnsiTheme="minorHAnsi"/>
          <w:sz w:val="24"/>
          <w:szCs w:val="24"/>
        </w:rPr>
      </w:pPr>
      <w:r>
        <w:rPr>
          <w:rFonts w:cs="Calibri" w:cstheme="minorHAnsi"/>
          <w:sz w:val="24"/>
          <w:szCs w:val="24"/>
        </w:rPr>
      </w:r>
      <w:r>
        <w:br w:type="page"/>
      </w:r>
    </w:p>
    <w:p>
      <w:pPr>
        <w:pStyle w:val="1"/>
        <w:numPr>
          <w:ilvl w:val="0"/>
          <w:numId w:val="1"/>
        </w:numPr>
        <w:rPr>
          <w:rFonts w:ascii="Calibri" w:hAnsi="Calibri" w:cs="Calibri" w:asciiTheme="minorHAnsi" w:cstheme="minorHAnsi" w:hAnsiTheme="minorHAnsi"/>
          <w:sz w:val="24"/>
          <w:szCs w:val="24"/>
        </w:rPr>
      </w:pPr>
      <w:bookmarkStart w:id="6" w:name="_Toc56598603"/>
      <w:bookmarkStart w:id="7" w:name="_Toc55981082"/>
      <w:r>
        <w:rPr>
          <w:rFonts w:cs="Calibri" w:ascii="Calibri" w:hAnsi="Calibri" w:asciiTheme="minorHAnsi" w:cstheme="minorHAnsi" w:hAnsiTheme="minorHAnsi"/>
          <w:sz w:val="24"/>
          <w:szCs w:val="24"/>
        </w:rPr>
        <w:t>Πλήθος και εκτιμώμενη πληρωμή εκκρεμών αιτήσεων οριστικής κύριας σύνταξης</w:t>
      </w:r>
      <w:bookmarkEnd w:id="6"/>
      <w:bookmarkEnd w:id="7"/>
      <w:r>
        <w:rPr>
          <w:rFonts w:cs="Calibri" w:ascii="Calibri" w:hAnsi="Calibri" w:asciiTheme="minorHAnsi" w:cstheme="minorHAnsi" w:hAnsiTheme="minorHAnsi"/>
          <w:sz w:val="24"/>
          <w:szCs w:val="24"/>
        </w:rPr>
        <w:t xml:space="preserve"> </w:t>
      </w:r>
    </w:p>
    <w:p>
      <w:pPr>
        <w:pStyle w:val="Normal"/>
        <w:ind w:firstLine="567"/>
        <w:jc w:val="both"/>
        <w:rPr/>
      </w:pPr>
      <w:r>
        <w:rPr/>
      </w:r>
    </w:p>
    <w:p>
      <w:pPr>
        <w:pStyle w:val="Normal"/>
        <w:ind w:firstLine="567"/>
        <w:jc w:val="both"/>
        <w:rPr/>
      </w:pPr>
      <w:r>
        <w:rPr/>
        <w:t xml:space="preserve">Το πρώτο εννεάμηνο του 2019 χαρακτηρίζεται από υψηλές θετικές τιμές στη μηνιαία  αύξηση των εκκρεμοτήτων. </w:t>
      </w:r>
      <w:r>
        <w:rPr>
          <w:b/>
          <w:bCs/>
        </w:rPr>
        <w:t>Η τάση αποκλιμακώνεται από τον Οκτώβριο του 2019</w:t>
      </w:r>
      <w:r>
        <w:rPr/>
        <w:t xml:space="preserve">, παρόλο που μέχρι τον Ιανουάριο του 2020 υπάρχει μεγάλη αύξηση στις νέες αιτήσεις, ενώ από τον Αύγουστο του 2020 με την παραγωγική λειτουργία της ψηφιακής απονομής «ΑΤΛΑΣ» εμφανίζονται πλέον αρνητικές τιμές που σημαίνουν μείωση των εκκρεμοτήτων.  Στο διάγραμμα 3 αποτυπώνεται η μηνιαία αύξηση των εκκρεμοτήτων από το Φεβρουάριο του 2019. </w:t>
      </w:r>
    </w:p>
    <w:p>
      <w:pPr>
        <w:pStyle w:val="Normal"/>
        <w:jc w:val="center"/>
        <w:rPr/>
      </w:pPr>
      <w:r>
        <w:rPr/>
        <w:drawing>
          <wp:inline distT="0" distB="0" distL="0" distR="0">
            <wp:extent cx="4946650" cy="2965450"/>
            <wp:effectExtent l="0" t="0" r="0" b="0"/>
            <wp:docPr id="7" name=""/>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Normal"/>
        <w:ind w:firstLine="567"/>
        <w:jc w:val="both"/>
        <w:rPr/>
      </w:pPr>
      <w:r>
        <w:rPr>
          <w:u w:val="single"/>
        </w:rPr>
        <w:t>Διάγραμμα 3</w:t>
      </w:r>
      <w:r>
        <w:rPr/>
        <w:t xml:space="preserve"> : Μηνιαία Αύξηση εκκρεμών συντάξεων</w:t>
      </w:r>
    </w:p>
    <w:p>
      <w:pPr>
        <w:pStyle w:val="Normal"/>
        <w:ind w:firstLine="567"/>
        <w:jc w:val="both"/>
        <w:rPr/>
      </w:pPr>
      <w:r>
        <w:rPr/>
        <w:t xml:space="preserve">Στον Πίνακα 3 παρουσιάζεται η εξέλιξη του πλήθους και της εκτιμώμενης πληρωμής των εκκρεμών αιτήσεων προς τους δικαιούχους με βάση την ημερομηνία αίτησης,  ανά μήνα από τον Ιανουάριο του 2019 έως και το Σεπτέμβριο του 2020. Από τα εκτιμώμενα ποσά έχει αφαιρεθεί η </w:t>
      </w:r>
      <w:r>
        <w:rPr>
          <w:rFonts w:cs="Calibri" w:cstheme="minorHAnsi"/>
        </w:rPr>
        <w:t xml:space="preserve"> εισφορά υπέρ υγείας και ο φόρος εισοδήματος.</w:t>
      </w:r>
    </w:p>
    <w:p>
      <w:pPr>
        <w:pStyle w:val="Normal"/>
        <w:ind w:firstLine="567"/>
        <w:jc w:val="both"/>
        <w:rPr/>
      </w:pPr>
      <w:r>
        <w:rPr/>
        <w:t xml:space="preserve">Σημειώνεται πως στο σύνολο των εκκρεμών αιτήσεων περιλαμβάνονται οι αιτήσεις συνταξιοδότησης, όπως ορίζονται σύμφωνα με την εθνική νομοθεσία, ενώ δεν περιλαμβάνονται οι αιτήσεις που είναι χαρακτηρισμένες ως διεθνείς και για τις οποίες απαιτείται αλληλογραφία με το εξωτερικό. </w:t>
      </w:r>
    </w:p>
    <w:p>
      <w:pPr>
        <w:pStyle w:val="Normal"/>
        <w:ind w:firstLine="567"/>
        <w:jc w:val="both"/>
        <w:rPr/>
      </w:pPr>
      <w:r>
        <w:rPr/>
      </w:r>
    </w:p>
    <w:p>
      <w:pPr>
        <w:pStyle w:val="Normal"/>
        <w:ind w:firstLine="567"/>
        <w:jc w:val="both"/>
        <w:rPr/>
      </w:pPr>
      <w:r>
        <w:rPr/>
      </w:r>
    </w:p>
    <w:p>
      <w:pPr>
        <w:pStyle w:val="Normal"/>
        <w:ind w:firstLine="567"/>
        <w:jc w:val="both"/>
        <w:rPr>
          <w:rFonts w:ascii="Calibri" w:hAnsi="Calibri" w:cs="Calibri" w:asciiTheme="minorHAnsi" w:cstheme="minorHAnsi" w:hAnsiTheme="minorHAnsi"/>
        </w:rPr>
      </w:pPr>
      <w:r>
        <w:rPr>
          <w:rFonts w:cs="Calibri" w:cstheme="minorHAnsi"/>
        </w:rPr>
      </w:r>
    </w:p>
    <w:p>
      <w:pPr>
        <w:pStyle w:val="Normal"/>
        <w:ind w:firstLine="567"/>
        <w:jc w:val="both"/>
        <w:rPr>
          <w:rFonts w:ascii="Calibri" w:hAnsi="Calibri" w:cs="Calibri" w:asciiTheme="minorHAnsi" w:cstheme="minorHAnsi" w:hAnsiTheme="minorHAnsi"/>
        </w:rPr>
      </w:pPr>
      <w:r>
        <w:rPr>
          <w:rFonts w:cs="Calibri" w:cstheme="minorHAnsi"/>
        </w:rPr>
      </w:r>
    </w:p>
    <w:tbl>
      <w:tblPr>
        <w:tblW w:w="7019" w:type="dxa"/>
        <w:jc w:val="center"/>
        <w:tblInd w:w="0" w:type="dxa"/>
        <w:tblLayout w:type="fixed"/>
        <w:tblCellMar>
          <w:top w:w="0" w:type="dxa"/>
          <w:left w:w="108" w:type="dxa"/>
          <w:bottom w:w="0" w:type="dxa"/>
          <w:right w:w="108" w:type="dxa"/>
        </w:tblCellMar>
        <w:tblLook w:val="04a0"/>
      </w:tblPr>
      <w:tblGrid>
        <w:gridCol w:w="1485"/>
        <w:gridCol w:w="1380"/>
        <w:gridCol w:w="1382"/>
        <w:gridCol w:w="1330"/>
        <w:gridCol w:w="1442"/>
      </w:tblGrid>
      <w:tr>
        <w:trPr>
          <w:trHeight w:val="201" w:hRule="atLeast"/>
        </w:trPr>
        <w:tc>
          <w:tcPr>
            <w:tcW w:w="1485" w:type="dxa"/>
            <w:vMerge w:val="restart"/>
            <w:tcBorders>
              <w:top w:val="single" w:sz="4" w:space="0" w:color="000000"/>
              <w:left w:val="single" w:sz="4" w:space="0" w:color="000000"/>
              <w:bottom w:val="single" w:sz="4" w:space="0" w:color="000000"/>
              <w:right w:val="single" w:sz="4" w:space="0" w:color="000000"/>
            </w:tcBorders>
            <w:shd w:color="auto" w:fill="1F497D" w:themeFill="text2" w:val="clear"/>
            <w:vAlign w:val="bottom"/>
          </w:tcPr>
          <w:p>
            <w:pPr>
              <w:pStyle w:val="Normal"/>
              <w:widowControl w:val="false"/>
              <w:spacing w:lineRule="auto" w:line="240" w:before="0" w:after="0"/>
              <w:jc w:val="center"/>
              <w:rPr>
                <w:rFonts w:ascii="Calibri" w:hAnsi="Calibri" w:eastAsia="Times New Roman" w:cs="Calibri" w:asciiTheme="minorHAnsi" w:cstheme="minorHAnsi" w:hAnsiTheme="minorHAnsi"/>
                <w:b/>
                <w:b/>
                <w:color w:val="FFFFFF" w:themeColor="background1"/>
                <w:lang w:eastAsia="el-GR"/>
              </w:rPr>
            </w:pPr>
            <w:r>
              <w:rPr>
                <w:rFonts w:eastAsia="Times New Roman" w:cs="Calibri" w:cstheme="minorHAnsi"/>
                <w:b/>
                <w:color w:val="FFFFFF" w:themeColor="background1"/>
                <w:lang w:eastAsia="el-GR"/>
              </w:rPr>
              <w:t> </w:t>
            </w:r>
            <w:r>
              <w:rPr>
                <w:rFonts w:eastAsia="Times New Roman" w:cs="Calibri" w:cstheme="minorHAnsi"/>
                <w:b/>
                <w:color w:val="FFFFFF" w:themeColor="background1"/>
                <w:lang w:eastAsia="el-GR"/>
              </w:rPr>
              <w:t>Μήνας</w:t>
            </w:r>
          </w:p>
        </w:tc>
        <w:tc>
          <w:tcPr>
            <w:tcW w:w="5534" w:type="dxa"/>
            <w:gridSpan w:val="4"/>
            <w:tcBorders>
              <w:top w:val="single" w:sz="4" w:space="0" w:color="000000"/>
              <w:bottom w:val="single" w:sz="4" w:space="0" w:color="000000"/>
              <w:right w:val="single" w:sz="4" w:space="0" w:color="000000"/>
            </w:tcBorders>
            <w:shd w:color="auto" w:fill="1F497D" w:themeFill="text2" w:val="clear"/>
            <w:vAlign w:val="bottom"/>
          </w:tcPr>
          <w:p>
            <w:pPr>
              <w:pStyle w:val="Normal"/>
              <w:widowControl w:val="false"/>
              <w:spacing w:lineRule="auto" w:line="240" w:before="0" w:after="0"/>
              <w:jc w:val="center"/>
              <w:rPr>
                <w:rFonts w:ascii="Calibri" w:hAnsi="Calibri" w:eastAsia="Times New Roman" w:cs="Calibri" w:asciiTheme="minorHAnsi" w:cstheme="minorHAnsi" w:hAnsiTheme="minorHAnsi"/>
                <w:b/>
                <w:b/>
                <w:color w:val="FFFFFF" w:themeColor="background1"/>
                <w:lang w:eastAsia="el-GR"/>
              </w:rPr>
            </w:pPr>
            <w:r>
              <w:rPr>
                <w:rFonts w:eastAsia="Times New Roman" w:cs="Calibri" w:cstheme="minorHAnsi"/>
                <w:b/>
                <w:color w:val="FFFFFF" w:themeColor="background1"/>
                <w:lang w:eastAsia="el-GR"/>
              </w:rPr>
              <w:t>ΕΚΚΡΕΜΕΙΣ ΑΙΤΗΣΕΙΣ</w:t>
            </w:r>
          </w:p>
        </w:tc>
      </w:tr>
      <w:tr>
        <w:trPr>
          <w:trHeight w:val="201" w:hRule="atLeast"/>
        </w:trPr>
        <w:tc>
          <w:tcPr>
            <w:tcW w:w="1485" w:type="dxa"/>
            <w:vMerge w:val="continue"/>
            <w:tcBorders>
              <w:top w:val="single" w:sz="4" w:space="0" w:color="000000"/>
              <w:left w:val="single" w:sz="4" w:space="0" w:color="000000"/>
              <w:bottom w:val="single" w:sz="4" w:space="0" w:color="000000"/>
              <w:right w:val="single" w:sz="4" w:space="0" w:color="000000"/>
            </w:tcBorders>
            <w:shd w:color="auto" w:fill="1F497D" w:themeFill="text2" w:val="clear"/>
            <w:vAlign w:val="bottom"/>
          </w:tcPr>
          <w:p>
            <w:pPr>
              <w:pStyle w:val="Normal"/>
              <w:widowControl w:val="false"/>
              <w:spacing w:lineRule="auto" w:line="240" w:before="0" w:after="0"/>
              <w:jc w:val="center"/>
              <w:rPr>
                <w:rFonts w:ascii="Calibri" w:hAnsi="Calibri" w:eastAsia="Times New Roman" w:cs="Calibri" w:asciiTheme="minorHAnsi" w:cstheme="minorHAnsi" w:hAnsiTheme="minorHAnsi"/>
                <w:b/>
                <w:b/>
                <w:color w:val="FFFFFF" w:themeColor="background1"/>
                <w:lang w:eastAsia="el-GR"/>
              </w:rPr>
            </w:pPr>
            <w:r>
              <w:rPr>
                <w:rFonts w:eastAsia="Times New Roman" w:cs="Calibri" w:cstheme="minorHAnsi"/>
                <w:b/>
                <w:color w:val="FFFFFF" w:themeColor="background1"/>
                <w:lang w:eastAsia="el-GR"/>
              </w:rPr>
            </w:r>
          </w:p>
        </w:tc>
        <w:tc>
          <w:tcPr>
            <w:tcW w:w="2762" w:type="dxa"/>
            <w:gridSpan w:val="2"/>
            <w:tcBorders>
              <w:top w:val="single" w:sz="4" w:space="0" w:color="000000"/>
              <w:bottom w:val="single" w:sz="4" w:space="0" w:color="000000"/>
              <w:right w:val="single" w:sz="4" w:space="0" w:color="000000"/>
            </w:tcBorders>
            <w:shd w:color="auto" w:fill="1F497D" w:themeFill="text2" w:val="clear"/>
            <w:vAlign w:val="bottom"/>
          </w:tcPr>
          <w:p>
            <w:pPr>
              <w:pStyle w:val="Normal"/>
              <w:widowControl w:val="false"/>
              <w:spacing w:lineRule="auto" w:line="240" w:before="0" w:after="0"/>
              <w:jc w:val="center"/>
              <w:rPr>
                <w:rFonts w:ascii="Calibri" w:hAnsi="Calibri" w:eastAsia="Times New Roman" w:cs="Calibri" w:asciiTheme="minorHAnsi" w:cstheme="minorHAnsi" w:hAnsiTheme="minorHAnsi"/>
                <w:b/>
                <w:b/>
                <w:color w:val="FFFFFF" w:themeColor="background1"/>
                <w:lang w:eastAsia="el-GR"/>
              </w:rPr>
            </w:pPr>
            <w:r>
              <w:rPr>
                <w:rFonts w:eastAsia="Times New Roman" w:cs="Calibri" w:cstheme="minorHAnsi"/>
                <w:b/>
                <w:color w:val="FFFFFF" w:themeColor="background1"/>
                <w:lang w:eastAsia="el-GR"/>
              </w:rPr>
              <w:t>ΠΛΗΘΟΣ</w:t>
            </w:r>
          </w:p>
        </w:tc>
        <w:tc>
          <w:tcPr>
            <w:tcW w:w="2772" w:type="dxa"/>
            <w:gridSpan w:val="2"/>
            <w:tcBorders>
              <w:top w:val="single" w:sz="4" w:space="0" w:color="000000"/>
              <w:bottom w:val="single" w:sz="4" w:space="0" w:color="000000"/>
              <w:right w:val="single" w:sz="4" w:space="0" w:color="000000"/>
            </w:tcBorders>
            <w:shd w:color="auto" w:fill="1F497D" w:themeFill="text2" w:val="clear"/>
            <w:vAlign w:val="bottom"/>
          </w:tcPr>
          <w:p>
            <w:pPr>
              <w:pStyle w:val="Normal"/>
              <w:widowControl w:val="false"/>
              <w:spacing w:lineRule="auto" w:line="240" w:before="0" w:after="0"/>
              <w:jc w:val="center"/>
              <w:rPr>
                <w:rFonts w:ascii="Calibri" w:hAnsi="Calibri" w:eastAsia="Times New Roman" w:cs="Calibri" w:asciiTheme="minorHAnsi" w:cstheme="minorHAnsi" w:hAnsiTheme="minorHAnsi"/>
                <w:b/>
                <w:b/>
                <w:color w:val="FFFFFF" w:themeColor="background1"/>
                <w:lang w:eastAsia="el-GR"/>
              </w:rPr>
            </w:pPr>
            <w:r>
              <w:rPr>
                <w:rFonts w:eastAsia="Times New Roman" w:cs="Calibri" w:cstheme="minorHAnsi"/>
                <w:b/>
                <w:color w:val="FFFFFF" w:themeColor="background1"/>
                <w:lang w:eastAsia="el-GR"/>
              </w:rPr>
              <w:t>ΠΟΣΟ (€)</w:t>
            </w:r>
          </w:p>
        </w:tc>
      </w:tr>
      <w:tr>
        <w:trPr>
          <w:trHeight w:val="257" w:hRule="atLeast"/>
        </w:trPr>
        <w:tc>
          <w:tcPr>
            <w:tcW w:w="1485" w:type="dxa"/>
            <w:vMerge w:val="continue"/>
            <w:tcBorders>
              <w:top w:val="single" w:sz="4" w:space="0" w:color="000000"/>
              <w:left w:val="single" w:sz="4" w:space="0" w:color="000000"/>
              <w:bottom w:val="single" w:sz="4" w:space="0" w:color="000000"/>
              <w:right w:val="single" w:sz="4" w:space="0" w:color="000000"/>
            </w:tcBorders>
            <w:shd w:color="auto" w:fill="1F497D" w:themeFill="text2" w:val="clear"/>
            <w:vAlign w:val="center"/>
          </w:tcPr>
          <w:p>
            <w:pPr>
              <w:pStyle w:val="Normal"/>
              <w:widowControl w:val="false"/>
              <w:spacing w:lineRule="auto" w:line="240" w:before="0" w:after="0"/>
              <w:rPr>
                <w:rFonts w:ascii="Calibri" w:hAnsi="Calibri" w:eastAsia="Times New Roman" w:cs="Calibri" w:asciiTheme="minorHAnsi" w:cstheme="minorHAnsi" w:hAnsiTheme="minorHAnsi"/>
                <w:b/>
                <w:b/>
                <w:color w:val="FFFFFF" w:themeColor="background1"/>
                <w:lang w:eastAsia="el-GR"/>
              </w:rPr>
            </w:pPr>
            <w:r>
              <w:rPr>
                <w:rFonts w:eastAsia="Times New Roman" w:cs="Calibri" w:cstheme="minorHAnsi"/>
                <w:b/>
                <w:color w:val="FFFFFF" w:themeColor="background1"/>
                <w:lang w:eastAsia="el-GR"/>
              </w:rPr>
            </w:r>
          </w:p>
        </w:tc>
        <w:tc>
          <w:tcPr>
            <w:tcW w:w="1380" w:type="dxa"/>
            <w:tcBorders>
              <w:bottom w:val="single" w:sz="4" w:space="0" w:color="000000"/>
              <w:right w:val="single" w:sz="4" w:space="0" w:color="000000"/>
            </w:tcBorders>
            <w:shd w:color="auto" w:fill="1F497D" w:themeFill="text2" w:val="clear"/>
            <w:vAlign w:val="bottom"/>
          </w:tcPr>
          <w:p>
            <w:pPr>
              <w:pStyle w:val="Normal"/>
              <w:widowControl w:val="false"/>
              <w:spacing w:lineRule="auto" w:line="240" w:before="0" w:after="0"/>
              <w:jc w:val="center"/>
              <w:rPr>
                <w:rFonts w:ascii="Calibri" w:hAnsi="Calibri" w:eastAsia="Times New Roman" w:cs="Calibri" w:asciiTheme="minorHAnsi" w:cstheme="minorHAnsi" w:hAnsiTheme="minorHAnsi"/>
                <w:b/>
                <w:b/>
                <w:color w:val="FFFFFF" w:themeColor="background1"/>
                <w:lang w:eastAsia="el-GR"/>
              </w:rPr>
            </w:pPr>
            <w:r>
              <w:rPr>
                <w:rFonts w:eastAsia="Times New Roman" w:cs="Calibri" w:cstheme="minorHAnsi"/>
                <w:b/>
                <w:color w:val="FFFFFF" w:themeColor="background1"/>
                <w:lang w:eastAsia="el-GR"/>
              </w:rPr>
              <w:t>2019</w:t>
            </w:r>
          </w:p>
        </w:tc>
        <w:tc>
          <w:tcPr>
            <w:tcW w:w="1382" w:type="dxa"/>
            <w:tcBorders>
              <w:bottom w:val="single" w:sz="4" w:space="0" w:color="000000"/>
              <w:right w:val="single" w:sz="4" w:space="0" w:color="000000"/>
            </w:tcBorders>
            <w:shd w:color="auto" w:fill="1F497D" w:themeFill="text2" w:val="clear"/>
            <w:vAlign w:val="bottom"/>
          </w:tcPr>
          <w:p>
            <w:pPr>
              <w:pStyle w:val="Normal"/>
              <w:widowControl w:val="false"/>
              <w:spacing w:lineRule="auto" w:line="240" w:before="0" w:after="0"/>
              <w:jc w:val="center"/>
              <w:rPr>
                <w:rFonts w:ascii="Calibri" w:hAnsi="Calibri" w:eastAsia="Times New Roman" w:cs="Calibri" w:asciiTheme="minorHAnsi" w:cstheme="minorHAnsi" w:hAnsiTheme="minorHAnsi"/>
                <w:b/>
                <w:b/>
                <w:color w:val="FFFFFF" w:themeColor="background1"/>
                <w:lang w:eastAsia="el-GR"/>
              </w:rPr>
            </w:pPr>
            <w:r>
              <w:rPr>
                <w:rFonts w:eastAsia="Times New Roman" w:cs="Calibri" w:cstheme="minorHAnsi"/>
                <w:b/>
                <w:color w:val="FFFFFF" w:themeColor="background1"/>
                <w:lang w:eastAsia="el-GR"/>
              </w:rPr>
              <w:t>2020</w:t>
            </w:r>
          </w:p>
        </w:tc>
        <w:tc>
          <w:tcPr>
            <w:tcW w:w="1330" w:type="dxa"/>
            <w:tcBorders>
              <w:bottom w:val="single" w:sz="4" w:space="0" w:color="000000"/>
              <w:right w:val="single" w:sz="4" w:space="0" w:color="000000"/>
            </w:tcBorders>
            <w:shd w:color="auto" w:fill="1F497D" w:themeFill="text2" w:val="clear"/>
            <w:vAlign w:val="bottom"/>
          </w:tcPr>
          <w:p>
            <w:pPr>
              <w:pStyle w:val="Normal"/>
              <w:widowControl w:val="false"/>
              <w:spacing w:lineRule="auto" w:line="240" w:before="0" w:after="0"/>
              <w:jc w:val="center"/>
              <w:rPr>
                <w:rFonts w:ascii="Calibri" w:hAnsi="Calibri" w:eastAsia="Times New Roman" w:cs="Calibri" w:asciiTheme="minorHAnsi" w:cstheme="minorHAnsi" w:hAnsiTheme="minorHAnsi"/>
                <w:b/>
                <w:b/>
                <w:color w:val="FFFFFF" w:themeColor="background1"/>
                <w:lang w:eastAsia="el-GR"/>
              </w:rPr>
            </w:pPr>
            <w:r>
              <w:rPr>
                <w:rFonts w:eastAsia="Times New Roman" w:cs="Calibri" w:cstheme="minorHAnsi"/>
                <w:b/>
                <w:color w:val="FFFFFF" w:themeColor="background1"/>
                <w:lang w:eastAsia="el-GR"/>
              </w:rPr>
              <w:t>2019</w:t>
            </w:r>
          </w:p>
        </w:tc>
        <w:tc>
          <w:tcPr>
            <w:tcW w:w="1442" w:type="dxa"/>
            <w:tcBorders>
              <w:bottom w:val="single" w:sz="4" w:space="0" w:color="000000"/>
              <w:right w:val="single" w:sz="4" w:space="0" w:color="000000"/>
            </w:tcBorders>
            <w:shd w:color="auto" w:fill="1F497D" w:themeFill="text2" w:val="clear"/>
            <w:vAlign w:val="bottom"/>
          </w:tcPr>
          <w:p>
            <w:pPr>
              <w:pStyle w:val="Normal"/>
              <w:widowControl w:val="false"/>
              <w:spacing w:lineRule="auto" w:line="240" w:before="0" w:after="0"/>
              <w:jc w:val="center"/>
              <w:rPr>
                <w:rFonts w:ascii="Calibri" w:hAnsi="Calibri" w:eastAsia="Times New Roman" w:cs="Calibri" w:asciiTheme="minorHAnsi" w:cstheme="minorHAnsi" w:hAnsiTheme="minorHAnsi"/>
                <w:b/>
                <w:b/>
                <w:color w:val="FFFFFF" w:themeColor="background1"/>
                <w:lang w:eastAsia="el-GR"/>
              </w:rPr>
            </w:pPr>
            <w:r>
              <w:rPr>
                <w:rFonts w:eastAsia="Times New Roman" w:cs="Calibri" w:cstheme="minorHAnsi"/>
                <w:b/>
                <w:color w:val="FFFFFF" w:themeColor="background1"/>
                <w:lang w:eastAsia="el-GR"/>
              </w:rPr>
              <w:t>2020</w:t>
            </w:r>
          </w:p>
        </w:tc>
      </w:tr>
      <w:tr>
        <w:trPr>
          <w:trHeight w:val="271" w:hRule="atLeast"/>
        </w:trPr>
        <w:tc>
          <w:tcPr>
            <w:tcW w:w="148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eastAsia="Times New Roman" w:cs="Calibri"/>
                <w:b/>
                <w:b/>
                <w:bCs/>
                <w:color w:val="000000"/>
                <w:lang w:eastAsia="el-GR"/>
              </w:rPr>
            </w:pPr>
            <w:r>
              <w:rPr>
                <w:rFonts w:eastAsia="Times New Roman" w:cs="Calibri"/>
                <w:b/>
                <w:bCs/>
                <w:color w:val="000000"/>
                <w:lang w:eastAsia="el-GR"/>
              </w:rPr>
              <w:t>Ιανουάριος</w:t>
            </w:r>
          </w:p>
        </w:tc>
        <w:tc>
          <w:tcPr>
            <w:tcW w:w="1380"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n-GB"/>
              </w:rPr>
              <w:t>114.571</w:t>
            </w:r>
          </w:p>
        </w:tc>
        <w:tc>
          <w:tcPr>
            <w:tcW w:w="1382"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n-GB"/>
              </w:rPr>
              <w:t>159.668</w:t>
            </w:r>
          </w:p>
        </w:tc>
        <w:tc>
          <w:tcPr>
            <w:tcW w:w="1330"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409.177.437</w:t>
            </w:r>
          </w:p>
        </w:tc>
        <w:tc>
          <w:tcPr>
            <w:tcW w:w="1442"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554.120.370</w:t>
            </w:r>
          </w:p>
        </w:tc>
      </w:tr>
      <w:tr>
        <w:trPr>
          <w:trHeight w:val="271" w:hRule="atLeast"/>
        </w:trPr>
        <w:tc>
          <w:tcPr>
            <w:tcW w:w="148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eastAsia="Times New Roman" w:cs="Calibri"/>
                <w:b/>
                <w:b/>
                <w:bCs/>
                <w:color w:val="000000"/>
                <w:lang w:eastAsia="el-GR"/>
              </w:rPr>
            </w:pPr>
            <w:r>
              <w:rPr>
                <w:rFonts w:eastAsia="Times New Roman" w:cs="Calibri"/>
                <w:b/>
                <w:bCs/>
                <w:color w:val="000000"/>
                <w:lang w:eastAsia="el-GR"/>
              </w:rPr>
              <w:t>Φεβρουάριος</w:t>
            </w:r>
          </w:p>
        </w:tc>
        <w:tc>
          <w:tcPr>
            <w:tcW w:w="1380"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n-GB"/>
              </w:rPr>
              <w:t>119.086</w:t>
            </w:r>
          </w:p>
        </w:tc>
        <w:tc>
          <w:tcPr>
            <w:tcW w:w="1382"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n-GB"/>
              </w:rPr>
              <w:t>160.853</w:t>
            </w:r>
          </w:p>
        </w:tc>
        <w:tc>
          <w:tcPr>
            <w:tcW w:w="1330"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415.548.965</w:t>
            </w:r>
          </w:p>
        </w:tc>
        <w:tc>
          <w:tcPr>
            <w:tcW w:w="1442"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564.029.434</w:t>
            </w:r>
          </w:p>
        </w:tc>
      </w:tr>
      <w:tr>
        <w:trPr>
          <w:trHeight w:val="271" w:hRule="atLeast"/>
        </w:trPr>
        <w:tc>
          <w:tcPr>
            <w:tcW w:w="148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eastAsia="Times New Roman" w:cs="Calibri"/>
                <w:b/>
                <w:b/>
                <w:bCs/>
                <w:color w:val="000000"/>
                <w:lang w:eastAsia="el-GR"/>
              </w:rPr>
            </w:pPr>
            <w:r>
              <w:rPr>
                <w:rFonts w:eastAsia="Times New Roman" w:cs="Calibri"/>
                <w:b/>
                <w:bCs/>
                <w:color w:val="000000"/>
                <w:lang w:eastAsia="el-GR"/>
              </w:rPr>
              <w:t>Μάρτιος</w:t>
            </w:r>
          </w:p>
        </w:tc>
        <w:tc>
          <w:tcPr>
            <w:tcW w:w="1380"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n-GB"/>
              </w:rPr>
              <w:t>121.408</w:t>
            </w:r>
          </w:p>
        </w:tc>
        <w:tc>
          <w:tcPr>
            <w:tcW w:w="1382"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n-GB"/>
              </w:rPr>
              <w:t>162.109</w:t>
            </w:r>
          </w:p>
        </w:tc>
        <w:tc>
          <w:tcPr>
            <w:tcW w:w="1330"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419.823.466</w:t>
            </w:r>
          </w:p>
        </w:tc>
        <w:tc>
          <w:tcPr>
            <w:tcW w:w="1442"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590.402.702</w:t>
            </w:r>
          </w:p>
        </w:tc>
      </w:tr>
      <w:tr>
        <w:trPr>
          <w:trHeight w:val="271" w:hRule="atLeast"/>
        </w:trPr>
        <w:tc>
          <w:tcPr>
            <w:tcW w:w="148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eastAsia="Times New Roman" w:cs="Calibri"/>
                <w:b/>
                <w:b/>
                <w:bCs/>
                <w:color w:val="000000"/>
                <w:lang w:eastAsia="el-GR"/>
              </w:rPr>
            </w:pPr>
            <w:r>
              <w:rPr>
                <w:rFonts w:eastAsia="Times New Roman" w:cs="Calibri"/>
                <w:b/>
                <w:bCs/>
                <w:color w:val="000000"/>
                <w:lang w:eastAsia="el-GR"/>
              </w:rPr>
              <w:t>Απρίλιος</w:t>
            </w:r>
          </w:p>
        </w:tc>
        <w:tc>
          <w:tcPr>
            <w:tcW w:w="1380"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n-GB"/>
              </w:rPr>
              <w:t>124.421</w:t>
            </w:r>
          </w:p>
        </w:tc>
        <w:tc>
          <w:tcPr>
            <w:tcW w:w="1382"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n-GB"/>
              </w:rPr>
              <w:t>161.716</w:t>
            </w:r>
          </w:p>
        </w:tc>
        <w:tc>
          <w:tcPr>
            <w:tcW w:w="1330"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421.561.100</w:t>
            </w:r>
          </w:p>
        </w:tc>
        <w:tc>
          <w:tcPr>
            <w:tcW w:w="1442"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616.569.519</w:t>
            </w:r>
          </w:p>
        </w:tc>
      </w:tr>
      <w:tr>
        <w:trPr>
          <w:trHeight w:val="271" w:hRule="atLeast"/>
        </w:trPr>
        <w:tc>
          <w:tcPr>
            <w:tcW w:w="148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eastAsia="Times New Roman" w:cs="Calibri"/>
                <w:b/>
                <w:b/>
                <w:bCs/>
                <w:color w:val="000000"/>
                <w:lang w:eastAsia="el-GR"/>
              </w:rPr>
            </w:pPr>
            <w:r>
              <w:rPr>
                <w:rFonts w:eastAsia="Times New Roman" w:cs="Calibri"/>
                <w:b/>
                <w:bCs/>
                <w:color w:val="000000"/>
                <w:lang w:eastAsia="el-GR"/>
              </w:rPr>
              <w:t>Μάιος</w:t>
            </w:r>
          </w:p>
        </w:tc>
        <w:tc>
          <w:tcPr>
            <w:tcW w:w="1380"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n-GB"/>
              </w:rPr>
              <w:t>128.268</w:t>
            </w:r>
          </w:p>
        </w:tc>
        <w:tc>
          <w:tcPr>
            <w:tcW w:w="1382"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n-GB"/>
              </w:rPr>
              <w:t>163.113</w:t>
            </w:r>
          </w:p>
        </w:tc>
        <w:tc>
          <w:tcPr>
            <w:tcW w:w="1330"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434.312.610</w:t>
            </w:r>
          </w:p>
        </w:tc>
        <w:tc>
          <w:tcPr>
            <w:tcW w:w="1442"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634.066.196</w:t>
            </w:r>
          </w:p>
        </w:tc>
      </w:tr>
      <w:tr>
        <w:trPr>
          <w:trHeight w:val="271" w:hRule="atLeast"/>
        </w:trPr>
        <w:tc>
          <w:tcPr>
            <w:tcW w:w="148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eastAsia="Times New Roman" w:cs="Calibri"/>
                <w:b/>
                <w:b/>
                <w:bCs/>
                <w:color w:val="000000"/>
                <w:lang w:eastAsia="el-GR"/>
              </w:rPr>
            </w:pPr>
            <w:r>
              <w:rPr>
                <w:rFonts w:eastAsia="Times New Roman" w:cs="Calibri"/>
                <w:b/>
                <w:bCs/>
                <w:color w:val="000000"/>
                <w:lang w:eastAsia="el-GR"/>
              </w:rPr>
              <w:t>Ιούνιος</w:t>
            </w:r>
          </w:p>
        </w:tc>
        <w:tc>
          <w:tcPr>
            <w:tcW w:w="1380"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n-GB"/>
              </w:rPr>
              <w:t>131.747</w:t>
            </w:r>
          </w:p>
        </w:tc>
        <w:tc>
          <w:tcPr>
            <w:tcW w:w="1382"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n-GB"/>
              </w:rPr>
              <w:t>164.680</w:t>
            </w:r>
          </w:p>
        </w:tc>
        <w:tc>
          <w:tcPr>
            <w:tcW w:w="1330"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446.885.659</w:t>
            </w:r>
          </w:p>
        </w:tc>
        <w:tc>
          <w:tcPr>
            <w:tcW w:w="1442"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639.998.026</w:t>
            </w:r>
          </w:p>
        </w:tc>
      </w:tr>
      <w:tr>
        <w:trPr>
          <w:trHeight w:val="271" w:hRule="atLeast"/>
        </w:trPr>
        <w:tc>
          <w:tcPr>
            <w:tcW w:w="148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eastAsia="Times New Roman" w:cs="Calibri"/>
                <w:b/>
                <w:b/>
                <w:bCs/>
                <w:color w:val="000000"/>
                <w:lang w:eastAsia="el-GR"/>
              </w:rPr>
            </w:pPr>
            <w:r>
              <w:rPr>
                <w:rFonts w:eastAsia="Times New Roman" w:cs="Calibri"/>
                <w:b/>
                <w:bCs/>
                <w:color w:val="000000"/>
                <w:lang w:eastAsia="el-GR"/>
              </w:rPr>
              <w:t>Ιούλιος</w:t>
            </w:r>
          </w:p>
        </w:tc>
        <w:tc>
          <w:tcPr>
            <w:tcW w:w="1380"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n-GB"/>
              </w:rPr>
              <w:t>137.086</w:t>
            </w:r>
          </w:p>
        </w:tc>
        <w:tc>
          <w:tcPr>
            <w:tcW w:w="1382"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n-GB"/>
              </w:rPr>
              <w:t>165.939</w:t>
            </w:r>
          </w:p>
        </w:tc>
        <w:tc>
          <w:tcPr>
            <w:tcW w:w="1330"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460.030.598</w:t>
            </w:r>
          </w:p>
        </w:tc>
        <w:tc>
          <w:tcPr>
            <w:tcW w:w="1442"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646.517.978</w:t>
            </w:r>
          </w:p>
        </w:tc>
      </w:tr>
      <w:tr>
        <w:trPr>
          <w:trHeight w:val="271" w:hRule="atLeast"/>
        </w:trPr>
        <w:tc>
          <w:tcPr>
            <w:tcW w:w="148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eastAsia="Times New Roman" w:cs="Calibri"/>
                <w:b/>
                <w:b/>
                <w:bCs/>
                <w:color w:val="000000"/>
                <w:lang w:eastAsia="el-GR"/>
              </w:rPr>
            </w:pPr>
            <w:r>
              <w:rPr>
                <w:rFonts w:eastAsia="Times New Roman" w:cs="Calibri"/>
                <w:b/>
                <w:bCs/>
                <w:color w:val="000000"/>
                <w:lang w:eastAsia="el-GR"/>
              </w:rPr>
              <w:t>Αύγουστος</w:t>
            </w:r>
          </w:p>
        </w:tc>
        <w:tc>
          <w:tcPr>
            <w:tcW w:w="1380"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n-GB"/>
              </w:rPr>
              <w:t>141.629</w:t>
            </w:r>
          </w:p>
        </w:tc>
        <w:tc>
          <w:tcPr>
            <w:tcW w:w="1382"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n-GB"/>
              </w:rPr>
              <w:t>164.269</w:t>
            </w:r>
          </w:p>
        </w:tc>
        <w:tc>
          <w:tcPr>
            <w:tcW w:w="1330"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500.175.670</w:t>
            </w:r>
          </w:p>
        </w:tc>
        <w:tc>
          <w:tcPr>
            <w:tcW w:w="1442"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657.449.689</w:t>
            </w:r>
          </w:p>
        </w:tc>
      </w:tr>
      <w:tr>
        <w:trPr>
          <w:trHeight w:val="271" w:hRule="atLeast"/>
        </w:trPr>
        <w:tc>
          <w:tcPr>
            <w:tcW w:w="148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eastAsia="Times New Roman" w:cs="Calibri"/>
                <w:b/>
                <w:b/>
                <w:bCs/>
                <w:color w:val="000000"/>
                <w:lang w:eastAsia="el-GR"/>
              </w:rPr>
            </w:pPr>
            <w:r>
              <w:rPr>
                <w:rFonts w:eastAsia="Times New Roman" w:cs="Calibri"/>
                <w:b/>
                <w:bCs/>
                <w:color w:val="000000"/>
                <w:lang w:eastAsia="el-GR"/>
              </w:rPr>
              <w:t>Σεπτέμβριος</w:t>
            </w:r>
          </w:p>
        </w:tc>
        <w:tc>
          <w:tcPr>
            <w:tcW w:w="1380"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n-GB"/>
              </w:rPr>
              <w:t>147.800</w:t>
            </w:r>
          </w:p>
        </w:tc>
        <w:tc>
          <w:tcPr>
            <w:tcW w:w="1382"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n-GB"/>
              </w:rPr>
              <w:t>163.224</w:t>
            </w:r>
          </w:p>
        </w:tc>
        <w:tc>
          <w:tcPr>
            <w:tcW w:w="1330"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510.973.929</w:t>
            </w:r>
          </w:p>
        </w:tc>
        <w:tc>
          <w:tcPr>
            <w:tcW w:w="1442"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619.821.796</w:t>
            </w:r>
          </w:p>
        </w:tc>
      </w:tr>
      <w:tr>
        <w:trPr>
          <w:trHeight w:val="271" w:hRule="atLeast"/>
        </w:trPr>
        <w:tc>
          <w:tcPr>
            <w:tcW w:w="148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eastAsia="Times New Roman" w:cs="Calibri"/>
                <w:b/>
                <w:b/>
                <w:bCs/>
                <w:color w:val="000000"/>
                <w:lang w:eastAsia="el-GR"/>
              </w:rPr>
            </w:pPr>
            <w:r>
              <w:rPr>
                <w:rFonts w:eastAsia="Times New Roman" w:cs="Calibri"/>
                <w:b/>
                <w:bCs/>
                <w:color w:val="000000"/>
                <w:lang w:eastAsia="el-GR"/>
              </w:rPr>
              <w:t>Οκτώβριος</w:t>
            </w:r>
          </w:p>
        </w:tc>
        <w:tc>
          <w:tcPr>
            <w:tcW w:w="1380"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n-GB"/>
              </w:rPr>
              <w:t>153.504</w:t>
            </w:r>
          </w:p>
        </w:tc>
        <w:tc>
          <w:tcPr>
            <w:tcW w:w="1382" w:type="dxa"/>
            <w:tcBorders>
              <w:top w:val="single" w:sz="4" w:space="0" w:color="000000"/>
              <w:bottom w:val="single" w:sz="4" w:space="0" w:color="000000"/>
              <w:right w:val="single" w:sz="4" w:space="0" w:color="000000"/>
            </w:tcBorders>
            <w:shd w:color="auto" w:fill="D9D9D9" w:themeFill="background1" w:themeFillShade="d9" w:val="clear"/>
            <w:vAlign w:val="bottom"/>
          </w:tcPr>
          <w:p>
            <w:pPr>
              <w:pStyle w:val="Normal"/>
              <w:widowControl w:val="false"/>
              <w:spacing w:lineRule="auto" w:line="240" w:before="0" w:after="0"/>
              <w:jc w:val="right"/>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r>
          </w:p>
        </w:tc>
        <w:tc>
          <w:tcPr>
            <w:tcW w:w="1330"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522.931.966</w:t>
            </w:r>
          </w:p>
        </w:tc>
        <w:tc>
          <w:tcPr>
            <w:tcW w:w="1442" w:type="dxa"/>
            <w:tcBorders>
              <w:top w:val="single" w:sz="4" w:space="0" w:color="000000"/>
              <w:bottom w:val="single" w:sz="4" w:space="0" w:color="000000"/>
              <w:right w:val="single" w:sz="4" w:space="0" w:color="000000"/>
            </w:tcBorders>
            <w:shd w:color="auto" w:fill="D9D9D9" w:themeFill="background1" w:themeFillShade="d9" w:val="clear"/>
            <w:vAlign w:val="bottom"/>
          </w:tcPr>
          <w:p>
            <w:pPr>
              <w:pStyle w:val="Normal"/>
              <w:widowControl w:val="false"/>
              <w:spacing w:lineRule="auto" w:line="240" w:before="0" w:after="0"/>
              <w:jc w:val="right"/>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 </w:t>
            </w:r>
          </w:p>
        </w:tc>
      </w:tr>
      <w:tr>
        <w:trPr>
          <w:trHeight w:val="271" w:hRule="atLeast"/>
        </w:trPr>
        <w:tc>
          <w:tcPr>
            <w:tcW w:w="148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eastAsia="Times New Roman" w:cs="Calibri"/>
                <w:b/>
                <w:b/>
                <w:bCs/>
                <w:color w:val="000000"/>
                <w:lang w:eastAsia="el-GR"/>
              </w:rPr>
            </w:pPr>
            <w:r>
              <w:rPr>
                <w:rFonts w:eastAsia="Times New Roman" w:cs="Calibri"/>
                <w:b/>
                <w:bCs/>
                <w:color w:val="000000"/>
                <w:lang w:eastAsia="el-GR"/>
              </w:rPr>
              <w:t>Νοέμβριος</w:t>
            </w:r>
          </w:p>
        </w:tc>
        <w:tc>
          <w:tcPr>
            <w:tcW w:w="1380"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n-GB"/>
              </w:rPr>
              <w:t>156.138</w:t>
            </w:r>
          </w:p>
        </w:tc>
        <w:tc>
          <w:tcPr>
            <w:tcW w:w="1382" w:type="dxa"/>
            <w:tcBorders>
              <w:top w:val="single" w:sz="4" w:space="0" w:color="000000"/>
              <w:bottom w:val="single" w:sz="4" w:space="0" w:color="000000"/>
              <w:right w:val="single" w:sz="4" w:space="0" w:color="000000"/>
            </w:tcBorders>
            <w:shd w:color="auto" w:fill="D9D9D9" w:themeFill="background1" w:themeFillShade="d9" w:val="clear"/>
            <w:vAlign w:val="bottom"/>
          </w:tcPr>
          <w:p>
            <w:pPr>
              <w:pStyle w:val="Normal"/>
              <w:widowControl w:val="false"/>
              <w:spacing w:lineRule="auto" w:line="240" w:before="0" w:after="0"/>
              <w:jc w:val="right"/>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n-GB"/>
              </w:rPr>
              <w:t> </w:t>
            </w:r>
          </w:p>
        </w:tc>
        <w:tc>
          <w:tcPr>
            <w:tcW w:w="1330"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531.925.067</w:t>
            </w:r>
          </w:p>
        </w:tc>
        <w:tc>
          <w:tcPr>
            <w:tcW w:w="1442" w:type="dxa"/>
            <w:tcBorders>
              <w:top w:val="single" w:sz="4" w:space="0" w:color="000000"/>
              <w:bottom w:val="single" w:sz="4" w:space="0" w:color="000000"/>
              <w:right w:val="single" w:sz="4" w:space="0" w:color="000000"/>
            </w:tcBorders>
            <w:shd w:color="auto" w:fill="D9D9D9" w:themeFill="background1" w:themeFillShade="d9" w:val="clear"/>
            <w:vAlign w:val="bottom"/>
          </w:tcPr>
          <w:p>
            <w:pPr>
              <w:pStyle w:val="Normal"/>
              <w:widowControl w:val="false"/>
              <w:spacing w:lineRule="auto" w:line="240" w:before="0" w:after="0"/>
              <w:jc w:val="right"/>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 </w:t>
            </w:r>
          </w:p>
        </w:tc>
      </w:tr>
      <w:tr>
        <w:trPr>
          <w:trHeight w:val="271" w:hRule="atLeast"/>
        </w:trPr>
        <w:tc>
          <w:tcPr>
            <w:tcW w:w="1485"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eastAsia="Times New Roman" w:cs="Calibri"/>
                <w:b/>
                <w:b/>
                <w:bCs/>
                <w:color w:val="000000"/>
                <w:lang w:eastAsia="el-GR"/>
              </w:rPr>
            </w:pPr>
            <w:r>
              <w:rPr>
                <w:rFonts w:eastAsia="Times New Roman" w:cs="Calibri"/>
                <w:b/>
                <w:bCs/>
                <w:color w:val="000000"/>
                <w:lang w:eastAsia="el-GR"/>
              </w:rPr>
              <w:t>Δεκέμβριος</w:t>
            </w:r>
          </w:p>
        </w:tc>
        <w:tc>
          <w:tcPr>
            <w:tcW w:w="1380"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n-GB"/>
              </w:rPr>
              <w:t>157.175</w:t>
            </w:r>
          </w:p>
        </w:tc>
        <w:tc>
          <w:tcPr>
            <w:tcW w:w="1382" w:type="dxa"/>
            <w:tcBorders>
              <w:top w:val="single" w:sz="4" w:space="0" w:color="000000"/>
              <w:bottom w:val="single" w:sz="4" w:space="0" w:color="000000"/>
              <w:right w:val="single" w:sz="4" w:space="0" w:color="000000"/>
            </w:tcBorders>
            <w:shd w:color="auto" w:fill="D9D9D9" w:themeFill="background1" w:themeFillShade="d9" w:val="clear"/>
            <w:vAlign w:val="bottom"/>
          </w:tcPr>
          <w:p>
            <w:pPr>
              <w:pStyle w:val="Normal"/>
              <w:widowControl w:val="false"/>
              <w:spacing w:lineRule="auto" w:line="240" w:before="0" w:after="0"/>
              <w:jc w:val="right"/>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n-GB"/>
              </w:rPr>
              <w:t> </w:t>
            </w:r>
          </w:p>
        </w:tc>
        <w:tc>
          <w:tcPr>
            <w:tcW w:w="1330"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right"/>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552.793.007</w:t>
            </w:r>
          </w:p>
        </w:tc>
        <w:tc>
          <w:tcPr>
            <w:tcW w:w="1442" w:type="dxa"/>
            <w:tcBorders>
              <w:top w:val="single" w:sz="4" w:space="0" w:color="000000"/>
              <w:bottom w:val="single" w:sz="4" w:space="0" w:color="000000"/>
              <w:right w:val="single" w:sz="4" w:space="0" w:color="000000"/>
            </w:tcBorders>
            <w:shd w:color="auto" w:fill="D9D9D9" w:themeFill="background1" w:themeFillShade="d9" w:val="clear"/>
            <w:vAlign w:val="bottom"/>
          </w:tcPr>
          <w:p>
            <w:pPr>
              <w:pStyle w:val="Normal"/>
              <w:widowControl w:val="false"/>
              <w:spacing w:lineRule="auto" w:line="240" w:before="0" w:after="0"/>
              <w:jc w:val="right"/>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 </w:t>
            </w:r>
          </w:p>
        </w:tc>
      </w:tr>
    </w:tbl>
    <w:p>
      <w:pPr>
        <w:pStyle w:val="Normal"/>
        <w:spacing w:lineRule="auto" w:line="240" w:before="0" w:after="0"/>
        <w:ind w:left="1701" w:hanging="1701"/>
        <w:rPr>
          <w:rFonts w:eastAsia="Times New Roman" w:cs="Calibri"/>
          <w:b/>
          <w:b/>
          <w:bCs/>
          <w:color w:val="000000"/>
          <w:lang w:eastAsia="el-GR"/>
        </w:rPr>
      </w:pPr>
      <w:r>
        <w:rPr>
          <w:rFonts w:eastAsia="Times New Roman" w:cs="Calibri"/>
          <w:b/>
          <w:bCs/>
          <w:color w:val="000000"/>
          <w:lang w:eastAsia="el-GR"/>
        </w:rPr>
        <w:t xml:space="preserve">             </w:t>
      </w:r>
      <w:r>
        <w:rPr>
          <w:rFonts w:eastAsia="Times New Roman" w:cs="Calibri"/>
          <w:b/>
          <w:bCs/>
          <w:color w:val="000000"/>
          <w:u w:val="single"/>
          <w:lang w:eastAsia="el-GR"/>
        </w:rPr>
        <w:t>Πίνακας 3:</w:t>
      </w:r>
      <w:r>
        <w:rPr>
          <w:rFonts w:eastAsia="Times New Roman" w:cs="Calibri"/>
          <w:b/>
          <w:bCs/>
          <w:color w:val="000000"/>
          <w:lang w:eastAsia="el-GR"/>
        </w:rPr>
        <w:t xml:space="preserve"> </w:t>
      </w:r>
      <w:r>
        <w:rPr>
          <w:rFonts w:eastAsia="Times New Roman" w:cs="Calibri"/>
          <w:bCs/>
          <w:color w:val="000000"/>
          <w:lang w:eastAsia="el-GR"/>
        </w:rPr>
        <w:t>Εξέλιξη πλήθους και ποσού εκκρεμών αιτήσεων οριστικής   κύριας σύνταξης (εκτός διεθνών συντάξεων)</w:t>
      </w:r>
    </w:p>
    <w:p>
      <w:pPr>
        <w:pStyle w:val="Normal"/>
        <w:spacing w:lineRule="auto" w:line="240"/>
        <w:rPr>
          <w:rFonts w:eastAsia="Times New Roman" w:cs="Calibri"/>
          <w:b/>
          <w:b/>
          <w:bCs/>
          <w:color w:val="000000"/>
          <w:lang w:eastAsia="el-GR"/>
        </w:rPr>
      </w:pPr>
      <w:r>
        <w:rPr>
          <w:rFonts w:eastAsia="Times New Roman" w:cs="Calibri"/>
          <w:b/>
          <w:bCs/>
          <w:color w:val="000000"/>
          <w:lang w:eastAsia="el-GR"/>
        </w:rPr>
      </w:r>
    </w:p>
    <w:p>
      <w:pPr>
        <w:pStyle w:val="Normal"/>
        <w:ind w:firstLine="720"/>
        <w:jc w:val="both"/>
        <w:rPr>
          <w:rFonts w:eastAsia="Times New Roman" w:cs="Calibri"/>
          <w:b/>
          <w:b/>
          <w:bCs/>
          <w:color w:val="000000"/>
          <w:lang w:eastAsia="el-GR"/>
        </w:rPr>
      </w:pPr>
      <w:r>
        <w:rPr/>
        <w:t>Στον Πίνακα 4 αποτυπώνεται η εξέλιξη του πλήθους και της εκτιμώμενης πληρωμής των ληξιπρόθεσμων εκκρεμών αιτήσεων οριστικής κύριας σύνταξης (αιτήσεις για τις οποίες ο χρόνος αναμονής είναι άνω των 90 ημερών) εκτός των διεθνών συντάξεων, ανά μήνα από τον Ιανουάριο του 2019 έως και το Σεπτέμβριο του 2020.</w:t>
      </w:r>
    </w:p>
    <w:tbl>
      <w:tblPr>
        <w:tblW w:w="7633" w:type="dxa"/>
        <w:jc w:val="center"/>
        <w:tblInd w:w="0" w:type="dxa"/>
        <w:tblLayout w:type="fixed"/>
        <w:tblCellMar>
          <w:top w:w="0" w:type="dxa"/>
          <w:left w:w="108" w:type="dxa"/>
          <w:bottom w:w="0" w:type="dxa"/>
          <w:right w:w="108" w:type="dxa"/>
        </w:tblCellMar>
        <w:tblLook w:val="04a0"/>
      </w:tblPr>
      <w:tblGrid>
        <w:gridCol w:w="1596"/>
        <w:gridCol w:w="1342"/>
        <w:gridCol w:w="1692"/>
        <w:gridCol w:w="1561"/>
        <w:gridCol w:w="1442"/>
      </w:tblGrid>
      <w:tr>
        <w:trPr>
          <w:trHeight w:val="232" w:hRule="atLeast"/>
        </w:trPr>
        <w:tc>
          <w:tcPr>
            <w:tcW w:w="1596" w:type="dxa"/>
            <w:vMerge w:val="restart"/>
            <w:tcBorders>
              <w:top w:val="single" w:sz="4" w:space="0" w:color="000000"/>
              <w:left w:val="single" w:sz="4" w:space="0" w:color="000000"/>
              <w:bottom w:val="single" w:sz="4" w:space="0" w:color="000000"/>
              <w:right w:val="single" w:sz="4" w:space="0" w:color="000000"/>
            </w:tcBorders>
            <w:shd w:color="auto" w:fill="1F497D" w:themeFill="text2" w:val="clear"/>
            <w:vAlign w:val="bottom"/>
          </w:tcPr>
          <w:p>
            <w:pPr>
              <w:pStyle w:val="Normal"/>
              <w:widowControl w:val="false"/>
              <w:spacing w:lineRule="auto" w:line="240" w:before="0" w:after="0"/>
              <w:jc w:val="center"/>
              <w:rPr>
                <w:rFonts w:ascii="Calibri" w:hAnsi="Calibri" w:eastAsia="Times New Roman" w:cs="Calibri" w:asciiTheme="minorHAnsi" w:cstheme="minorHAnsi" w:hAnsiTheme="minorHAnsi"/>
                <w:b/>
                <w:b/>
                <w:color w:val="FFFFFF" w:themeColor="background1"/>
                <w:lang w:eastAsia="el-GR"/>
              </w:rPr>
            </w:pPr>
            <w:r>
              <w:rPr>
                <w:rFonts w:eastAsia="Times New Roman" w:cs="Calibri" w:cstheme="minorHAnsi"/>
                <w:b/>
                <w:color w:val="FFFFFF" w:themeColor="background1"/>
                <w:lang w:eastAsia="el-GR"/>
              </w:rPr>
              <w:t> </w:t>
            </w:r>
            <w:r>
              <w:rPr>
                <w:rFonts w:eastAsia="Times New Roman" w:cs="Calibri" w:cstheme="minorHAnsi"/>
                <w:b/>
                <w:color w:val="FFFFFF" w:themeColor="background1"/>
                <w:lang w:eastAsia="el-GR"/>
              </w:rPr>
              <w:t>Μήνας</w:t>
            </w:r>
          </w:p>
        </w:tc>
        <w:tc>
          <w:tcPr>
            <w:tcW w:w="6037" w:type="dxa"/>
            <w:gridSpan w:val="4"/>
            <w:tcBorders>
              <w:top w:val="single" w:sz="4" w:space="0" w:color="000000"/>
              <w:bottom w:val="single" w:sz="4" w:space="0" w:color="000000"/>
              <w:right w:val="single" w:sz="4" w:space="0" w:color="000000"/>
            </w:tcBorders>
            <w:shd w:color="auto" w:fill="1F497D" w:themeFill="text2" w:val="clear"/>
            <w:vAlign w:val="bottom"/>
          </w:tcPr>
          <w:p>
            <w:pPr>
              <w:pStyle w:val="Normal"/>
              <w:widowControl w:val="false"/>
              <w:spacing w:lineRule="auto" w:line="240" w:before="0" w:after="0"/>
              <w:jc w:val="center"/>
              <w:rPr>
                <w:rFonts w:ascii="Calibri" w:hAnsi="Calibri" w:eastAsia="Times New Roman" w:cs="Calibri" w:asciiTheme="minorHAnsi" w:cstheme="minorHAnsi" w:hAnsiTheme="minorHAnsi"/>
                <w:b/>
                <w:b/>
                <w:color w:val="FFFFFF" w:themeColor="background1"/>
                <w:lang w:eastAsia="el-GR"/>
              </w:rPr>
            </w:pPr>
            <w:r>
              <w:rPr>
                <w:rFonts w:eastAsia="Times New Roman" w:cs="Calibri" w:cstheme="minorHAnsi"/>
                <w:b/>
                <w:color w:val="FFFFFF" w:themeColor="background1"/>
                <w:lang w:eastAsia="el-GR"/>
              </w:rPr>
              <w:t>ΛΗΞΙΠΡΟΘΕΣΜΕΣ ΕΚΚΡΕΜΕΙΣ ΑΙΤΗΣΕΙΣ</w:t>
            </w:r>
          </w:p>
        </w:tc>
      </w:tr>
      <w:tr>
        <w:trPr>
          <w:trHeight w:val="232" w:hRule="atLeast"/>
        </w:trPr>
        <w:tc>
          <w:tcPr>
            <w:tcW w:w="1596" w:type="dxa"/>
            <w:vMerge w:val="continue"/>
            <w:tcBorders>
              <w:top w:val="single" w:sz="4" w:space="0" w:color="000000"/>
              <w:left w:val="single" w:sz="4" w:space="0" w:color="000000"/>
              <w:bottom w:val="single" w:sz="4" w:space="0" w:color="000000"/>
              <w:right w:val="single" w:sz="4" w:space="0" w:color="000000"/>
            </w:tcBorders>
            <w:shd w:color="auto" w:fill="1F497D" w:themeFill="text2" w:val="clear"/>
            <w:vAlign w:val="bottom"/>
          </w:tcPr>
          <w:p>
            <w:pPr>
              <w:pStyle w:val="Normal"/>
              <w:widowControl w:val="false"/>
              <w:spacing w:lineRule="auto" w:line="240" w:before="0" w:after="0"/>
              <w:jc w:val="center"/>
              <w:rPr>
                <w:rFonts w:ascii="Calibri" w:hAnsi="Calibri" w:eastAsia="Times New Roman" w:cs="Calibri" w:asciiTheme="minorHAnsi" w:cstheme="minorHAnsi" w:hAnsiTheme="minorHAnsi"/>
                <w:b/>
                <w:b/>
                <w:color w:val="FFFFFF" w:themeColor="background1"/>
                <w:lang w:eastAsia="el-GR"/>
              </w:rPr>
            </w:pPr>
            <w:r>
              <w:rPr>
                <w:rFonts w:eastAsia="Times New Roman" w:cs="Calibri" w:cstheme="minorHAnsi"/>
                <w:b/>
                <w:color w:val="FFFFFF" w:themeColor="background1"/>
                <w:lang w:eastAsia="el-GR"/>
              </w:rPr>
            </w:r>
          </w:p>
        </w:tc>
        <w:tc>
          <w:tcPr>
            <w:tcW w:w="3034" w:type="dxa"/>
            <w:gridSpan w:val="2"/>
            <w:tcBorders>
              <w:top w:val="single" w:sz="4" w:space="0" w:color="000000"/>
              <w:bottom w:val="single" w:sz="4" w:space="0" w:color="000000"/>
              <w:right w:val="single" w:sz="4" w:space="0" w:color="000000"/>
            </w:tcBorders>
            <w:shd w:color="auto" w:fill="1F497D" w:themeFill="text2" w:val="clear"/>
            <w:vAlign w:val="bottom"/>
          </w:tcPr>
          <w:p>
            <w:pPr>
              <w:pStyle w:val="Normal"/>
              <w:widowControl w:val="false"/>
              <w:spacing w:lineRule="auto" w:line="240" w:before="0" w:after="0"/>
              <w:jc w:val="center"/>
              <w:rPr>
                <w:rFonts w:ascii="Calibri" w:hAnsi="Calibri" w:eastAsia="Times New Roman" w:cs="Calibri" w:asciiTheme="minorHAnsi" w:cstheme="minorHAnsi" w:hAnsiTheme="minorHAnsi"/>
                <w:b/>
                <w:b/>
                <w:color w:val="FFFFFF" w:themeColor="background1"/>
                <w:lang w:eastAsia="el-GR"/>
              </w:rPr>
            </w:pPr>
            <w:r>
              <w:rPr>
                <w:rFonts w:eastAsia="Times New Roman" w:cs="Calibri" w:cstheme="minorHAnsi"/>
                <w:b/>
                <w:color w:val="FFFFFF" w:themeColor="background1"/>
                <w:lang w:eastAsia="el-GR"/>
              </w:rPr>
              <w:t>ΠΛΗΘΟΣ</w:t>
            </w:r>
          </w:p>
        </w:tc>
        <w:tc>
          <w:tcPr>
            <w:tcW w:w="3003" w:type="dxa"/>
            <w:gridSpan w:val="2"/>
            <w:tcBorders>
              <w:top w:val="single" w:sz="4" w:space="0" w:color="000000"/>
              <w:bottom w:val="single" w:sz="4" w:space="0" w:color="000000"/>
              <w:right w:val="single" w:sz="4" w:space="0" w:color="000000"/>
            </w:tcBorders>
            <w:shd w:color="auto" w:fill="1F497D" w:themeFill="text2" w:val="clear"/>
            <w:vAlign w:val="bottom"/>
          </w:tcPr>
          <w:p>
            <w:pPr>
              <w:pStyle w:val="Normal"/>
              <w:widowControl w:val="false"/>
              <w:spacing w:lineRule="auto" w:line="240" w:before="0" w:after="0"/>
              <w:jc w:val="center"/>
              <w:rPr>
                <w:rFonts w:ascii="Calibri" w:hAnsi="Calibri" w:eastAsia="Times New Roman" w:cs="Calibri" w:asciiTheme="minorHAnsi" w:cstheme="minorHAnsi" w:hAnsiTheme="minorHAnsi"/>
                <w:b/>
                <w:b/>
                <w:color w:val="FFFFFF" w:themeColor="background1"/>
                <w:lang w:eastAsia="el-GR"/>
              </w:rPr>
            </w:pPr>
            <w:r>
              <w:rPr>
                <w:rFonts w:eastAsia="Times New Roman" w:cs="Calibri" w:cstheme="minorHAnsi"/>
                <w:b/>
                <w:color w:val="FFFFFF" w:themeColor="background1"/>
                <w:lang w:eastAsia="el-GR"/>
              </w:rPr>
              <w:t>ΠΟΣΟ (€)</w:t>
            </w:r>
          </w:p>
        </w:tc>
      </w:tr>
      <w:tr>
        <w:trPr>
          <w:trHeight w:val="257" w:hRule="atLeast"/>
        </w:trPr>
        <w:tc>
          <w:tcPr>
            <w:tcW w:w="1596" w:type="dxa"/>
            <w:vMerge w:val="continue"/>
            <w:tcBorders>
              <w:top w:val="single" w:sz="4" w:space="0" w:color="000000"/>
              <w:left w:val="single" w:sz="4" w:space="0" w:color="000000"/>
              <w:bottom w:val="single" w:sz="4" w:space="0" w:color="000000"/>
              <w:right w:val="single" w:sz="4" w:space="0" w:color="000000"/>
            </w:tcBorders>
            <w:shd w:color="auto" w:fill="1F497D" w:themeFill="text2" w:val="clear"/>
            <w:vAlign w:val="center"/>
          </w:tcPr>
          <w:p>
            <w:pPr>
              <w:pStyle w:val="Normal"/>
              <w:widowControl w:val="false"/>
              <w:spacing w:lineRule="auto" w:line="240" w:before="0" w:after="0"/>
              <w:rPr>
                <w:rFonts w:ascii="Calibri" w:hAnsi="Calibri" w:eastAsia="Times New Roman" w:cs="Calibri" w:asciiTheme="minorHAnsi" w:cstheme="minorHAnsi" w:hAnsiTheme="minorHAnsi"/>
                <w:b/>
                <w:b/>
                <w:color w:val="FFFFFF" w:themeColor="background1"/>
                <w:lang w:eastAsia="el-GR"/>
              </w:rPr>
            </w:pPr>
            <w:r>
              <w:rPr>
                <w:rFonts w:eastAsia="Times New Roman" w:cs="Calibri" w:cstheme="minorHAnsi"/>
                <w:b/>
                <w:color w:val="FFFFFF" w:themeColor="background1"/>
                <w:lang w:eastAsia="el-GR"/>
              </w:rPr>
            </w:r>
          </w:p>
        </w:tc>
        <w:tc>
          <w:tcPr>
            <w:tcW w:w="1342" w:type="dxa"/>
            <w:tcBorders>
              <w:bottom w:val="single" w:sz="4" w:space="0" w:color="000000"/>
              <w:right w:val="single" w:sz="4" w:space="0" w:color="000000"/>
            </w:tcBorders>
            <w:shd w:color="auto" w:fill="1F497D" w:themeFill="text2" w:val="clear"/>
            <w:vAlign w:val="bottom"/>
          </w:tcPr>
          <w:p>
            <w:pPr>
              <w:pStyle w:val="Normal"/>
              <w:widowControl w:val="false"/>
              <w:spacing w:lineRule="auto" w:line="240" w:before="0" w:after="0"/>
              <w:jc w:val="center"/>
              <w:rPr>
                <w:rFonts w:ascii="Calibri" w:hAnsi="Calibri" w:eastAsia="Times New Roman" w:cs="Calibri" w:asciiTheme="minorHAnsi" w:cstheme="minorHAnsi" w:hAnsiTheme="minorHAnsi"/>
                <w:b/>
                <w:b/>
                <w:color w:val="FFFFFF" w:themeColor="background1"/>
                <w:lang w:eastAsia="el-GR"/>
              </w:rPr>
            </w:pPr>
            <w:r>
              <w:rPr>
                <w:rFonts w:eastAsia="Times New Roman" w:cs="Calibri" w:cstheme="minorHAnsi"/>
                <w:b/>
                <w:color w:val="FFFFFF" w:themeColor="background1"/>
                <w:lang w:eastAsia="el-GR"/>
              </w:rPr>
              <w:t>2019</w:t>
            </w:r>
          </w:p>
        </w:tc>
        <w:tc>
          <w:tcPr>
            <w:tcW w:w="1692" w:type="dxa"/>
            <w:tcBorders>
              <w:bottom w:val="single" w:sz="4" w:space="0" w:color="000000"/>
              <w:right w:val="single" w:sz="4" w:space="0" w:color="000000"/>
            </w:tcBorders>
            <w:shd w:color="auto" w:fill="1F497D" w:themeFill="text2" w:val="clear"/>
            <w:vAlign w:val="bottom"/>
          </w:tcPr>
          <w:p>
            <w:pPr>
              <w:pStyle w:val="Normal"/>
              <w:widowControl w:val="false"/>
              <w:spacing w:lineRule="auto" w:line="240" w:before="0" w:after="0"/>
              <w:jc w:val="center"/>
              <w:rPr>
                <w:rFonts w:ascii="Calibri" w:hAnsi="Calibri" w:eastAsia="Times New Roman" w:cs="Calibri" w:asciiTheme="minorHAnsi" w:cstheme="minorHAnsi" w:hAnsiTheme="minorHAnsi"/>
                <w:b/>
                <w:b/>
                <w:color w:val="FFFFFF" w:themeColor="background1"/>
                <w:lang w:eastAsia="el-GR"/>
              </w:rPr>
            </w:pPr>
            <w:r>
              <w:rPr>
                <w:rFonts w:eastAsia="Times New Roman" w:cs="Calibri" w:cstheme="minorHAnsi"/>
                <w:b/>
                <w:color w:val="FFFFFF" w:themeColor="background1"/>
                <w:lang w:eastAsia="el-GR"/>
              </w:rPr>
              <w:t>2020</w:t>
            </w:r>
          </w:p>
        </w:tc>
        <w:tc>
          <w:tcPr>
            <w:tcW w:w="1561" w:type="dxa"/>
            <w:tcBorders>
              <w:bottom w:val="single" w:sz="4" w:space="0" w:color="000000"/>
              <w:right w:val="single" w:sz="4" w:space="0" w:color="000000"/>
            </w:tcBorders>
            <w:shd w:color="auto" w:fill="1F497D" w:themeFill="text2" w:val="clear"/>
            <w:vAlign w:val="bottom"/>
          </w:tcPr>
          <w:p>
            <w:pPr>
              <w:pStyle w:val="Normal"/>
              <w:widowControl w:val="false"/>
              <w:spacing w:lineRule="auto" w:line="240" w:before="0" w:after="0"/>
              <w:jc w:val="center"/>
              <w:rPr>
                <w:rFonts w:ascii="Calibri" w:hAnsi="Calibri" w:eastAsia="Times New Roman" w:cs="Calibri" w:asciiTheme="minorHAnsi" w:cstheme="minorHAnsi" w:hAnsiTheme="minorHAnsi"/>
                <w:b/>
                <w:b/>
                <w:color w:val="FFFFFF" w:themeColor="background1"/>
                <w:lang w:eastAsia="el-GR"/>
              </w:rPr>
            </w:pPr>
            <w:r>
              <w:rPr>
                <w:rFonts w:eastAsia="Times New Roman" w:cs="Calibri" w:cstheme="minorHAnsi"/>
                <w:b/>
                <w:color w:val="FFFFFF" w:themeColor="background1"/>
                <w:lang w:eastAsia="el-GR"/>
              </w:rPr>
              <w:t>2019</w:t>
            </w:r>
          </w:p>
        </w:tc>
        <w:tc>
          <w:tcPr>
            <w:tcW w:w="1442" w:type="dxa"/>
            <w:tcBorders>
              <w:bottom w:val="single" w:sz="4" w:space="0" w:color="000000"/>
              <w:right w:val="single" w:sz="4" w:space="0" w:color="000000"/>
            </w:tcBorders>
            <w:shd w:color="auto" w:fill="1F497D" w:themeFill="text2" w:val="clear"/>
            <w:vAlign w:val="bottom"/>
          </w:tcPr>
          <w:p>
            <w:pPr>
              <w:pStyle w:val="Normal"/>
              <w:widowControl w:val="false"/>
              <w:spacing w:lineRule="auto" w:line="240" w:before="0" w:after="0"/>
              <w:jc w:val="center"/>
              <w:rPr>
                <w:rFonts w:ascii="Calibri" w:hAnsi="Calibri" w:eastAsia="Times New Roman" w:cs="Calibri" w:asciiTheme="minorHAnsi" w:cstheme="minorHAnsi" w:hAnsiTheme="minorHAnsi"/>
                <w:b/>
                <w:b/>
                <w:color w:val="FFFFFF" w:themeColor="background1"/>
                <w:lang w:eastAsia="el-GR"/>
              </w:rPr>
            </w:pPr>
            <w:r>
              <w:rPr>
                <w:rFonts w:eastAsia="Times New Roman" w:cs="Calibri" w:cstheme="minorHAnsi"/>
                <w:b/>
                <w:color w:val="FFFFFF" w:themeColor="background1"/>
                <w:lang w:eastAsia="el-GR"/>
              </w:rPr>
              <w:t>2020</w:t>
            </w:r>
          </w:p>
        </w:tc>
      </w:tr>
      <w:tr>
        <w:trPr>
          <w:trHeight w:val="271" w:hRule="atLeast"/>
        </w:trPr>
        <w:tc>
          <w:tcPr>
            <w:tcW w:w="1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Calibri" w:hAnsi="Calibri" w:eastAsia="Times New Roman" w:cs="Calibri" w:asciiTheme="minorHAnsi" w:cstheme="minorHAnsi" w:hAnsiTheme="minorHAnsi"/>
                <w:b/>
                <w:b/>
                <w:bCs/>
                <w:color w:val="000000"/>
                <w:lang w:eastAsia="el-GR"/>
              </w:rPr>
            </w:pPr>
            <w:r>
              <w:rPr>
                <w:rFonts w:eastAsia="Times New Roman" w:cs="Calibri" w:cstheme="minorHAnsi"/>
                <w:b/>
                <w:bCs/>
                <w:color w:val="000000"/>
                <w:lang w:eastAsia="el-GR"/>
              </w:rPr>
              <w:t>Ιανουάριος</w:t>
            </w:r>
          </w:p>
        </w:tc>
        <w:tc>
          <w:tcPr>
            <w:tcW w:w="1342"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n-GB"/>
              </w:rPr>
              <w:t>91.224</w:t>
            </w:r>
          </w:p>
        </w:tc>
        <w:tc>
          <w:tcPr>
            <w:tcW w:w="1692"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n-GB"/>
              </w:rPr>
              <w:t>124.771</w:t>
            </w:r>
          </w:p>
        </w:tc>
        <w:tc>
          <w:tcPr>
            <w:tcW w:w="1561"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399.933.293</w:t>
            </w:r>
          </w:p>
        </w:tc>
        <w:tc>
          <w:tcPr>
            <w:tcW w:w="1442"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541.900.494</w:t>
            </w:r>
          </w:p>
        </w:tc>
      </w:tr>
      <w:tr>
        <w:trPr>
          <w:trHeight w:val="271" w:hRule="atLeast"/>
        </w:trPr>
        <w:tc>
          <w:tcPr>
            <w:tcW w:w="1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Calibri" w:hAnsi="Calibri" w:eastAsia="Times New Roman" w:cs="Calibri" w:asciiTheme="minorHAnsi" w:cstheme="minorHAnsi" w:hAnsiTheme="minorHAnsi"/>
                <w:b/>
                <w:b/>
                <w:bCs/>
                <w:color w:val="000000"/>
                <w:lang w:eastAsia="el-GR"/>
              </w:rPr>
            </w:pPr>
            <w:r>
              <w:rPr>
                <w:rFonts w:eastAsia="Times New Roman" w:cs="Calibri" w:cstheme="minorHAnsi"/>
                <w:b/>
                <w:bCs/>
                <w:color w:val="000000"/>
                <w:lang w:eastAsia="el-GR"/>
              </w:rPr>
              <w:t>Φεβρουάριος</w:t>
            </w:r>
          </w:p>
        </w:tc>
        <w:tc>
          <w:tcPr>
            <w:tcW w:w="1342"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n-GB"/>
              </w:rPr>
              <w:t>91.138</w:t>
            </w:r>
          </w:p>
        </w:tc>
        <w:tc>
          <w:tcPr>
            <w:tcW w:w="1692"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n-GB"/>
              </w:rPr>
              <w:t>125.428</w:t>
            </w:r>
          </w:p>
        </w:tc>
        <w:tc>
          <w:tcPr>
            <w:tcW w:w="1561"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405.022.813</w:t>
            </w:r>
          </w:p>
        </w:tc>
        <w:tc>
          <w:tcPr>
            <w:tcW w:w="1442"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551.904.477</w:t>
            </w:r>
          </w:p>
        </w:tc>
      </w:tr>
      <w:tr>
        <w:trPr>
          <w:trHeight w:val="271" w:hRule="atLeast"/>
        </w:trPr>
        <w:tc>
          <w:tcPr>
            <w:tcW w:w="1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Calibri" w:hAnsi="Calibri" w:eastAsia="Times New Roman" w:cs="Calibri" w:asciiTheme="minorHAnsi" w:cstheme="minorHAnsi" w:hAnsiTheme="minorHAnsi"/>
                <w:b/>
                <w:b/>
                <w:bCs/>
                <w:color w:val="000000"/>
                <w:lang w:eastAsia="el-GR"/>
              </w:rPr>
            </w:pPr>
            <w:r>
              <w:rPr>
                <w:rFonts w:eastAsia="Times New Roman" w:cs="Calibri" w:cstheme="minorHAnsi"/>
                <w:b/>
                <w:bCs/>
                <w:color w:val="000000"/>
                <w:lang w:eastAsia="el-GR"/>
              </w:rPr>
              <w:t>Μάρτιος</w:t>
            </w:r>
          </w:p>
        </w:tc>
        <w:tc>
          <w:tcPr>
            <w:tcW w:w="1342"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n-GB"/>
              </w:rPr>
              <w:t>89.828</w:t>
            </w:r>
          </w:p>
        </w:tc>
        <w:tc>
          <w:tcPr>
            <w:tcW w:w="1692"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n-GB"/>
              </w:rPr>
              <w:t>129.649</w:t>
            </w:r>
          </w:p>
        </w:tc>
        <w:tc>
          <w:tcPr>
            <w:tcW w:w="1561"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408.741.743</w:t>
            </w:r>
          </w:p>
        </w:tc>
        <w:tc>
          <w:tcPr>
            <w:tcW w:w="1442"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577.550.354</w:t>
            </w:r>
          </w:p>
        </w:tc>
      </w:tr>
      <w:tr>
        <w:trPr>
          <w:trHeight w:val="271" w:hRule="atLeast"/>
        </w:trPr>
        <w:tc>
          <w:tcPr>
            <w:tcW w:w="1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Calibri" w:hAnsi="Calibri" w:eastAsia="Times New Roman" w:cs="Calibri" w:asciiTheme="minorHAnsi" w:cstheme="minorHAnsi" w:hAnsiTheme="minorHAnsi"/>
                <w:b/>
                <w:b/>
                <w:bCs/>
                <w:color w:val="000000"/>
                <w:lang w:eastAsia="el-GR"/>
              </w:rPr>
            </w:pPr>
            <w:r>
              <w:rPr>
                <w:rFonts w:eastAsia="Times New Roman" w:cs="Calibri" w:cstheme="minorHAnsi"/>
                <w:b/>
                <w:bCs/>
                <w:color w:val="000000"/>
                <w:lang w:eastAsia="el-GR"/>
              </w:rPr>
              <w:t>Απρίλιος</w:t>
            </w:r>
          </w:p>
        </w:tc>
        <w:tc>
          <w:tcPr>
            <w:tcW w:w="1342"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n-GB"/>
              </w:rPr>
              <w:t>91.897</w:t>
            </w:r>
          </w:p>
        </w:tc>
        <w:tc>
          <w:tcPr>
            <w:tcW w:w="1692"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n-GB"/>
              </w:rPr>
              <w:t>135.819</w:t>
            </w:r>
          </w:p>
        </w:tc>
        <w:tc>
          <w:tcPr>
            <w:tcW w:w="1561"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408.705.902</w:t>
            </w:r>
          </w:p>
        </w:tc>
        <w:tc>
          <w:tcPr>
            <w:tcW w:w="1442"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604.710.763</w:t>
            </w:r>
          </w:p>
        </w:tc>
      </w:tr>
      <w:tr>
        <w:trPr>
          <w:trHeight w:val="271" w:hRule="atLeast"/>
        </w:trPr>
        <w:tc>
          <w:tcPr>
            <w:tcW w:w="1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Calibri" w:hAnsi="Calibri" w:eastAsia="Times New Roman" w:cs="Calibri" w:asciiTheme="minorHAnsi" w:cstheme="minorHAnsi" w:hAnsiTheme="minorHAnsi"/>
                <w:b/>
                <w:b/>
                <w:bCs/>
                <w:color w:val="000000"/>
                <w:lang w:eastAsia="el-GR"/>
              </w:rPr>
            </w:pPr>
            <w:r>
              <w:rPr>
                <w:rFonts w:eastAsia="Times New Roman" w:cs="Calibri" w:cstheme="minorHAnsi"/>
                <w:b/>
                <w:bCs/>
                <w:color w:val="000000"/>
                <w:lang w:eastAsia="el-GR"/>
              </w:rPr>
              <w:t>Μάιος</w:t>
            </w:r>
          </w:p>
        </w:tc>
        <w:tc>
          <w:tcPr>
            <w:tcW w:w="1342"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n-GB"/>
              </w:rPr>
              <w:t>96.924</w:t>
            </w:r>
          </w:p>
        </w:tc>
        <w:tc>
          <w:tcPr>
            <w:tcW w:w="1692"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n-GB"/>
              </w:rPr>
              <w:t>140.127</w:t>
            </w:r>
          </w:p>
        </w:tc>
        <w:tc>
          <w:tcPr>
            <w:tcW w:w="1561"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422.627.202</w:t>
            </w:r>
          </w:p>
        </w:tc>
        <w:tc>
          <w:tcPr>
            <w:tcW w:w="1442"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625.989.015</w:t>
            </w:r>
          </w:p>
        </w:tc>
      </w:tr>
      <w:tr>
        <w:trPr>
          <w:trHeight w:val="271" w:hRule="atLeast"/>
        </w:trPr>
        <w:tc>
          <w:tcPr>
            <w:tcW w:w="1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Calibri" w:hAnsi="Calibri" w:eastAsia="Times New Roman" w:cs="Calibri" w:asciiTheme="minorHAnsi" w:cstheme="minorHAnsi" w:hAnsiTheme="minorHAnsi"/>
                <w:b/>
                <w:b/>
                <w:bCs/>
                <w:color w:val="000000"/>
                <w:lang w:eastAsia="el-GR"/>
              </w:rPr>
            </w:pPr>
            <w:r>
              <w:rPr>
                <w:rFonts w:eastAsia="Times New Roman" w:cs="Calibri" w:cstheme="minorHAnsi"/>
                <w:b/>
                <w:bCs/>
                <w:color w:val="000000"/>
                <w:lang w:eastAsia="el-GR"/>
              </w:rPr>
              <w:t>Ιούνιος</w:t>
            </w:r>
          </w:p>
        </w:tc>
        <w:tc>
          <w:tcPr>
            <w:tcW w:w="1342"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n-GB"/>
              </w:rPr>
              <w:t>100.413</w:t>
            </w:r>
          </w:p>
        </w:tc>
        <w:tc>
          <w:tcPr>
            <w:tcW w:w="1692"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n-GB"/>
              </w:rPr>
              <w:t>138.323</w:t>
            </w:r>
          </w:p>
        </w:tc>
        <w:tc>
          <w:tcPr>
            <w:tcW w:w="1561"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435.428.396</w:t>
            </w:r>
          </w:p>
        </w:tc>
        <w:tc>
          <w:tcPr>
            <w:tcW w:w="1442"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632.875.328</w:t>
            </w:r>
          </w:p>
        </w:tc>
      </w:tr>
      <w:tr>
        <w:trPr>
          <w:trHeight w:val="271" w:hRule="atLeast"/>
        </w:trPr>
        <w:tc>
          <w:tcPr>
            <w:tcW w:w="1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Calibri" w:hAnsi="Calibri" w:eastAsia="Times New Roman" w:cs="Calibri" w:asciiTheme="minorHAnsi" w:cstheme="minorHAnsi" w:hAnsiTheme="minorHAnsi"/>
                <w:b/>
                <w:b/>
                <w:bCs/>
                <w:color w:val="000000"/>
                <w:lang w:eastAsia="el-GR"/>
              </w:rPr>
            </w:pPr>
            <w:r>
              <w:rPr>
                <w:rFonts w:eastAsia="Times New Roman" w:cs="Calibri" w:cstheme="minorHAnsi"/>
                <w:b/>
                <w:bCs/>
                <w:color w:val="000000"/>
                <w:lang w:eastAsia="el-GR"/>
              </w:rPr>
              <w:t>Ιούλιος</w:t>
            </w:r>
          </w:p>
        </w:tc>
        <w:tc>
          <w:tcPr>
            <w:tcW w:w="1342"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n-GB"/>
              </w:rPr>
              <w:t>103.259</w:t>
            </w:r>
          </w:p>
        </w:tc>
        <w:tc>
          <w:tcPr>
            <w:tcW w:w="1692"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n-GB"/>
              </w:rPr>
              <w:t>134.201</w:t>
            </w:r>
          </w:p>
        </w:tc>
        <w:tc>
          <w:tcPr>
            <w:tcW w:w="1561"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448.107.042</w:t>
            </w:r>
          </w:p>
        </w:tc>
        <w:tc>
          <w:tcPr>
            <w:tcW w:w="1442"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636.180.308</w:t>
            </w:r>
          </w:p>
        </w:tc>
      </w:tr>
      <w:tr>
        <w:trPr>
          <w:trHeight w:val="271" w:hRule="atLeast"/>
        </w:trPr>
        <w:tc>
          <w:tcPr>
            <w:tcW w:w="1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Calibri" w:hAnsi="Calibri" w:eastAsia="Times New Roman" w:cs="Calibri" w:asciiTheme="minorHAnsi" w:cstheme="minorHAnsi" w:hAnsiTheme="minorHAnsi"/>
                <w:b/>
                <w:b/>
                <w:bCs/>
                <w:color w:val="000000"/>
                <w:lang w:eastAsia="el-GR"/>
              </w:rPr>
            </w:pPr>
            <w:r>
              <w:rPr>
                <w:rFonts w:eastAsia="Times New Roman" w:cs="Calibri" w:cstheme="minorHAnsi"/>
                <w:b/>
                <w:bCs/>
                <w:color w:val="000000"/>
                <w:lang w:eastAsia="el-GR"/>
              </w:rPr>
              <w:t>Αύγουστος</w:t>
            </w:r>
          </w:p>
        </w:tc>
        <w:tc>
          <w:tcPr>
            <w:tcW w:w="1342"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n-GB"/>
              </w:rPr>
              <w:t>109.289</w:t>
            </w:r>
          </w:p>
        </w:tc>
        <w:tc>
          <w:tcPr>
            <w:tcW w:w="1692"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n-GB"/>
              </w:rPr>
              <w:t>135.055</w:t>
            </w:r>
          </w:p>
        </w:tc>
        <w:tc>
          <w:tcPr>
            <w:tcW w:w="1561"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486.445.299</w:t>
            </w:r>
          </w:p>
        </w:tc>
        <w:tc>
          <w:tcPr>
            <w:tcW w:w="1442"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645.279.044</w:t>
            </w:r>
          </w:p>
        </w:tc>
      </w:tr>
      <w:tr>
        <w:trPr>
          <w:trHeight w:val="271" w:hRule="atLeast"/>
        </w:trPr>
        <w:tc>
          <w:tcPr>
            <w:tcW w:w="1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Calibri" w:hAnsi="Calibri" w:eastAsia="Times New Roman" w:cs="Calibri" w:asciiTheme="minorHAnsi" w:cstheme="minorHAnsi" w:hAnsiTheme="minorHAnsi"/>
                <w:b/>
                <w:b/>
                <w:bCs/>
                <w:color w:val="000000"/>
                <w:lang w:eastAsia="el-GR"/>
              </w:rPr>
            </w:pPr>
            <w:r>
              <w:rPr>
                <w:rFonts w:eastAsia="Times New Roman" w:cs="Calibri" w:cstheme="minorHAnsi"/>
                <w:b/>
                <w:bCs/>
                <w:color w:val="000000"/>
                <w:lang w:eastAsia="el-GR"/>
              </w:rPr>
              <w:t>Σεπτέμβριος</w:t>
            </w:r>
          </w:p>
        </w:tc>
        <w:tc>
          <w:tcPr>
            <w:tcW w:w="1342"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n-GB"/>
              </w:rPr>
              <w:t>113.340</w:t>
            </w:r>
          </w:p>
        </w:tc>
        <w:tc>
          <w:tcPr>
            <w:tcW w:w="1692"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n-GB"/>
              </w:rPr>
              <w:t>133.354</w:t>
            </w:r>
          </w:p>
        </w:tc>
        <w:tc>
          <w:tcPr>
            <w:tcW w:w="1561"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498.542.429</w:t>
            </w:r>
          </w:p>
        </w:tc>
        <w:tc>
          <w:tcPr>
            <w:tcW w:w="1442"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608.164.362</w:t>
            </w:r>
          </w:p>
        </w:tc>
      </w:tr>
      <w:tr>
        <w:trPr>
          <w:trHeight w:val="271" w:hRule="atLeast"/>
        </w:trPr>
        <w:tc>
          <w:tcPr>
            <w:tcW w:w="1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Calibri" w:hAnsi="Calibri" w:eastAsia="Times New Roman" w:cs="Calibri" w:asciiTheme="minorHAnsi" w:cstheme="minorHAnsi" w:hAnsiTheme="minorHAnsi"/>
                <w:b/>
                <w:b/>
                <w:bCs/>
                <w:color w:val="000000"/>
                <w:lang w:eastAsia="el-GR"/>
              </w:rPr>
            </w:pPr>
            <w:r>
              <w:rPr>
                <w:rFonts w:eastAsia="Times New Roman" w:cs="Calibri" w:cstheme="minorHAnsi"/>
                <w:b/>
                <w:bCs/>
                <w:color w:val="000000"/>
                <w:lang w:eastAsia="el-GR"/>
              </w:rPr>
              <w:t>Οκτώβριος</w:t>
            </w:r>
          </w:p>
        </w:tc>
        <w:tc>
          <w:tcPr>
            <w:tcW w:w="1342"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n-GB"/>
              </w:rPr>
              <w:t>117.371</w:t>
            </w:r>
          </w:p>
        </w:tc>
        <w:tc>
          <w:tcPr>
            <w:tcW w:w="1692" w:type="dxa"/>
            <w:tcBorders>
              <w:top w:val="single" w:sz="4" w:space="0" w:color="000000"/>
              <w:bottom w:val="single" w:sz="4" w:space="0" w:color="000000"/>
              <w:right w:val="single" w:sz="4" w:space="0" w:color="000000"/>
            </w:tcBorders>
            <w:shd w:color="auto" w:fill="D9D9D9" w:themeFill="background1" w:themeFillShade="d9" w:val="clear"/>
            <w:vAlign w:val="bottom"/>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r>
          </w:p>
        </w:tc>
        <w:tc>
          <w:tcPr>
            <w:tcW w:w="1561"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511.113.098</w:t>
            </w:r>
          </w:p>
        </w:tc>
        <w:tc>
          <w:tcPr>
            <w:tcW w:w="1442" w:type="dxa"/>
            <w:tcBorders>
              <w:top w:val="single" w:sz="4" w:space="0" w:color="000000"/>
              <w:bottom w:val="single" w:sz="4" w:space="0" w:color="000000"/>
              <w:right w:val="single" w:sz="4" w:space="0" w:color="000000"/>
            </w:tcBorders>
            <w:shd w:color="auto" w:fill="D9D9D9" w:themeFill="background1" w:themeFillShade="d9" w:val="clear"/>
            <w:vAlign w:val="bottom"/>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r>
          </w:p>
        </w:tc>
      </w:tr>
      <w:tr>
        <w:trPr>
          <w:trHeight w:val="271" w:hRule="atLeast"/>
        </w:trPr>
        <w:tc>
          <w:tcPr>
            <w:tcW w:w="1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Calibri" w:hAnsi="Calibri" w:eastAsia="Times New Roman" w:cs="Calibri" w:asciiTheme="minorHAnsi" w:cstheme="minorHAnsi" w:hAnsiTheme="minorHAnsi"/>
                <w:b/>
                <w:b/>
                <w:bCs/>
                <w:color w:val="000000"/>
                <w:lang w:eastAsia="el-GR"/>
              </w:rPr>
            </w:pPr>
            <w:r>
              <w:rPr>
                <w:rFonts w:eastAsia="Times New Roman" w:cs="Calibri" w:cstheme="minorHAnsi"/>
                <w:b/>
                <w:bCs/>
                <w:color w:val="000000"/>
                <w:lang w:eastAsia="el-GR"/>
              </w:rPr>
              <w:t>Νοέμβριος</w:t>
            </w:r>
          </w:p>
        </w:tc>
        <w:tc>
          <w:tcPr>
            <w:tcW w:w="1342"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n-GB"/>
              </w:rPr>
              <w:t>116.382</w:t>
            </w:r>
          </w:p>
        </w:tc>
        <w:tc>
          <w:tcPr>
            <w:tcW w:w="1692" w:type="dxa"/>
            <w:tcBorders>
              <w:top w:val="single" w:sz="4" w:space="0" w:color="000000"/>
              <w:bottom w:val="single" w:sz="4" w:space="0" w:color="000000"/>
              <w:right w:val="single" w:sz="4" w:space="0" w:color="000000"/>
            </w:tcBorders>
            <w:shd w:color="auto" w:fill="D9D9D9" w:themeFill="background1" w:themeFillShade="d9" w:val="clear"/>
            <w:vAlign w:val="bottom"/>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r>
          </w:p>
        </w:tc>
        <w:tc>
          <w:tcPr>
            <w:tcW w:w="1561"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515.871.950</w:t>
            </w:r>
          </w:p>
        </w:tc>
        <w:tc>
          <w:tcPr>
            <w:tcW w:w="1442" w:type="dxa"/>
            <w:tcBorders>
              <w:top w:val="single" w:sz="4" w:space="0" w:color="000000"/>
              <w:bottom w:val="single" w:sz="4" w:space="0" w:color="000000"/>
              <w:right w:val="single" w:sz="4" w:space="0" w:color="000000"/>
            </w:tcBorders>
            <w:shd w:color="auto" w:fill="D9D9D9" w:themeFill="background1" w:themeFillShade="d9" w:val="clear"/>
            <w:vAlign w:val="bottom"/>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r>
          </w:p>
        </w:tc>
      </w:tr>
      <w:tr>
        <w:trPr>
          <w:trHeight w:val="271" w:hRule="atLeast"/>
        </w:trPr>
        <w:tc>
          <w:tcPr>
            <w:tcW w:w="1596" w:type="dxa"/>
            <w:tcBorders>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Calibri" w:hAnsi="Calibri" w:eastAsia="Times New Roman" w:cs="Calibri" w:asciiTheme="minorHAnsi" w:cstheme="minorHAnsi" w:hAnsiTheme="minorHAnsi"/>
                <w:b/>
                <w:b/>
                <w:bCs/>
                <w:color w:val="000000"/>
                <w:lang w:eastAsia="el-GR"/>
              </w:rPr>
            </w:pPr>
            <w:r>
              <w:rPr>
                <w:rFonts w:eastAsia="Times New Roman" w:cs="Calibri" w:cstheme="minorHAnsi"/>
                <w:b/>
                <w:bCs/>
                <w:color w:val="000000"/>
                <w:lang w:eastAsia="el-GR"/>
              </w:rPr>
              <w:t>Δεκέμβριος</w:t>
            </w:r>
          </w:p>
        </w:tc>
        <w:tc>
          <w:tcPr>
            <w:tcW w:w="1342"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n-GB"/>
              </w:rPr>
              <w:t>121.253</w:t>
            </w:r>
          </w:p>
        </w:tc>
        <w:tc>
          <w:tcPr>
            <w:tcW w:w="1692" w:type="dxa"/>
            <w:tcBorders>
              <w:top w:val="single" w:sz="4" w:space="0" w:color="000000"/>
              <w:bottom w:val="single" w:sz="4" w:space="0" w:color="000000"/>
              <w:right w:val="single" w:sz="4" w:space="0" w:color="000000"/>
            </w:tcBorders>
            <w:shd w:color="auto" w:fill="D9D9D9" w:themeFill="background1" w:themeFillShade="d9" w:val="clear"/>
            <w:vAlign w:val="bottom"/>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r>
          </w:p>
        </w:tc>
        <w:tc>
          <w:tcPr>
            <w:tcW w:w="1561" w:type="dxa"/>
            <w:tcBorders>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t>538.300.729</w:t>
            </w:r>
          </w:p>
        </w:tc>
        <w:tc>
          <w:tcPr>
            <w:tcW w:w="1442" w:type="dxa"/>
            <w:tcBorders>
              <w:top w:val="single" w:sz="4" w:space="0" w:color="000000"/>
              <w:bottom w:val="single" w:sz="4" w:space="0" w:color="000000"/>
              <w:right w:val="single" w:sz="4" w:space="0" w:color="000000"/>
            </w:tcBorders>
            <w:shd w:color="auto" w:fill="D9D9D9" w:themeFill="background1" w:themeFillShade="d9" w:val="clear"/>
            <w:vAlign w:val="bottom"/>
          </w:tcPr>
          <w:p>
            <w:pPr>
              <w:pStyle w:val="Normal"/>
              <w:widowControl w:val="false"/>
              <w:spacing w:lineRule="auto" w:line="240" w:before="0" w:after="0"/>
              <w:jc w:val="center"/>
              <w:rPr>
                <w:rFonts w:ascii="Calibri" w:hAnsi="Calibri" w:eastAsia="Times New Roman" w:cs="Calibri" w:asciiTheme="minorHAnsi" w:cstheme="minorHAnsi" w:hAnsiTheme="minorHAnsi"/>
                <w:color w:val="000000"/>
                <w:lang w:eastAsia="el-GR"/>
              </w:rPr>
            </w:pPr>
            <w:r>
              <w:rPr>
                <w:rFonts w:eastAsia="Times New Roman" w:cs="Calibri" w:cstheme="minorHAnsi"/>
                <w:color w:val="000000"/>
                <w:lang w:eastAsia="el-GR"/>
              </w:rPr>
            </w:r>
          </w:p>
        </w:tc>
      </w:tr>
    </w:tbl>
    <w:p>
      <w:pPr>
        <w:pStyle w:val="Normal"/>
        <w:spacing w:lineRule="auto" w:line="240" w:before="0" w:after="0"/>
        <w:rPr>
          <w:rFonts w:eastAsia="Times New Roman" w:cs="Calibri"/>
          <w:bCs/>
          <w:color w:val="000000"/>
          <w:lang w:eastAsia="el-GR"/>
        </w:rPr>
      </w:pPr>
      <w:r>
        <w:rPr>
          <w:rFonts w:eastAsia="Times New Roman" w:cs="Calibri"/>
          <w:b/>
          <w:bCs/>
          <w:color w:val="000000"/>
          <w:lang w:eastAsia="el-GR"/>
        </w:rPr>
        <w:t xml:space="preserve">        </w:t>
      </w:r>
      <w:r>
        <w:rPr>
          <w:rFonts w:eastAsia="Times New Roman" w:cs="Calibri"/>
          <w:b/>
          <w:bCs/>
          <w:color w:val="000000"/>
          <w:u w:val="single"/>
          <w:lang w:eastAsia="el-GR"/>
        </w:rPr>
        <w:t>Πίνακας 4:</w:t>
      </w:r>
      <w:r>
        <w:rPr>
          <w:rFonts w:eastAsia="Times New Roman" w:cs="Calibri"/>
          <w:b/>
          <w:bCs/>
          <w:color w:val="000000"/>
          <w:lang w:eastAsia="el-GR"/>
        </w:rPr>
        <w:t xml:space="preserve"> </w:t>
      </w:r>
      <w:r>
        <w:rPr>
          <w:rFonts w:eastAsia="Times New Roman" w:cs="Calibri"/>
          <w:bCs/>
          <w:color w:val="000000"/>
          <w:lang w:eastAsia="el-GR"/>
        </w:rPr>
        <w:t xml:space="preserve">Εξέλιξη πλήθους και καταβαλλόμενου ποσού ληξιπρόθεσμων εκκρεμών </w:t>
      </w:r>
    </w:p>
    <w:p>
      <w:pPr>
        <w:pStyle w:val="Normal"/>
        <w:spacing w:lineRule="auto" w:line="240" w:before="0" w:after="0"/>
        <w:rPr>
          <w:rFonts w:eastAsia="Times New Roman" w:cs="Calibri"/>
          <w:b/>
          <w:b/>
          <w:bCs/>
          <w:color w:val="000000"/>
          <w:lang w:eastAsia="el-GR"/>
        </w:rPr>
      </w:pPr>
      <w:r>
        <w:rPr>
          <w:rFonts w:eastAsia="Times New Roman" w:cs="Calibri"/>
          <w:bCs/>
          <w:color w:val="000000"/>
          <w:lang w:eastAsia="el-GR"/>
        </w:rPr>
        <w:t xml:space="preserve">       </w:t>
      </w:r>
      <w:r>
        <w:rPr>
          <w:rFonts w:eastAsia="Times New Roman" w:cs="Calibri"/>
          <w:bCs/>
          <w:color w:val="000000"/>
          <w:lang w:eastAsia="el-GR"/>
        </w:rPr>
        <w:t>αιτήσεων οριστικής κύριας σύνταξης (εκτός διεθνών συντάξεων)</w:t>
      </w:r>
    </w:p>
    <w:p>
      <w:pPr>
        <w:pStyle w:val="Normal"/>
        <w:spacing w:lineRule="auto" w:line="240"/>
        <w:rPr>
          <w:rFonts w:eastAsia="Times New Roman" w:cs="Calibri"/>
          <w:b/>
          <w:b/>
          <w:bCs/>
          <w:color w:val="000000"/>
          <w:lang w:eastAsia="el-GR"/>
        </w:rPr>
      </w:pPr>
      <w:r>
        <w:rPr>
          <w:rFonts w:eastAsia="Times New Roman" w:cs="Calibri"/>
          <w:b/>
          <w:bCs/>
          <w:color w:val="000000"/>
          <w:lang w:eastAsia="el-GR"/>
        </w:rPr>
      </w:r>
    </w:p>
    <w:p>
      <w:pPr>
        <w:pStyle w:val="Normal"/>
        <w:spacing w:lineRule="auto" w:line="240"/>
        <w:rPr>
          <w:rFonts w:eastAsia="Times New Roman" w:cs="Calibri"/>
          <w:b/>
          <w:b/>
          <w:bCs/>
          <w:color w:val="000000"/>
          <w:lang w:eastAsia="el-GR"/>
        </w:rPr>
      </w:pPr>
      <w:r>
        <w:rPr>
          <w:rFonts w:eastAsia="Times New Roman" w:cs="Calibri"/>
          <w:b/>
          <w:bCs/>
          <w:color w:val="000000"/>
          <w:lang w:eastAsia="el-GR"/>
        </w:rPr>
      </w:r>
    </w:p>
    <w:p>
      <w:pPr>
        <w:pStyle w:val="Normal"/>
        <w:spacing w:lineRule="auto" w:line="240"/>
        <w:rPr>
          <w:rFonts w:eastAsia="Times New Roman" w:cs="Calibri"/>
          <w:b/>
          <w:b/>
          <w:bCs/>
          <w:color w:val="000000"/>
          <w:lang w:eastAsia="el-GR"/>
        </w:rPr>
      </w:pPr>
      <w:r>
        <w:rPr>
          <w:rFonts w:eastAsia="Times New Roman" w:cs="Calibri"/>
          <w:b/>
          <w:bCs/>
          <w:color w:val="000000"/>
          <w:lang w:eastAsia="el-GR"/>
        </w:rPr>
      </w:r>
    </w:p>
    <w:p>
      <w:pPr>
        <w:pStyle w:val="Normal"/>
        <w:spacing w:lineRule="auto" w:line="240"/>
        <w:rPr>
          <w:rFonts w:eastAsia="Times New Roman" w:cs="Calibri"/>
          <w:b/>
          <w:b/>
          <w:bCs/>
          <w:color w:val="000000"/>
          <w:lang w:eastAsia="el-GR"/>
        </w:rPr>
      </w:pPr>
      <w:r>
        <w:rPr>
          <w:rFonts w:eastAsia="Times New Roman" w:cs="Calibri"/>
          <w:b/>
          <w:bCs/>
          <w:color w:val="000000"/>
          <w:lang w:eastAsia="el-GR"/>
        </w:rPr>
      </w:r>
    </w:p>
    <w:p>
      <w:pPr>
        <w:pStyle w:val="Normal"/>
        <w:spacing w:lineRule="auto" w:line="240" w:before="0" w:after="200"/>
        <w:rPr>
          <w:rFonts w:eastAsia="Times New Roman" w:cs="Calibri"/>
          <w:b/>
          <w:b/>
          <w:bCs/>
          <w:color w:val="000000"/>
          <w:lang w:eastAsia="el-GR"/>
        </w:rPr>
      </w:pPr>
      <w:r>
        <w:rPr/>
      </w:r>
    </w:p>
    <w:sectPr>
      <w:headerReference w:type="default" r:id="rId11"/>
      <w:footerReference w:type="default" r:id="rId12"/>
      <w:type w:val="nextPage"/>
      <w:pgSz w:w="11906" w:h="16838"/>
      <w:pgMar w:left="1800" w:right="1800" w:header="708" w:top="1440" w:footer="45" w:bottom="1485" w:gutter="0"/>
      <w:pgBorders w:display="allPages" w:offsetFrom="page">
        <w:top w:val="single" w:sz="18" w:space="24" w:color="1F497D" w:shadow="1"/>
        <w:left w:val="single" w:sz="18" w:space="24" w:color="1F497D" w:shadow="1"/>
        <w:bottom w:val="single" w:sz="18" w:space="0" w:color="1F497D" w:shadow="1"/>
        <w:right w:val="single" w:sz="18" w:space="24" w:color="1F497D" w:shadow="1"/>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ahoma">
    <w:charset w:val="00"/>
    <w:family w:val="roman"/>
    <w:pitch w:val="variable"/>
  </w:font>
  <w:font w:name="Liberation Sans">
    <w:altName w:val="Arial"/>
    <w:charset w:val="00"/>
    <w:family w:val="swiss"/>
    <w:pitch w:val="variable"/>
  </w:font>
  <w:font w:name="Verdana">
    <w:charset w:val="00"/>
    <w:family w:val="roman"/>
    <w:pitch w:val="variable"/>
  </w:font>
  <w:font w:name="Century Gothic">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10632" w:type="dxa"/>
      <w:jc w:val="left"/>
      <w:tblInd w:w="-601" w:type="dxa"/>
      <w:tblLayout w:type="fixed"/>
      <w:tblCellMar>
        <w:top w:w="0" w:type="dxa"/>
        <w:left w:w="108" w:type="dxa"/>
        <w:bottom w:w="0" w:type="dxa"/>
        <w:right w:w="108" w:type="dxa"/>
      </w:tblCellMar>
      <w:tblLook w:val="04a0"/>
    </w:tblPr>
    <w:tblGrid>
      <w:gridCol w:w="10632"/>
    </w:tblGrid>
    <w:tr>
      <w:trPr>
        <w:trHeight w:val="1168" w:hRule="atLeast"/>
      </w:trPr>
      <w:tc>
        <w:tcPr>
          <w:tcW w:w="10632" w:type="dxa"/>
          <w:tcBorders/>
        </w:tcPr>
        <w:p>
          <w:pPr>
            <w:pStyle w:val="Normal"/>
            <w:widowControl w:val="false"/>
            <w:spacing w:lineRule="auto" w:line="240" w:before="0" w:after="0"/>
            <w:ind w:left="41" w:hanging="0"/>
            <w:jc w:val="center"/>
            <w:rPr>
              <w:rFonts w:ascii="Calibri" w:hAnsi="Calibri" w:eastAsia="Calibri" w:cs="" w:asciiTheme="minorHAnsi" w:cstheme="minorBidi" w:eastAsiaTheme="minorHAnsi" w:hAnsiTheme="minorHAnsi"/>
            </w:rPr>
          </w:pPr>
          <w:r>
            <w:rPr>
              <w:rFonts w:eastAsia="Calibri" w:cs="" w:cstheme="minorBidi" w:eastAsiaTheme="minorHAnsi"/>
            </w:rPr>
          </w:r>
        </w:p>
      </w:tc>
    </w:tr>
  </w:tbl>
  <w:p>
    <w:pPr>
      <w:pStyle w:val="Style22"/>
      <w:spacing w:before="0" w:after="200"/>
      <w:jc w:val="center"/>
      <w:rPr>
        <w:lang w:val="fr-FR"/>
      </w:rPr>
    </w:pPr>
    <w:r>
      <w:rPr>
        <w:lang w:val="fr-F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40"/>
      <w:rPr>
        <w:rFonts w:ascii="Calibri" w:hAnsi="Calibri" w:eastAsia="Calibri" w:cs="" w:asciiTheme="minorHAnsi" w:cstheme="minorBidi" w:eastAsiaTheme="minorHAnsi" w:hAnsiTheme="minorHAnsi"/>
        <w:b/>
        <w:b/>
        <w:color w:val="A6A6A6"/>
        <w:sz w:val="16"/>
        <w:szCs w:val="16"/>
      </w:rPr>
    </w:pPr>
    <w:r>
      <w:rPr>
        <w:rFonts w:eastAsia="Calibri" w:cs="Arial" w:ascii="Century Gothic" w:hAnsi="Century Gothic" w:eastAsiaTheme="minorHAnsi"/>
        <w:b/>
        <w:bCs/>
        <w:color w:val="A6A6A6"/>
        <w:sz w:val="16"/>
        <w:szCs w:val="16"/>
      </w:rPr>
      <w:t xml:space="preserve">                                                                                            </w:t>
    </w:r>
    <w:r>
      <w:rPr>
        <w:rFonts w:eastAsia="Calibri" w:cs="Arial" w:ascii="Century Gothic" w:hAnsi="Century Gothic" w:eastAsiaTheme="minorHAnsi"/>
        <w:b/>
        <w:bCs/>
        <w:color w:val="A6A6A6"/>
        <w:sz w:val="16"/>
        <w:szCs w:val="16"/>
      </w:rPr>
      <w:fldChar w:fldCharType="begin"/>
    </w:r>
    <w:r>
      <w:rPr>
        <w:sz w:val="16"/>
        <w:b/>
        <w:szCs w:val="16"/>
        <w:bCs/>
        <w:rFonts w:eastAsia="Calibri" w:cs="Arial" w:ascii="Century Gothic" w:hAnsi="Century Gothic"/>
        <w:color w:val="A6A6A6"/>
      </w:rPr>
      <w:instrText> PAGE </w:instrText>
    </w:r>
    <w:r>
      <w:rPr>
        <w:sz w:val="16"/>
        <w:b/>
        <w:szCs w:val="16"/>
        <w:bCs/>
        <w:rFonts w:eastAsia="Calibri" w:cs="Arial" w:ascii="Century Gothic" w:hAnsi="Century Gothic"/>
        <w:color w:val="A6A6A6"/>
      </w:rPr>
      <w:fldChar w:fldCharType="separate"/>
    </w:r>
    <w:r>
      <w:rPr>
        <w:sz w:val="16"/>
        <w:b/>
        <w:szCs w:val="16"/>
        <w:bCs/>
        <w:rFonts w:eastAsia="Calibri" w:cs="Arial" w:ascii="Century Gothic" w:hAnsi="Century Gothic"/>
        <w:color w:val="A6A6A6"/>
      </w:rPr>
      <w:t>14</w:t>
    </w:r>
    <w:r>
      <w:rPr>
        <w:sz w:val="16"/>
        <w:b/>
        <w:szCs w:val="16"/>
        <w:bCs/>
        <w:rFonts w:eastAsia="Calibri" w:cs="Arial" w:ascii="Century Gothic" w:hAnsi="Century Gothic"/>
        <w:color w:val="A6A6A6"/>
      </w:rPr>
      <w:fldChar w:fldCharType="end"/>
    </w:r>
  </w:p>
  <w:p>
    <w:pPr>
      <w:pStyle w:val="Style22"/>
      <w:spacing w:before="0" w:after="200"/>
      <w:jc w:val="center"/>
      <w:rPr>
        <w:lang w:val="fr-FR"/>
      </w:rPr>
    </w:pPr>
    <w:r>
      <w:rPr>
        <w:lang w:val="fr-F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spacing w:lineRule="auto" w:line="240" w:before="60" w:after="0"/>
      <w:rPr>
        <w:rFonts w:eastAsia="" w:eastAsiaTheme="minorEastAsia"/>
        <w:b/>
        <w:b/>
        <w:bCs/>
        <w:color w:val="365F91"/>
        <w:sz w:val="16"/>
        <w:szCs w:val="16"/>
        <w:lang w:eastAsia="el-GR"/>
      </w:rPr>
    </w:pPr>
    <w:r>
      <w:rPr>
        <w:rFonts w:eastAsia="" w:eastAsiaTheme="minorEastAsia"/>
        <w:b/>
        <w:bCs/>
        <w:color w:val="365F91"/>
        <w:sz w:val="16"/>
        <w:szCs w:val="16"/>
        <w:lang w:eastAsia="el-GR"/>
      </w:rPr>
      <mc:AlternateContent>
        <mc:Choice Requires="wps">
          <w:drawing>
            <wp:anchor behindDoc="1" distT="0" distB="0" distL="114300" distR="114300" simplePos="0" locked="0" layoutInCell="0" allowOverlap="1" relativeHeight="3">
              <wp:simplePos x="0" y="0"/>
              <wp:positionH relativeFrom="column">
                <wp:posOffset>-1151890</wp:posOffset>
              </wp:positionH>
              <wp:positionV relativeFrom="paragraph">
                <wp:posOffset>-458470</wp:posOffset>
              </wp:positionV>
              <wp:extent cx="7575550" cy="10703560"/>
              <wp:effectExtent l="0" t="0" r="0" b="0"/>
              <wp:wrapNone/>
              <wp:docPr id="3" name="Rectangle 1"/>
              <a:graphic xmlns:a="http://schemas.openxmlformats.org/drawingml/2006/main">
                <a:graphicData uri="http://schemas.microsoft.com/office/word/2010/wordprocessingShape">
                  <wps:wsp>
                    <wps:cNvSpPr/>
                    <wps:nvSpPr>
                      <wps:cNvPr id="1" name="Rectangle 1"/>
                      <wps:cNvSpPr/>
                    </wps:nvSpPr>
                    <wps:spPr>
                      <a:xfrm>
                        <a:off x="0" y="0"/>
                        <a:ext cx="7574760" cy="10702800"/>
                      </a:xfrm>
                      <a:prstGeom prst="rect">
                        <a:avLst/>
                      </a:prstGeom>
                      <a:noFill/>
                      <a:ln w="0">
                        <a:noFill/>
                      </a:ln>
                    </wps:spPr>
                    <wps:bodyPr/>
                  </wps:wsp>
                </a:graphicData>
              </a:graphic>
            </wp:anchor>
          </w:drawing>
        </mc:Choice>
        <mc:Fallback>
          <w:pict>
            <v:rect id="shape_0" ID="Rectangle 1" stroked="f" style="position:absolute;margin-left:-90.7pt;margin-top:-36.1pt;width:596.4pt;height:842.7pt;mso-wrap-style:none;v-text-anchor:middle">
              <v:fill o:detectmouseclick="t" on="false"/>
              <v:stroke color="#3465a4" joinstyle="round" endcap="flat"/>
              <w10:wrap type="none"/>
            </v:rect>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yle21"/>
      <w:spacing w:before="0" w:after="20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Zero"/>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el-G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l-GR" w:eastAsia="el-GR"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39"/>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224e3"/>
    <w:pPr>
      <w:widowControl/>
      <w:bidi w:val="0"/>
      <w:spacing w:lineRule="auto" w:line="276" w:before="0" w:after="200"/>
      <w:jc w:val="left"/>
    </w:pPr>
    <w:rPr>
      <w:rFonts w:ascii="Calibri" w:hAnsi="Calibri" w:eastAsia="Calibri" w:cs="Times New Roman"/>
      <w:color w:val="auto"/>
      <w:kern w:val="0"/>
      <w:sz w:val="22"/>
      <w:szCs w:val="22"/>
      <w:lang w:eastAsia="en-US" w:val="el-GR" w:bidi="ar-SA"/>
    </w:rPr>
  </w:style>
  <w:style w:type="paragraph" w:styleId="1">
    <w:name w:val="Heading 1"/>
    <w:basedOn w:val="Normal"/>
    <w:next w:val="Normal"/>
    <w:link w:val="1Char"/>
    <w:uiPriority w:val="9"/>
    <w:qFormat/>
    <w:rsid w:val="00382b07"/>
    <w:pPr>
      <w:keepNext w:val="true"/>
      <w:keepLines/>
      <w:spacing w:before="480" w:after="0"/>
      <w:outlineLvl w:val="0"/>
    </w:pPr>
    <w:rPr>
      <w:rFonts w:ascii="Cambria" w:hAnsi="Cambria" w:eastAsia="" w:cs="" w:asciiTheme="majorHAnsi" w:cstheme="majorBidi" w:eastAsiaTheme="majorEastAsia" w:hAnsiTheme="majorHAnsi"/>
      <w:b/>
      <w:bCs/>
      <w:color w:val="365F91" w:themeColor="accent1" w:themeShade="bf"/>
      <w:sz w:val="28"/>
      <w:szCs w:val="28"/>
    </w:rPr>
  </w:style>
  <w:style w:type="paragraph" w:styleId="2">
    <w:name w:val="Heading 2"/>
    <w:basedOn w:val="Normal"/>
    <w:next w:val="Normal"/>
    <w:link w:val="2Char"/>
    <w:uiPriority w:val="9"/>
    <w:unhideWhenUsed/>
    <w:qFormat/>
    <w:rsid w:val="00bb4fde"/>
    <w:pPr>
      <w:keepNext w:val="true"/>
      <w:keepLines/>
      <w:spacing w:before="200" w:after="0"/>
      <w:outlineLvl w:val="1"/>
    </w:pPr>
    <w:rPr>
      <w:rFonts w:ascii="Cambria" w:hAnsi="Cambria" w:eastAsia="" w:cs="" w:asciiTheme="majorHAnsi" w:cstheme="majorBidi" w:eastAsiaTheme="majorEastAsia" w:hAnsiTheme="majorHAnsi"/>
      <w:b/>
      <w:bCs/>
      <w:color w:val="4F81BD" w:themeColor="accent1"/>
      <w:sz w:val="26"/>
      <w:szCs w:val="26"/>
    </w:rPr>
  </w:style>
  <w:style w:type="character" w:styleId="DefaultParagraphFont" w:default="1">
    <w:name w:val="Default Paragraph Font"/>
    <w:uiPriority w:val="1"/>
    <w:semiHidden/>
    <w:unhideWhenUsed/>
    <w:qFormat/>
    <w:rPr/>
  </w:style>
  <w:style w:type="character" w:styleId="Char" w:customStyle="1">
    <w:name w:val="Κεφαλίδα Char"/>
    <w:basedOn w:val="DefaultParagraphFont"/>
    <w:link w:val="a4"/>
    <w:uiPriority w:val="99"/>
    <w:qFormat/>
    <w:rsid w:val="008224e3"/>
    <w:rPr/>
  </w:style>
  <w:style w:type="character" w:styleId="Char1" w:customStyle="1">
    <w:name w:val="Υποσέλιδο Char"/>
    <w:basedOn w:val="DefaultParagraphFont"/>
    <w:link w:val="a5"/>
    <w:uiPriority w:val="99"/>
    <w:qFormat/>
    <w:rsid w:val="008224e3"/>
    <w:rPr/>
  </w:style>
  <w:style w:type="character" w:styleId="Char2" w:customStyle="1">
    <w:name w:val="Κείμενο πλαισίου Char"/>
    <w:basedOn w:val="DefaultParagraphFont"/>
    <w:link w:val="a6"/>
    <w:uiPriority w:val="99"/>
    <w:semiHidden/>
    <w:qFormat/>
    <w:rsid w:val="008224e3"/>
    <w:rPr>
      <w:rFonts w:ascii="Tahoma" w:hAnsi="Tahoma" w:cs="Tahoma"/>
      <w:sz w:val="16"/>
      <w:szCs w:val="16"/>
    </w:rPr>
  </w:style>
  <w:style w:type="character" w:styleId="1Char" w:customStyle="1">
    <w:name w:val="Επικεφαλίδα 1 Char"/>
    <w:basedOn w:val="DefaultParagraphFont"/>
    <w:link w:val="1"/>
    <w:uiPriority w:val="9"/>
    <w:qFormat/>
    <w:rsid w:val="00382b07"/>
    <w:rPr>
      <w:rFonts w:ascii="Cambria" w:hAnsi="Cambria" w:eastAsia="" w:cs="" w:asciiTheme="majorHAnsi" w:cstheme="majorBidi" w:eastAsiaTheme="majorEastAsia" w:hAnsiTheme="majorHAnsi"/>
      <w:b/>
      <w:bCs/>
      <w:color w:val="365F91" w:themeColor="accent1" w:themeShade="bf"/>
      <w:sz w:val="28"/>
      <w:szCs w:val="28"/>
      <w:lang w:eastAsia="en-US"/>
    </w:rPr>
  </w:style>
  <w:style w:type="character" w:styleId="2Char" w:customStyle="1">
    <w:name w:val="Επικεφαλίδα 2 Char"/>
    <w:basedOn w:val="DefaultParagraphFont"/>
    <w:link w:val="2"/>
    <w:uiPriority w:val="9"/>
    <w:qFormat/>
    <w:rsid w:val="00bb4fde"/>
    <w:rPr>
      <w:rFonts w:ascii="Cambria" w:hAnsi="Cambria" w:eastAsia="" w:cs="" w:asciiTheme="majorHAnsi" w:cstheme="majorBidi" w:eastAsiaTheme="majorEastAsia" w:hAnsiTheme="majorHAnsi"/>
      <w:b/>
      <w:bCs/>
      <w:color w:val="4F81BD" w:themeColor="accent1"/>
      <w:sz w:val="26"/>
      <w:szCs w:val="26"/>
      <w:lang w:eastAsia="en-US"/>
    </w:rPr>
  </w:style>
  <w:style w:type="character" w:styleId="Style12">
    <w:name w:val="Σύνδεσμος διαδικτύου"/>
    <w:basedOn w:val="DefaultParagraphFont"/>
    <w:uiPriority w:val="99"/>
    <w:unhideWhenUsed/>
    <w:rsid w:val="00967e3e"/>
    <w:rPr>
      <w:color w:val="0000FF" w:themeColor="hyperlink"/>
      <w:u w:val="single"/>
    </w:rPr>
  </w:style>
  <w:style w:type="character" w:styleId="Char3" w:customStyle="1">
    <w:name w:val="Χωρίς διάστιχο Char"/>
    <w:basedOn w:val="DefaultParagraphFont"/>
    <w:link w:val="aa"/>
    <w:uiPriority w:val="1"/>
    <w:qFormat/>
    <w:rsid w:val="00f43929"/>
    <w:rPr>
      <w:rFonts w:ascii="Calibri" w:hAnsi="Calibri" w:eastAsia="" w:cs="" w:asciiTheme="minorHAnsi" w:cstheme="minorBidi" w:eastAsiaTheme="minorEastAsia" w:hAnsiTheme="minorHAnsi"/>
      <w:sz w:val="22"/>
      <w:szCs w:val="22"/>
      <w:lang w:eastAsia="en-US"/>
    </w:rPr>
  </w:style>
  <w:style w:type="character" w:styleId="Style13">
    <w:name w:val="Αναγνωσμένος δεσμός διαδικτύου"/>
    <w:basedOn w:val="DefaultParagraphFont"/>
    <w:uiPriority w:val="99"/>
    <w:semiHidden/>
    <w:unhideWhenUsed/>
    <w:rsid w:val="00cd7d14"/>
    <w:rPr>
      <w:color w:val="800080"/>
      <w:u w:val="single"/>
    </w:rPr>
  </w:style>
  <w:style w:type="character" w:styleId="Annotationreference">
    <w:name w:val="annotation reference"/>
    <w:basedOn w:val="DefaultParagraphFont"/>
    <w:uiPriority w:val="99"/>
    <w:semiHidden/>
    <w:unhideWhenUsed/>
    <w:qFormat/>
    <w:rsid w:val="00bc0235"/>
    <w:rPr>
      <w:sz w:val="16"/>
      <w:szCs w:val="16"/>
    </w:rPr>
  </w:style>
  <w:style w:type="character" w:styleId="Char4" w:customStyle="1">
    <w:name w:val="Κείμενο σχολίου Char"/>
    <w:basedOn w:val="DefaultParagraphFont"/>
    <w:link w:val="ac"/>
    <w:uiPriority w:val="99"/>
    <w:semiHidden/>
    <w:qFormat/>
    <w:rsid w:val="00bc0235"/>
    <w:rPr>
      <w:lang w:eastAsia="en-US"/>
    </w:rPr>
  </w:style>
  <w:style w:type="character" w:styleId="Char5" w:customStyle="1">
    <w:name w:val="Θέμα σχολίου Char"/>
    <w:basedOn w:val="Char4"/>
    <w:link w:val="ad"/>
    <w:uiPriority w:val="99"/>
    <w:semiHidden/>
    <w:qFormat/>
    <w:rsid w:val="00bc0235"/>
    <w:rPr>
      <w:b/>
      <w:bCs/>
      <w:lang w:eastAsia="en-US"/>
    </w:rPr>
  </w:style>
  <w:style w:type="character" w:styleId="Style14">
    <w:name w:val="Σύνδεση ευρετηρίου"/>
    <w:qFormat/>
    <w:rPr/>
  </w:style>
  <w:style w:type="paragraph" w:styleId="Style15">
    <w:name w:val="Επικεφαλίδα"/>
    <w:basedOn w:val="Normal"/>
    <w:next w:val="Style16"/>
    <w:qFormat/>
    <w:pPr>
      <w:keepNext w:val="true"/>
      <w:spacing w:before="240" w:after="120"/>
    </w:pPr>
    <w:rPr>
      <w:rFonts w:ascii="Liberation Sans" w:hAnsi="Liberation Sans" w:eastAsia="Microsoft YaHei" w:cs="Ari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Ευρετήριο"/>
    <w:basedOn w:val="Normal"/>
    <w:qFormat/>
    <w:pPr>
      <w:suppressLineNumbers/>
    </w:pPr>
    <w:rPr>
      <w:rFonts w:cs="Arial"/>
    </w:rPr>
  </w:style>
  <w:style w:type="paragraph" w:styleId="Default" w:customStyle="1">
    <w:name w:val="Default"/>
    <w:qFormat/>
    <w:rsid w:val="008224e3"/>
    <w:pPr>
      <w:widowControl/>
      <w:bidi w:val="0"/>
      <w:spacing w:before="0" w:after="0"/>
      <w:jc w:val="left"/>
    </w:pPr>
    <w:rPr>
      <w:rFonts w:ascii="Verdana" w:hAnsi="Verdana" w:cs="Verdana" w:eastAsia="Calibri"/>
      <w:color w:val="000000"/>
      <w:kern w:val="0"/>
      <w:sz w:val="24"/>
      <w:szCs w:val="24"/>
      <w:lang w:eastAsia="en-US" w:val="el-GR" w:bidi="ar-SA"/>
    </w:rPr>
  </w:style>
  <w:style w:type="paragraph" w:styleId="Style20">
    <w:name w:val="Κεφαλίδα και υποσέλιδο"/>
    <w:basedOn w:val="Normal"/>
    <w:qFormat/>
    <w:pPr/>
    <w:rPr/>
  </w:style>
  <w:style w:type="paragraph" w:styleId="Style21">
    <w:name w:val="Header"/>
    <w:basedOn w:val="Normal"/>
    <w:link w:val="Char"/>
    <w:uiPriority w:val="99"/>
    <w:unhideWhenUsed/>
    <w:rsid w:val="008224e3"/>
    <w:pPr>
      <w:tabs>
        <w:tab w:val="clear" w:pos="720"/>
        <w:tab w:val="center" w:pos="4153" w:leader="none"/>
        <w:tab w:val="right" w:pos="8306" w:leader="none"/>
      </w:tabs>
    </w:pPr>
    <w:rPr/>
  </w:style>
  <w:style w:type="paragraph" w:styleId="Style22">
    <w:name w:val="Footer"/>
    <w:basedOn w:val="Normal"/>
    <w:link w:val="Char0"/>
    <w:uiPriority w:val="99"/>
    <w:unhideWhenUsed/>
    <w:rsid w:val="008224e3"/>
    <w:pPr>
      <w:tabs>
        <w:tab w:val="clear" w:pos="720"/>
        <w:tab w:val="center" w:pos="4153" w:leader="none"/>
        <w:tab w:val="right" w:pos="8306" w:leader="none"/>
      </w:tabs>
    </w:pPr>
    <w:rPr/>
  </w:style>
  <w:style w:type="paragraph" w:styleId="BalloonText">
    <w:name w:val="Balloon Text"/>
    <w:basedOn w:val="Normal"/>
    <w:link w:val="Char1"/>
    <w:uiPriority w:val="99"/>
    <w:semiHidden/>
    <w:unhideWhenUsed/>
    <w:qFormat/>
    <w:rsid w:val="008224e3"/>
    <w:pPr>
      <w:spacing w:lineRule="auto" w:line="240" w:before="0" w:after="0"/>
    </w:pPr>
    <w:rPr>
      <w:rFonts w:ascii="Tahoma" w:hAnsi="Tahoma" w:cs="Tahoma"/>
      <w:sz w:val="16"/>
      <w:szCs w:val="16"/>
    </w:rPr>
  </w:style>
  <w:style w:type="paragraph" w:styleId="ListParagraph">
    <w:name w:val="List Paragraph"/>
    <w:basedOn w:val="Normal"/>
    <w:uiPriority w:val="34"/>
    <w:qFormat/>
    <w:rsid w:val="00382b07"/>
    <w:pPr>
      <w:spacing w:before="0" w:after="200"/>
      <w:ind w:left="720" w:hanging="0"/>
      <w:contextualSpacing/>
    </w:pPr>
    <w:rPr/>
  </w:style>
  <w:style w:type="paragraph" w:styleId="TOCHeading">
    <w:name w:val="TOC Heading"/>
    <w:basedOn w:val="1"/>
    <w:next w:val="Normal"/>
    <w:uiPriority w:val="39"/>
    <w:unhideWhenUsed/>
    <w:qFormat/>
    <w:rsid w:val="00967e3e"/>
    <w:pPr/>
    <w:rPr/>
  </w:style>
  <w:style w:type="paragraph" w:styleId="11">
    <w:name w:val="TOC 1"/>
    <w:basedOn w:val="Normal"/>
    <w:next w:val="Normal"/>
    <w:autoRedefine/>
    <w:uiPriority w:val="39"/>
    <w:unhideWhenUsed/>
    <w:rsid w:val="00967e3e"/>
    <w:pPr>
      <w:spacing w:before="0" w:after="100"/>
    </w:pPr>
    <w:rPr/>
  </w:style>
  <w:style w:type="paragraph" w:styleId="21">
    <w:name w:val="TOC 2"/>
    <w:basedOn w:val="Normal"/>
    <w:next w:val="Normal"/>
    <w:autoRedefine/>
    <w:uiPriority w:val="39"/>
    <w:unhideWhenUsed/>
    <w:rsid w:val="00967e3e"/>
    <w:pPr>
      <w:spacing w:before="0" w:after="100"/>
      <w:ind w:left="220" w:hanging="0"/>
    </w:pPr>
    <w:rPr/>
  </w:style>
  <w:style w:type="paragraph" w:styleId="Caption">
    <w:name w:val="caption"/>
    <w:basedOn w:val="Normal"/>
    <w:next w:val="Normal"/>
    <w:uiPriority w:val="35"/>
    <w:unhideWhenUsed/>
    <w:qFormat/>
    <w:rsid w:val="00793822"/>
    <w:pPr>
      <w:spacing w:lineRule="auto" w:line="240"/>
    </w:pPr>
    <w:rPr>
      <w:b/>
      <w:bCs/>
      <w:color w:val="4F81BD" w:themeColor="accent1"/>
      <w:sz w:val="18"/>
      <w:szCs w:val="18"/>
    </w:rPr>
  </w:style>
  <w:style w:type="paragraph" w:styleId="NoSpacing">
    <w:name w:val="No Spacing"/>
    <w:link w:val="Char2"/>
    <w:uiPriority w:val="1"/>
    <w:qFormat/>
    <w:rsid w:val="00f43929"/>
    <w:pPr>
      <w:widowControl/>
      <w:bidi w:val="0"/>
      <w:spacing w:before="0" w:after="0"/>
      <w:jc w:val="left"/>
    </w:pPr>
    <w:rPr>
      <w:rFonts w:ascii="Calibri" w:hAnsi="Calibri" w:eastAsia="" w:cs="" w:asciiTheme="minorHAnsi" w:cstheme="minorBidi" w:eastAsiaTheme="minorEastAsia" w:hAnsiTheme="minorHAnsi"/>
      <w:color w:val="auto"/>
      <w:kern w:val="0"/>
      <w:sz w:val="22"/>
      <w:szCs w:val="22"/>
      <w:lang w:eastAsia="en-US" w:val="el-GR" w:bidi="ar-SA"/>
    </w:rPr>
  </w:style>
  <w:style w:type="paragraph" w:styleId="Xl65" w:customStyle="1">
    <w:name w:val="xl65"/>
    <w:basedOn w:val="Normal"/>
    <w:qFormat/>
    <w:rsid w:val="00cd7d14"/>
    <w:pPr>
      <w:pBdr>
        <w:top w:val="single" w:sz="4" w:space="0" w:color="000000"/>
        <w:left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b/>
      <w:bCs/>
      <w:sz w:val="24"/>
      <w:szCs w:val="24"/>
      <w:lang w:eastAsia="el-GR"/>
    </w:rPr>
  </w:style>
  <w:style w:type="paragraph" w:styleId="Xl66" w:customStyle="1">
    <w:name w:val="xl66"/>
    <w:basedOn w:val="Normal"/>
    <w:qFormat/>
    <w:rsid w:val="00cd7d14"/>
    <w:pPr>
      <w:spacing w:lineRule="auto" w:line="240" w:beforeAutospacing="1" w:afterAutospacing="1"/>
    </w:pPr>
    <w:rPr>
      <w:rFonts w:ascii="Times New Roman" w:hAnsi="Times New Roman" w:eastAsia="Times New Roman"/>
      <w:b/>
      <w:bCs/>
      <w:sz w:val="24"/>
      <w:szCs w:val="24"/>
      <w:lang w:eastAsia="el-GR"/>
    </w:rPr>
  </w:style>
  <w:style w:type="paragraph" w:styleId="Xl67" w:customStyle="1">
    <w:name w:val="xl67"/>
    <w:basedOn w:val="Normal"/>
    <w:qFormat/>
    <w:rsid w:val="00cd7d14"/>
    <w:pPr>
      <w:pBdr>
        <w:top w:val="single" w:sz="4" w:space="0" w:color="000000"/>
        <w:left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b/>
      <w:bCs/>
      <w:sz w:val="24"/>
      <w:szCs w:val="24"/>
      <w:lang w:eastAsia="el-GR"/>
    </w:rPr>
  </w:style>
  <w:style w:type="paragraph" w:styleId="Xl68" w:customStyle="1">
    <w:name w:val="xl68"/>
    <w:basedOn w:val="Normal"/>
    <w:qFormat/>
    <w:rsid w:val="00cd7d14"/>
    <w:pPr>
      <w:pBdr>
        <w:top w:val="single" w:sz="4" w:space="0" w:color="000000"/>
        <w:left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sz w:val="24"/>
      <w:szCs w:val="24"/>
      <w:lang w:eastAsia="el-GR"/>
    </w:rPr>
  </w:style>
  <w:style w:type="paragraph" w:styleId="Xl69" w:customStyle="1">
    <w:name w:val="xl69"/>
    <w:basedOn w:val="Normal"/>
    <w:qFormat/>
    <w:rsid w:val="00cd7d14"/>
    <w:pPr>
      <w:pBdr>
        <w:top w:val="single" w:sz="4" w:space="0" w:color="000000"/>
        <w:left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sz w:val="24"/>
      <w:szCs w:val="24"/>
      <w:lang w:eastAsia="el-GR"/>
    </w:rPr>
  </w:style>
  <w:style w:type="paragraph" w:styleId="Xl70" w:customStyle="1">
    <w:name w:val="xl70"/>
    <w:basedOn w:val="Normal"/>
    <w:qFormat/>
    <w:rsid w:val="00cd7d14"/>
    <w:pPr>
      <w:pBdr>
        <w:top w:val="single" w:sz="4" w:space="0" w:color="000000"/>
        <w:left w:val="single" w:sz="4" w:space="0" w:color="000000"/>
        <w:bottom w:val="single" w:sz="4" w:space="0" w:color="000000"/>
        <w:right w:val="single" w:sz="4" w:space="0" w:color="000000"/>
      </w:pBdr>
      <w:spacing w:lineRule="auto" w:line="240" w:beforeAutospacing="1" w:afterAutospacing="1"/>
    </w:pPr>
    <w:rPr>
      <w:rFonts w:ascii="Times New Roman" w:hAnsi="Times New Roman" w:eastAsia="Times New Roman"/>
      <w:b/>
      <w:bCs/>
      <w:sz w:val="24"/>
      <w:szCs w:val="24"/>
      <w:lang w:eastAsia="el-GR"/>
    </w:rPr>
  </w:style>
  <w:style w:type="paragraph" w:styleId="Annotationtext">
    <w:name w:val="annotation text"/>
    <w:basedOn w:val="Normal"/>
    <w:link w:val="Char3"/>
    <w:uiPriority w:val="99"/>
    <w:semiHidden/>
    <w:unhideWhenUsed/>
    <w:qFormat/>
    <w:rsid w:val="00bc0235"/>
    <w:pPr>
      <w:spacing w:lineRule="auto" w:line="240"/>
    </w:pPr>
    <w:rPr>
      <w:sz w:val="20"/>
      <w:szCs w:val="20"/>
    </w:rPr>
  </w:style>
  <w:style w:type="paragraph" w:styleId="Annotationsubject">
    <w:name w:val="annotation subject"/>
    <w:basedOn w:val="Annotationtext"/>
    <w:next w:val="Annotationtext"/>
    <w:link w:val="Char4"/>
    <w:uiPriority w:val="99"/>
    <w:semiHidden/>
    <w:unhideWhenUsed/>
    <w:qFormat/>
    <w:rsid w:val="00bc0235"/>
    <w:pPr/>
    <w:rPr>
      <w:b/>
      <w:bCs/>
    </w:rPr>
  </w:style>
  <w:style w:type="paragraph" w:styleId="NormalWeb">
    <w:name w:val="Normal (Web)"/>
    <w:basedOn w:val="Normal"/>
    <w:uiPriority w:val="99"/>
    <w:semiHidden/>
    <w:unhideWhenUsed/>
    <w:qFormat/>
    <w:rsid w:val="00b305c6"/>
    <w:pPr>
      <w:spacing w:lineRule="auto" w:line="240" w:beforeAutospacing="1" w:afterAutospacing="1"/>
    </w:pPr>
    <w:rPr>
      <w:rFonts w:ascii="Times New Roman" w:hAnsi="Times New Roman" w:eastAsia="" w:eastAsiaTheme="minorEastAsia"/>
      <w:sz w:val="24"/>
      <w:szCs w:val="24"/>
      <w:lang w:eastAsia="el-GR"/>
    </w:rPr>
  </w:style>
  <w:style w:type="paragraph" w:styleId="Style23">
    <w:name w:val="Περιεχόμενα πλαισίου"/>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 w:type="table" w:styleId="a3">
    <w:name w:val="Table Grid"/>
    <w:basedOn w:val="a1"/>
    <w:uiPriority w:val="39"/>
    <w:rsid w:val="008224e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11">
    <w:name w:val="Μεσαία σκίαση 1 - ΄Εμφαση 11"/>
    <w:basedOn w:val="a1"/>
    <w:uiPriority w:val="63"/>
    <w:rsid w:val="00b306ca"/>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png"/><Relationship Id="rId4" Type="http://schemas.microsoft.com/office/2007/relationships/hdphoto" Target="media/hdphoto1.wdp"/><Relationship Id="rId5" Type="http://schemas.openxmlformats.org/officeDocument/2006/relationships/image" Target="media/image3.pn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chart" Target="charts/chart1.xml"/><Relationship Id="rId9" Type="http://schemas.openxmlformats.org/officeDocument/2006/relationships/chart" Target="charts/chart2.xml"/><Relationship Id="rId10" Type="http://schemas.openxmlformats.org/officeDocument/2006/relationships/chart" Target="charts/chart3.xml"/><Relationship Id="rId11" Type="http://schemas.openxmlformats.org/officeDocument/2006/relationships/header" Target="header2.xml"/><Relationship Id="rId12" Type="http://schemas.openxmlformats.org/officeDocument/2006/relationships/footer" Target="footer2.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charts/_rels/chart2.xml.rels><?xml version="1.0" encoding="UTF-8"?>
<Relationships xmlns="http://schemas.openxmlformats.org/package/2006/relationships"><Relationship Id="rId1" Type="http://schemas.openxmlformats.org/officeDocument/2006/relationships/package" Target="../embeddings/___________________Microsoft_Office_Excel1.xlsx"/>
</Relationships>
</file>

<file path=word/charts/chart1.xml><?xml version="1.0" encoding="utf-8"?>
<c:chartSpace xmlns:c="http://schemas.openxmlformats.org/drawingml/2006/chart" xmlns:a="http://schemas.openxmlformats.org/drawingml/2006/main" xmlns:r="http://schemas.openxmlformats.org/officeDocument/2006/relationships">
  <c:lang val="en-US"/>
  <c:roundedCorners val="0"/>
  <c:chart>
    <c:autoTitleDeleted val="1"/>
    <c:plotArea>
      <c:layout>
        <c:manualLayout>
          <c:layoutTarget val="inner"/>
          <c:xMode val="edge"/>
          <c:yMode val="edge"/>
          <c:x val="0.110625"/>
          <c:y val="0.159111111111111"/>
          <c:w val="0.889375"/>
          <c:h val="0.610333333333333"/>
        </c:manualLayout>
      </c:layout>
      <c:lineChart>
        <c:grouping val="standard"/>
        <c:varyColors val="0"/>
        <c:ser>
          <c:idx val="0"/>
          <c:order val="0"/>
          <c:tx>
            <c:strRef>
              <c:f>label 0</c:f>
              <c:strCache>
                <c:ptCount val="1"/>
                <c:pt idx="0">
                  <c:v>2019</c:v>
                </c:pt>
              </c:strCache>
            </c:strRef>
          </c:tx>
          <c:spPr>
            <a:solidFill>
              <a:srgbClr val="4f81bd"/>
            </a:solidFill>
            <a:ln cap="rnd" w="28440">
              <a:solidFill>
                <a:srgbClr val="4f81bd"/>
              </a:solidFill>
              <a:round/>
            </a:ln>
          </c:spPr>
          <c:marker>
            <c:symbol val="none"/>
          </c:marker>
          <c:dLbls>
            <c:txPr>
              <a:bodyPr wrap="none"/>
              <a:lstStyle/>
              <a:p>
                <a:pPr>
                  <a:defRPr b="0" sz="1000" spc="-1" strike="noStrike">
                    <a:latin typeface="Arial"/>
                  </a:defRPr>
                </a:pPr>
              </a:p>
            </c:txPr>
            <c:showLegendKey val="0"/>
            <c:showVal val="0"/>
            <c:showCatName val="0"/>
            <c:showSerName val="0"/>
            <c:showPercent val="0"/>
            <c:separator> </c:separator>
            <c:showLeaderLines val="0"/>
            <c:extLst>
              <c:ext xmlns:c15="http://schemas.microsoft.com/office/drawing/2012/chart" uri="{CE6537A1-D6FC-4f65-9D91-7224C49458BB}">
                <c15:showLeaderLines val="1"/>
              </c:ext>
            </c:extLst>
          </c:dLbls>
          <c:cat>
            <c:strRef>
              <c:f>categories</c:f>
              <c:strCache>
                <c:ptCount val="12"/>
                <c:pt idx="0">
                  <c:v>Ιανουάριος</c:v>
                </c:pt>
                <c:pt idx="1">
                  <c:v>Φεβρουάριος</c:v>
                </c:pt>
                <c:pt idx="2">
                  <c:v>Μάρτιος</c:v>
                </c:pt>
                <c:pt idx="3">
                  <c:v>Απρίλιος</c:v>
                </c:pt>
                <c:pt idx="4">
                  <c:v>Μάιος</c:v>
                </c:pt>
                <c:pt idx="5">
                  <c:v>Ιούνιος</c:v>
                </c:pt>
                <c:pt idx="6">
                  <c:v>Ιούλιος</c:v>
                </c:pt>
                <c:pt idx="7">
                  <c:v>Αύγουστος</c:v>
                </c:pt>
                <c:pt idx="8">
                  <c:v>Σεπτέμβριος</c:v>
                </c:pt>
                <c:pt idx="9">
                  <c:v>Οκτώβριος</c:v>
                </c:pt>
                <c:pt idx="10">
                  <c:v>Νοέμβριος</c:v>
                </c:pt>
                <c:pt idx="11">
                  <c:v>Δεκέμβριος</c:v>
                </c:pt>
              </c:strCache>
            </c:strRef>
          </c:cat>
          <c:val>
            <c:numRef>
              <c:f>0</c:f>
              <c:numCache>
                <c:formatCode>General</c:formatCode>
                <c:ptCount val="12"/>
                <c:pt idx="0">
                  <c:v>11643</c:v>
                </c:pt>
                <c:pt idx="1">
                  <c:v>9904</c:v>
                </c:pt>
                <c:pt idx="2">
                  <c:v>10827</c:v>
                </c:pt>
                <c:pt idx="3">
                  <c:v>10633</c:v>
                </c:pt>
                <c:pt idx="4">
                  <c:v>9599</c:v>
                </c:pt>
                <c:pt idx="5">
                  <c:v>9536</c:v>
                </c:pt>
                <c:pt idx="6">
                  <c:v>9859</c:v>
                </c:pt>
                <c:pt idx="7">
                  <c:v>6334</c:v>
                </c:pt>
                <c:pt idx="8">
                  <c:v>9756</c:v>
                </c:pt>
                <c:pt idx="9">
                  <c:v>10879</c:v>
                </c:pt>
                <c:pt idx="10">
                  <c:v>11806</c:v>
                </c:pt>
                <c:pt idx="11">
                  <c:v>12548</c:v>
                </c:pt>
              </c:numCache>
            </c:numRef>
          </c:val>
          <c:smooth val="0"/>
        </c:ser>
        <c:ser>
          <c:idx val="1"/>
          <c:order val="1"/>
          <c:tx>
            <c:strRef>
              <c:f>label 1</c:f>
              <c:strCache>
                <c:ptCount val="1"/>
                <c:pt idx="0">
                  <c:v>2020</c:v>
                </c:pt>
              </c:strCache>
            </c:strRef>
          </c:tx>
          <c:spPr>
            <a:solidFill>
              <a:srgbClr val="c0504d"/>
            </a:solidFill>
            <a:ln cap="rnd" w="28440">
              <a:solidFill>
                <a:srgbClr val="c0504d"/>
              </a:solidFill>
              <a:round/>
            </a:ln>
          </c:spPr>
          <c:marker>
            <c:symbol val="none"/>
          </c:marker>
          <c:dPt>
            <c:idx val="0"/>
            <c:marker>
              <c:symbol val="none"/>
            </c:marker>
          </c:dPt>
          <c:dPt>
            <c:idx val="3"/>
            <c:marker>
              <c:symbol val="none"/>
            </c:marker>
          </c:dPt>
          <c:dPt>
            <c:idx val="6"/>
            <c:marker>
              <c:symbol val="none"/>
            </c:marker>
          </c:dPt>
          <c:dPt>
            <c:idx val="7"/>
            <c:marker>
              <c:symbol val="none"/>
            </c:marker>
          </c:dPt>
          <c:dPt>
            <c:idx val="8"/>
            <c:marker>
              <c:symbol val="none"/>
            </c:marker>
          </c:dPt>
          <c:dLbls>
            <c:numFmt formatCode="#,##0" sourceLinked="0"/>
            <c:dLbl>
              <c:idx val="0"/>
              <c:layout>
                <c:manualLayout>
                  <c:x val="-0.0102761721258831"/>
                  <c:y val="-0.0267737617135208"/>
                </c:manualLayout>
              </c:layout>
              <c:numFmt formatCode="#,##0" sourceLinked="0"/>
              <c:txPr>
                <a:bodyPr wrap="square"/>
                <a:lstStyle/>
                <a:p>
                  <a:pPr>
                    <a:defRPr b="1" sz="700" spc="-1" strike="noStrike">
                      <a:solidFill>
                        <a:srgbClr val="000000"/>
                      </a:solidFill>
                      <a:latin typeface="Calibri"/>
                    </a:defRPr>
                  </a:pPr>
                </a:p>
              </c:txPr>
              <c:dLblPos val="r"/>
              <c:showLegendKey val="0"/>
              <c:showVal val="1"/>
              <c:showCatName val="0"/>
              <c:showSerName val="0"/>
              <c:showPercent val="0"/>
              <c:separator>; </c:separator>
            </c:dLbl>
            <c:dLbl>
              <c:idx val="3"/>
              <c:layout>
                <c:manualLayout>
                  <c:x val="0.00256805341551104"/>
                  <c:y val="0"/>
                </c:manualLayout>
              </c:layout>
              <c:numFmt formatCode="#,##0" sourceLinked="0"/>
              <c:txPr>
                <a:bodyPr wrap="square"/>
                <a:lstStyle/>
                <a:p>
                  <a:pPr>
                    <a:defRPr b="1" sz="700" spc="-1" strike="noStrike">
                      <a:solidFill>
                        <a:srgbClr val="000000"/>
                      </a:solidFill>
                      <a:latin typeface="Calibri"/>
                    </a:defRPr>
                  </a:pPr>
                </a:p>
              </c:txPr>
              <c:dLblPos val="r"/>
              <c:showLegendKey val="0"/>
              <c:showVal val="1"/>
              <c:showCatName val="0"/>
              <c:showSerName val="0"/>
              <c:showPercent val="0"/>
              <c:separator>; </c:separator>
            </c:dLbl>
            <c:dLbl>
              <c:idx val="6"/>
              <c:layout>
                <c:manualLayout>
                  <c:x val="-0.0102761721258831"/>
                  <c:y val="-0.0107095046854084"/>
                </c:manualLayout>
              </c:layout>
              <c:numFmt formatCode="#,##0" sourceLinked="0"/>
              <c:txPr>
                <a:bodyPr wrap="square"/>
                <a:lstStyle/>
                <a:p>
                  <a:pPr>
                    <a:defRPr b="1" sz="700" spc="-1" strike="noStrike">
                      <a:solidFill>
                        <a:srgbClr val="000000"/>
                      </a:solidFill>
                      <a:latin typeface="Calibri"/>
                    </a:defRPr>
                  </a:pPr>
                </a:p>
              </c:txPr>
              <c:dLblPos val="r"/>
              <c:showLegendKey val="0"/>
              <c:showVal val="1"/>
              <c:showCatName val="0"/>
              <c:showSerName val="0"/>
              <c:showPercent val="0"/>
              <c:separator>; </c:separator>
            </c:dLbl>
            <c:dLbl>
              <c:idx val="7"/>
              <c:layout>
                <c:manualLayout>
                  <c:x val="-0.010276374412736"/>
                  <c:y val="-0.0160642570281125"/>
                </c:manualLayout>
              </c:layout>
              <c:numFmt formatCode="#,##0" sourceLinked="0"/>
              <c:txPr>
                <a:bodyPr wrap="square"/>
                <a:lstStyle/>
                <a:p>
                  <a:pPr>
                    <a:defRPr b="1" sz="700" spc="-1" strike="noStrike">
                      <a:solidFill>
                        <a:srgbClr val="000000"/>
                      </a:solidFill>
                      <a:latin typeface="Calibri"/>
                    </a:defRPr>
                  </a:pPr>
                </a:p>
              </c:txPr>
              <c:dLblPos val="r"/>
              <c:showLegendKey val="0"/>
              <c:showVal val="1"/>
              <c:showCatName val="0"/>
              <c:showSerName val="0"/>
              <c:showPercent val="0"/>
              <c:separator>; </c:separator>
            </c:dLbl>
            <c:dLbl>
              <c:idx val="8"/>
              <c:layout>
                <c:manualLayout>
                  <c:x val="-0.0154142581888247"/>
                  <c:y val="0"/>
                </c:manualLayout>
              </c:layout>
              <c:numFmt formatCode="#,##0" sourceLinked="0"/>
              <c:txPr>
                <a:bodyPr wrap="square"/>
                <a:lstStyle/>
                <a:p>
                  <a:pPr>
                    <a:defRPr b="1" sz="700" spc="-1" strike="noStrike">
                      <a:solidFill>
                        <a:srgbClr val="000000"/>
                      </a:solidFill>
                      <a:latin typeface="Calibri"/>
                    </a:defRPr>
                  </a:pPr>
                </a:p>
              </c:txPr>
              <c:dLblPos val="r"/>
              <c:showLegendKey val="0"/>
              <c:showVal val="1"/>
              <c:showCatName val="0"/>
              <c:showSerName val="0"/>
              <c:showPercent val="0"/>
              <c:separator>; </c:separator>
            </c:dLbl>
            <c:txPr>
              <a:bodyPr wrap="square"/>
              <a:lstStyle/>
              <a:p>
                <a:pPr>
                  <a:defRPr b="1" sz="700" spc="-1" strike="noStrike">
                    <a:solidFill>
                      <a:srgbClr val="000000"/>
                    </a:solidFill>
                    <a:latin typeface="Calibri"/>
                  </a:defRPr>
                </a:pPr>
              </a:p>
            </c:txPr>
            <c:dLblPos val="r"/>
            <c:showLegendKey val="0"/>
            <c:showVal val="1"/>
            <c:showCatName val="0"/>
            <c:showSerName val="0"/>
            <c:showPercent val="0"/>
            <c:separator>; </c:separator>
            <c:showLeaderLines val="0"/>
            <c:extLst>
              <c:ext xmlns:c15="http://schemas.microsoft.com/office/drawing/2012/chart" uri="{CE6537A1-D6FC-4f65-9D91-7224C49458BB}">
                <c15:showLeaderLines val="1"/>
              </c:ext>
            </c:extLst>
          </c:dLbls>
          <c:cat>
            <c:strRef>
              <c:f>categories</c:f>
              <c:strCache>
                <c:ptCount val="12"/>
                <c:pt idx="0">
                  <c:v>Ιανουάριος</c:v>
                </c:pt>
                <c:pt idx="1">
                  <c:v>Φεβρουάριος</c:v>
                </c:pt>
                <c:pt idx="2">
                  <c:v>Μάρτιος</c:v>
                </c:pt>
                <c:pt idx="3">
                  <c:v>Απρίλιος</c:v>
                </c:pt>
                <c:pt idx="4">
                  <c:v>Μάιος</c:v>
                </c:pt>
                <c:pt idx="5">
                  <c:v>Ιούνιος</c:v>
                </c:pt>
                <c:pt idx="6">
                  <c:v>Ιούλιος</c:v>
                </c:pt>
                <c:pt idx="7">
                  <c:v>Αύγουστος</c:v>
                </c:pt>
                <c:pt idx="8">
                  <c:v>Σεπτέμβριος</c:v>
                </c:pt>
                <c:pt idx="9">
                  <c:v>Οκτώβριος</c:v>
                </c:pt>
                <c:pt idx="10">
                  <c:v>Νοέμβριος</c:v>
                </c:pt>
                <c:pt idx="11">
                  <c:v>Δεκέμβριος</c:v>
                </c:pt>
              </c:strCache>
            </c:strRef>
          </c:cat>
          <c:val>
            <c:numRef>
              <c:f>1</c:f>
              <c:numCache>
                <c:formatCode>General</c:formatCode>
                <c:ptCount val="12"/>
                <c:pt idx="0">
                  <c:v>13515</c:v>
                </c:pt>
                <c:pt idx="1">
                  <c:v>13506</c:v>
                </c:pt>
                <c:pt idx="2">
                  <c:v>8664</c:v>
                </c:pt>
                <c:pt idx="3">
                  <c:v>7071</c:v>
                </c:pt>
                <c:pt idx="4">
                  <c:v>9163</c:v>
                </c:pt>
                <c:pt idx="5">
                  <c:v>12170</c:v>
                </c:pt>
                <c:pt idx="6">
                  <c:v>15695</c:v>
                </c:pt>
                <c:pt idx="7">
                  <c:v>10136</c:v>
                </c:pt>
                <c:pt idx="8">
                  <c:v>19632</c:v>
                </c:pt>
              </c:numCache>
            </c:numRef>
          </c:val>
          <c:smooth val="0"/>
        </c:ser>
        <c:hiLowLines>
          <c:spPr>
            <a:ln w="0">
              <a:noFill/>
            </a:ln>
          </c:spPr>
        </c:hiLowLines>
        <c:marker val="0"/>
        <c:axId val="6141144"/>
        <c:axId val="14935505"/>
      </c:lineChart>
      <c:catAx>
        <c:axId val="6141144"/>
        <c:scaling>
          <c:orientation val="minMax"/>
        </c:scaling>
        <c:delete val="0"/>
        <c:axPos val="b"/>
        <c:numFmt formatCode="General" sourceLinked="0"/>
        <c:majorTickMark val="none"/>
        <c:minorTickMark val="none"/>
        <c:tickLblPos val="nextTo"/>
        <c:spPr>
          <a:ln w="9360">
            <a:solidFill>
              <a:srgbClr val="d9d9d9"/>
            </a:solidFill>
            <a:round/>
          </a:ln>
        </c:spPr>
        <c:txPr>
          <a:bodyPr/>
          <a:lstStyle/>
          <a:p>
            <a:pPr>
              <a:defRPr b="1" sz="800" spc="-1" strike="noStrike">
                <a:solidFill>
                  <a:srgbClr val="595959"/>
                </a:solidFill>
                <a:latin typeface="Calibri"/>
              </a:defRPr>
            </a:pPr>
          </a:p>
        </c:txPr>
        <c:crossAx val="14935505"/>
        <c:crosses val="autoZero"/>
        <c:auto val="1"/>
        <c:lblAlgn val="ctr"/>
        <c:lblOffset val="100"/>
        <c:noMultiLvlLbl val="0"/>
      </c:catAx>
      <c:valAx>
        <c:axId val="14935505"/>
        <c:scaling>
          <c:orientation val="minMax"/>
        </c:scaling>
        <c:delete val="0"/>
        <c:axPos val="l"/>
        <c:numFmt formatCode="#,##0" sourceLinked="0"/>
        <c:majorTickMark val="none"/>
        <c:minorTickMark val="none"/>
        <c:tickLblPos val="nextTo"/>
        <c:spPr>
          <a:ln w="9360">
            <a:noFill/>
          </a:ln>
        </c:spPr>
        <c:txPr>
          <a:bodyPr/>
          <a:lstStyle/>
          <a:p>
            <a:pPr>
              <a:defRPr b="1" sz="900" spc="-1" strike="noStrike">
                <a:solidFill>
                  <a:srgbClr val="595959"/>
                </a:solidFill>
                <a:latin typeface="Calibri"/>
              </a:defRPr>
            </a:pPr>
          </a:p>
        </c:txPr>
        <c:crossAx val="6141144"/>
        <c:crosses val="autoZero"/>
        <c:crossBetween val="between"/>
      </c:valAx>
      <c:spPr>
        <a:noFill/>
        <a:ln w="0">
          <a:noFill/>
        </a:ln>
      </c:spPr>
    </c:plotArea>
    <c:legend>
      <c:legendPos val="r"/>
      <c:layout>
        <c:manualLayout>
          <c:xMode val="edge"/>
          <c:yMode val="edge"/>
          <c:x val="0.8421875"/>
          <c:y val="0.582"/>
          <c:w val="0.153384586536659"/>
          <c:h val="0.136459606622958"/>
        </c:manualLayout>
      </c:layout>
      <c:overlay val="0"/>
      <c:spPr>
        <a:noFill/>
        <a:ln w="0">
          <a:noFill/>
        </a:ln>
      </c:spPr>
      <c:txPr>
        <a:bodyPr/>
        <a:lstStyle/>
        <a:p>
          <a:pPr>
            <a:defRPr b="0" sz="900" spc="-1" strike="noStrike">
              <a:solidFill>
                <a:srgbClr val="595959"/>
              </a:solidFill>
              <a:latin typeface="Calibri"/>
            </a:defRPr>
          </a:pPr>
        </a:p>
      </c:txPr>
    </c:legend>
    <c:plotVisOnly val="1"/>
    <c:dispBlanksAs val="gap"/>
  </c:chart>
  <c:spPr>
    <a:solidFill>
      <a:srgbClr val="ffffff"/>
    </a:solidFill>
    <a:ln w="9360">
      <a:solidFill>
        <a:srgbClr val="d9d9d9"/>
      </a:solidFill>
      <a:round/>
    </a:ln>
  </c:spPr>
</c:chartSpace>
</file>

<file path=word/charts/chart2.xml><?xml version="1.0" encoding="utf-8"?>
<c:chartSpace xmlns:c="http://schemas.openxmlformats.org/drawingml/2006/chart" xmlns:a="http://schemas.openxmlformats.org/drawingml/2006/main" xmlns:r="http://schemas.openxmlformats.org/officeDocument/2006/relationships">
  <c:lang val="en-US"/>
  <c:roundedCorners val="0"/>
  <c:chart>
    <c:title>
      <c:tx>
        <c:rich>
          <a:bodyPr rot="0"/>
          <a:lstStyle/>
          <a:p>
            <a:pPr>
              <a:defRPr b="1" lang="el-GR" sz="1100" spc="-1" strike="noStrike">
                <a:solidFill>
                  <a:srgbClr val="000000"/>
                </a:solidFill>
                <a:latin typeface="Calibri"/>
              </a:defRPr>
            </a:pPr>
            <a:r>
              <a:rPr b="1" lang="el-GR" sz="1100" spc="-1" strike="noStrike">
                <a:solidFill>
                  <a:srgbClr val="000000"/>
                </a:solidFill>
                <a:latin typeface="Calibri"/>
              </a:rPr>
              <a:t>Πλήθος νέων αιτήσεων οριστικής κύριας σύνταξης</a:t>
            </a:r>
          </a:p>
        </c:rich>
      </c:tx>
      <c:overlay val="0"/>
      <c:spPr>
        <a:noFill/>
        <a:ln w="0">
          <a:noFill/>
        </a:ln>
      </c:spPr>
    </c:title>
    <c:autoTitleDeleted val="0"/>
    <c:plotArea>
      <c:layout>
        <c:manualLayout>
          <c:layoutTarget val="inner"/>
          <c:xMode val="edge"/>
          <c:yMode val="edge"/>
          <c:x val="0.1353125"/>
          <c:y val="0.155222222222222"/>
          <c:w val="0.735"/>
          <c:h val="0.728777777777778"/>
        </c:manualLayout>
      </c:layout>
      <c:lineChart>
        <c:grouping val="standard"/>
        <c:varyColors val="0"/>
        <c:ser>
          <c:idx val="0"/>
          <c:order val="0"/>
          <c:tx>
            <c:strRef>
              <c:f>label 0</c:f>
              <c:strCache>
                <c:ptCount val="1"/>
                <c:pt idx="0">
                  <c:v>Πλήθος νέων αιτήσεων</c:v>
                </c:pt>
              </c:strCache>
            </c:strRef>
          </c:tx>
          <c:spPr>
            <a:solidFill>
              <a:srgbClr val="4a7ebb"/>
            </a:solidFill>
            <a:ln w="28440">
              <a:solidFill>
                <a:srgbClr val="4a7ebb"/>
              </a:solidFill>
              <a:round/>
            </a:ln>
          </c:spPr>
          <c:marker>
            <c:symbol val="none"/>
          </c:marker>
          <c:dPt>
            <c:idx val="3"/>
            <c:marker>
              <c:symbol val="none"/>
            </c:marker>
          </c:dPt>
          <c:dLbls>
            <c:numFmt formatCode="#,##0" sourceLinked="0"/>
            <c:dLbl>
              <c:idx val="3"/>
              <c:numFmt formatCode="#,##0" sourceLinked="0"/>
              <c:txPr>
                <a:bodyPr wrap="square"/>
                <a:lstStyle/>
                <a:p>
                  <a:pPr>
                    <a:defRPr b="1" sz="800" spc="-1" strike="noStrike">
                      <a:solidFill>
                        <a:srgbClr val="000000"/>
                      </a:solidFill>
                      <a:latin typeface="Calibri"/>
                    </a:defRPr>
                  </a:pPr>
                </a:p>
              </c:txPr>
              <c:tx>
                <c:rich>
                  <a:bodyPr/>
                  <a:p>
                    <a:r>
                      <a:rPr b="1" sz="800" spc="-1" strike="noStrike">
                        <a:solidFill>
                          <a:srgbClr val="000000"/>
                        </a:solidFill>
                        <a:latin typeface="Calibri"/>
                      </a:rPr>
                      <a:t>160.000</a:t>
                    </a:r>
                    <a:r>
                      <a:rPr b="1" sz="800" spc="-1" strike="noStrike">
                        <a:solidFill>
                          <a:srgbClr val="000000"/>
                        </a:solidFill>
                        <a:latin typeface="Calibri"/>
                      </a:rPr>
                      <a:t>*</a:t>
                    </a:r>
                  </a:p>
                </c:rich>
              </c:tx>
              <c:dLblPos val="t"/>
              <c:showLegendKey val="0"/>
              <c:showVal val="1"/>
              <c:showCatName val="0"/>
              <c:showSerName val="0"/>
              <c:showPercent val="0"/>
              <c:separator>; </c:separator>
            </c:dLbl>
            <c:txPr>
              <a:bodyPr wrap="square"/>
              <a:lstStyle/>
              <a:p>
                <a:pPr>
                  <a:defRPr b="1" sz="800" spc="-1" strike="noStrike">
                    <a:solidFill>
                      <a:srgbClr val="000000"/>
                    </a:solidFill>
                    <a:latin typeface="Calibri"/>
                  </a:defRPr>
                </a:pPr>
              </a:p>
            </c:txPr>
            <c:dLblPos val="t"/>
            <c:showLegendKey val="0"/>
            <c:showVal val="1"/>
            <c:showCatName val="0"/>
            <c:showSerName val="0"/>
            <c:showPercent val="0"/>
            <c:separator>; </c:separator>
            <c:showLeaderLines val="0"/>
            <c:extLst>
              <c:ext xmlns:c15="http://schemas.microsoft.com/office/drawing/2012/chart" uri="{CE6537A1-D6FC-4f65-9D91-7224C49458BB}">
                <c15:showLeaderLines val="1"/>
              </c:ext>
            </c:extLst>
          </c:dLbls>
          <c:cat>
            <c:strRef>
              <c:f>categories</c:f>
              <c:strCache>
                <c:ptCount val="4"/>
                <c:pt idx="0">
                  <c:v>2017</c:v>
                </c:pt>
                <c:pt idx="1">
                  <c:v>2018</c:v>
                </c:pt>
                <c:pt idx="2">
                  <c:v>2019</c:v>
                </c:pt>
                <c:pt idx="3">
                  <c:v>2020*</c:v>
                </c:pt>
              </c:strCache>
            </c:strRef>
          </c:cat>
          <c:val>
            <c:numRef>
              <c:f>0</c:f>
              <c:numCache>
                <c:formatCode>General</c:formatCode>
                <c:ptCount val="4"/>
                <c:pt idx="0">
                  <c:v>145555</c:v>
                </c:pt>
                <c:pt idx="1">
                  <c:v>155423</c:v>
                </c:pt>
                <c:pt idx="2">
                  <c:v>164230</c:v>
                </c:pt>
                <c:pt idx="3">
                  <c:v>160000</c:v>
                </c:pt>
              </c:numCache>
            </c:numRef>
          </c:val>
          <c:smooth val="0"/>
        </c:ser>
        <c:hiLowLines>
          <c:spPr>
            <a:ln w="0">
              <a:noFill/>
            </a:ln>
          </c:spPr>
        </c:hiLowLines>
        <c:marker val="0"/>
        <c:axId val="93443249"/>
        <c:axId val="51884161"/>
      </c:lineChart>
      <c:catAx>
        <c:axId val="93443249"/>
        <c:scaling>
          <c:orientation val="minMax"/>
        </c:scaling>
        <c:delete val="0"/>
        <c:axPos val="b"/>
        <c:numFmt formatCode="General" sourceLinked="0"/>
        <c:majorTickMark val="none"/>
        <c:minorTickMark val="none"/>
        <c:tickLblPos val="nextTo"/>
        <c:spPr>
          <a:ln w="9360">
            <a:solidFill>
              <a:srgbClr val="878787"/>
            </a:solidFill>
            <a:round/>
          </a:ln>
        </c:spPr>
        <c:txPr>
          <a:bodyPr/>
          <a:lstStyle/>
          <a:p>
            <a:pPr>
              <a:defRPr b="1" sz="1000" spc="-1" strike="noStrike">
                <a:solidFill>
                  <a:srgbClr val="000000"/>
                </a:solidFill>
                <a:latin typeface="Calibri"/>
              </a:defRPr>
            </a:pPr>
          </a:p>
        </c:txPr>
        <c:crossAx val="51884161"/>
        <c:crosses val="autoZero"/>
        <c:auto val="1"/>
        <c:lblAlgn val="ctr"/>
        <c:lblOffset val="100"/>
        <c:noMultiLvlLbl val="0"/>
      </c:catAx>
      <c:valAx>
        <c:axId val="51884161"/>
        <c:scaling>
          <c:orientation val="minMax"/>
          <c:max val="200000"/>
          <c:min val="0"/>
        </c:scaling>
        <c:delete val="0"/>
        <c:axPos val="l"/>
        <c:majorGridlines>
          <c:spPr>
            <a:ln w="9360">
              <a:solidFill>
                <a:srgbClr val="878787"/>
              </a:solidFill>
              <a:round/>
            </a:ln>
          </c:spPr>
        </c:majorGridlines>
        <c:numFmt formatCode="#,##0" sourceLinked="0"/>
        <c:majorTickMark val="none"/>
        <c:minorTickMark val="none"/>
        <c:tickLblPos val="nextTo"/>
        <c:spPr>
          <a:ln w="9360">
            <a:solidFill>
              <a:srgbClr val="878787"/>
            </a:solidFill>
            <a:round/>
          </a:ln>
        </c:spPr>
        <c:txPr>
          <a:bodyPr/>
          <a:lstStyle/>
          <a:p>
            <a:pPr>
              <a:defRPr b="1" sz="1000" spc="-1" strike="noStrike">
                <a:solidFill>
                  <a:srgbClr val="000000"/>
                </a:solidFill>
                <a:latin typeface="Calibri"/>
              </a:defRPr>
            </a:pPr>
          </a:p>
        </c:txPr>
        <c:crossAx val="93443249"/>
        <c:crosses val="autoZero"/>
        <c:crossBetween val="between"/>
      </c:valAx>
      <c:spPr>
        <a:solidFill>
          <a:srgbClr val="ffffff"/>
        </a:solidFill>
        <a:ln w="0">
          <a:noFill/>
        </a:ln>
      </c:spPr>
    </c:plotArea>
    <c:plotVisOnly val="1"/>
    <c:dispBlanksAs val="gap"/>
  </c:chart>
  <c:spPr>
    <a:solidFill>
      <a:srgbClr val="ffffff"/>
    </a:solidFill>
    <a:ln w="9360">
      <a:solidFill>
        <a:srgbClr val="d9d9d9"/>
      </a:solidFill>
      <a:round/>
    </a:ln>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US"/>
  <c:roundedCorners val="0"/>
  <c:chart>
    <c:title>
      <c:tx>
        <c:rich>
          <a:bodyPr rot="0"/>
          <a:lstStyle/>
          <a:p>
            <a:pPr>
              <a:defRPr b="1" lang="el-GR" sz="1200" spc="-1" strike="noStrike">
                <a:solidFill>
                  <a:srgbClr val="000000"/>
                </a:solidFill>
                <a:latin typeface="Calibri"/>
              </a:defRPr>
            </a:pPr>
            <a:r>
              <a:rPr b="1" lang="el-GR" sz="1200" spc="-1" strike="noStrike">
                <a:solidFill>
                  <a:srgbClr val="000000"/>
                </a:solidFill>
                <a:latin typeface="Calibri"/>
              </a:rPr>
              <a:t>Μηνιαία Αύξηση Εκκρεμοτήτων</a:t>
            </a:r>
          </a:p>
        </c:rich>
      </c:tx>
      <c:overlay val="0"/>
      <c:spPr>
        <a:noFill/>
        <a:ln w="0">
          <a:noFill/>
        </a:ln>
      </c:spPr>
    </c:title>
    <c:autoTitleDeleted val="0"/>
    <c:plotArea>
      <c:layout>
        <c:manualLayout>
          <c:layoutTarget val="inner"/>
          <c:xMode val="edge"/>
          <c:yMode val="edge"/>
          <c:x val="0.124"/>
          <c:y val="0.193"/>
          <c:w val="0.85375"/>
          <c:h val="0.598888888888889"/>
        </c:manualLayout>
      </c:layout>
      <c:lineChart>
        <c:grouping val="standard"/>
        <c:varyColors val="0"/>
        <c:ser>
          <c:idx val="0"/>
          <c:order val="0"/>
          <c:tx>
            <c:strRef>
              <c:f>label 0</c:f>
              <c:strCache>
                <c:ptCount val="1"/>
                <c:pt idx="0">
                  <c:v>1 Σειράς</c:v>
                </c:pt>
              </c:strCache>
            </c:strRef>
          </c:tx>
          <c:spPr>
            <a:solidFill>
              <a:srgbClr val="4a7ebb"/>
            </a:solidFill>
            <a:ln w="28440">
              <a:solidFill>
                <a:srgbClr val="4a7ebb"/>
              </a:solidFill>
              <a:round/>
            </a:ln>
          </c:spPr>
          <c:marker>
            <c:symbol val="none"/>
          </c:marker>
          <c:dPt>
            <c:idx val="1"/>
            <c:marker>
              <c:symbol val="none"/>
            </c:marker>
          </c:dPt>
          <c:dPt>
            <c:idx val="4"/>
            <c:marker>
              <c:symbol val="none"/>
            </c:marker>
          </c:dPt>
          <c:dPt>
            <c:idx val="6"/>
            <c:marker>
              <c:symbol val="none"/>
            </c:marker>
          </c:dPt>
          <c:dPt>
            <c:idx val="8"/>
            <c:marker>
              <c:symbol val="none"/>
            </c:marker>
          </c:dPt>
          <c:dPt>
            <c:idx val="10"/>
            <c:marker>
              <c:symbol val="none"/>
            </c:marker>
          </c:dPt>
          <c:dPt>
            <c:idx val="12"/>
            <c:marker>
              <c:symbol val="none"/>
            </c:marker>
          </c:dPt>
          <c:dPt>
            <c:idx val="14"/>
            <c:marker>
              <c:symbol val="none"/>
            </c:marker>
          </c:dPt>
          <c:dPt>
            <c:idx val="16"/>
            <c:marker>
              <c:symbol val="none"/>
            </c:marker>
          </c:dPt>
          <c:dPt>
            <c:idx val="18"/>
            <c:marker>
              <c:symbol val="none"/>
            </c:marker>
          </c:dPt>
          <c:dPt>
            <c:idx val="19"/>
            <c:marker>
              <c:symbol val="none"/>
            </c:marker>
          </c:dPt>
          <c:dLbls>
            <c:numFmt formatCode="#,##0" sourceLinked="0"/>
            <c:dLbl>
              <c:idx val="1"/>
              <c:numFmt formatCode="#,##0" sourceLinked="0"/>
              <c:txPr>
                <a:bodyPr wrap="square"/>
                <a:lstStyle/>
                <a:p>
                  <a:pPr>
                    <a:defRPr b="1" sz="900" spc="-1" strike="noStrike">
                      <a:solidFill>
                        <a:srgbClr val="000000"/>
                      </a:solidFill>
                      <a:latin typeface="Calibri"/>
                    </a:defRPr>
                  </a:pPr>
                </a:p>
              </c:txPr>
              <c:dLblPos val="b"/>
              <c:showLegendKey val="0"/>
              <c:showVal val="1"/>
              <c:showCatName val="0"/>
              <c:showSerName val="0"/>
              <c:showPercent val="0"/>
              <c:separator>; </c:separator>
            </c:dLbl>
            <c:dLbl>
              <c:idx val="4"/>
              <c:numFmt formatCode="#,##0" sourceLinked="0"/>
              <c:txPr>
                <a:bodyPr wrap="square"/>
                <a:lstStyle/>
                <a:p>
                  <a:pPr>
                    <a:defRPr b="1" sz="900" spc="-1" strike="noStrike">
                      <a:solidFill>
                        <a:srgbClr val="000000"/>
                      </a:solidFill>
                      <a:latin typeface="Calibri"/>
                    </a:defRPr>
                  </a:pPr>
                </a:p>
              </c:txPr>
              <c:dLblPos val="b"/>
              <c:showLegendKey val="0"/>
              <c:showVal val="1"/>
              <c:showCatName val="0"/>
              <c:showSerName val="0"/>
              <c:showPercent val="0"/>
              <c:separator>; </c:separator>
            </c:dLbl>
            <c:dLbl>
              <c:idx val="6"/>
              <c:numFmt formatCode="#,##0" sourceLinked="0"/>
              <c:txPr>
                <a:bodyPr wrap="square"/>
                <a:lstStyle/>
                <a:p>
                  <a:pPr>
                    <a:defRPr b="1" sz="900" spc="-1" strike="noStrike">
                      <a:solidFill>
                        <a:srgbClr val="000000"/>
                      </a:solidFill>
                      <a:latin typeface="Calibri"/>
                    </a:defRPr>
                  </a:pPr>
                </a:p>
              </c:txPr>
              <c:dLblPos val="b"/>
              <c:showLegendKey val="0"/>
              <c:showVal val="1"/>
              <c:showCatName val="0"/>
              <c:showSerName val="0"/>
              <c:showPercent val="0"/>
              <c:separator>; </c:separator>
            </c:dLbl>
            <c:dLbl>
              <c:idx val="8"/>
              <c:numFmt formatCode="#,##0" sourceLinked="0"/>
              <c:txPr>
                <a:bodyPr wrap="square"/>
                <a:lstStyle/>
                <a:p>
                  <a:pPr>
                    <a:defRPr b="1" sz="900" spc="-1" strike="noStrike">
                      <a:solidFill>
                        <a:srgbClr val="000000"/>
                      </a:solidFill>
                      <a:latin typeface="Calibri"/>
                    </a:defRPr>
                  </a:pPr>
                </a:p>
              </c:txPr>
              <c:dLblPos val="r"/>
              <c:showLegendKey val="0"/>
              <c:showVal val="1"/>
              <c:showCatName val="0"/>
              <c:showSerName val="0"/>
              <c:showPercent val="0"/>
              <c:separator>; </c:separator>
            </c:dLbl>
            <c:dLbl>
              <c:idx val="10"/>
              <c:numFmt formatCode="#,##0" sourceLinked="0"/>
              <c:txPr>
                <a:bodyPr wrap="square"/>
                <a:lstStyle/>
                <a:p>
                  <a:pPr>
                    <a:defRPr b="1" sz="900" spc="-1" strike="noStrike">
                      <a:solidFill>
                        <a:srgbClr val="000000"/>
                      </a:solidFill>
                      <a:latin typeface="Calibri"/>
                    </a:defRPr>
                  </a:pPr>
                </a:p>
              </c:txPr>
              <c:dLblPos val="b"/>
              <c:showLegendKey val="0"/>
              <c:showVal val="1"/>
              <c:showCatName val="0"/>
              <c:showSerName val="0"/>
              <c:showPercent val="0"/>
              <c:separator>; </c:separator>
            </c:dLbl>
            <c:dLbl>
              <c:idx val="12"/>
              <c:numFmt formatCode="#,##0" sourceLinked="0"/>
              <c:txPr>
                <a:bodyPr wrap="square"/>
                <a:lstStyle/>
                <a:p>
                  <a:pPr>
                    <a:defRPr b="1" sz="900" spc="-1" strike="noStrike">
                      <a:solidFill>
                        <a:srgbClr val="000000"/>
                      </a:solidFill>
                      <a:latin typeface="Calibri"/>
                    </a:defRPr>
                  </a:pPr>
                </a:p>
              </c:txPr>
              <c:dLblPos val="b"/>
              <c:showLegendKey val="0"/>
              <c:showVal val="1"/>
              <c:showCatName val="0"/>
              <c:showSerName val="0"/>
              <c:showPercent val="0"/>
              <c:separator>; </c:separator>
            </c:dLbl>
            <c:dLbl>
              <c:idx val="14"/>
              <c:numFmt formatCode="#,##0" sourceLinked="0"/>
              <c:txPr>
                <a:bodyPr wrap="square"/>
                <a:lstStyle/>
                <a:p>
                  <a:pPr>
                    <a:defRPr b="1" sz="900" spc="-1" strike="noStrike">
                      <a:solidFill>
                        <a:srgbClr val="ff0000"/>
                      </a:solidFill>
                      <a:latin typeface="Calibri"/>
                    </a:defRPr>
                  </a:pPr>
                </a:p>
              </c:txPr>
              <c:dLblPos val="b"/>
              <c:showLegendKey val="0"/>
              <c:showVal val="1"/>
              <c:showCatName val="0"/>
              <c:showSerName val="0"/>
              <c:showPercent val="0"/>
              <c:separator>; </c:separator>
            </c:dLbl>
            <c:dLbl>
              <c:idx val="16"/>
              <c:numFmt formatCode="#,##0" sourceLinked="0"/>
              <c:txPr>
                <a:bodyPr wrap="square"/>
                <a:lstStyle/>
                <a:p>
                  <a:pPr>
                    <a:defRPr b="1" sz="900" spc="-1" strike="noStrike">
                      <a:solidFill>
                        <a:srgbClr val="000000"/>
                      </a:solidFill>
                      <a:latin typeface="Calibri"/>
                    </a:defRPr>
                  </a:pPr>
                </a:p>
              </c:txPr>
              <c:dLblPos val="b"/>
              <c:showLegendKey val="0"/>
              <c:showVal val="1"/>
              <c:showCatName val="0"/>
              <c:showSerName val="0"/>
              <c:showPercent val="0"/>
              <c:separator>; </c:separator>
            </c:dLbl>
            <c:dLbl>
              <c:idx val="18"/>
              <c:numFmt formatCode="#,##0" sourceLinked="0"/>
              <c:txPr>
                <a:bodyPr wrap="square"/>
                <a:lstStyle/>
                <a:p>
                  <a:pPr>
                    <a:defRPr b="1" sz="900" spc="-1" strike="noStrike">
                      <a:solidFill>
                        <a:srgbClr val="ff0000"/>
                      </a:solidFill>
                      <a:latin typeface="Calibri"/>
                    </a:defRPr>
                  </a:pPr>
                </a:p>
              </c:txPr>
              <c:dLblPos val="b"/>
              <c:showLegendKey val="0"/>
              <c:showVal val="1"/>
              <c:showCatName val="0"/>
              <c:showSerName val="0"/>
              <c:showPercent val="0"/>
              <c:separator>; </c:separator>
            </c:dLbl>
            <c:dLbl>
              <c:idx val="19"/>
              <c:numFmt formatCode="#,##0" sourceLinked="0"/>
              <c:txPr>
                <a:bodyPr wrap="square"/>
                <a:lstStyle/>
                <a:p>
                  <a:pPr>
                    <a:defRPr b="1" sz="900" spc="-1" strike="noStrike">
                      <a:solidFill>
                        <a:srgbClr val="ff0000"/>
                      </a:solidFill>
                      <a:latin typeface="Calibri"/>
                    </a:defRPr>
                  </a:pPr>
                </a:p>
              </c:txPr>
              <c:dLblPos val="t"/>
              <c:showLegendKey val="0"/>
              <c:showVal val="1"/>
              <c:showCatName val="0"/>
              <c:showSerName val="0"/>
              <c:showPercent val="0"/>
              <c:separator>; </c:separator>
            </c:dLbl>
            <c:txPr>
              <a:bodyPr wrap="square"/>
              <a:lstStyle/>
              <a:p>
                <a:pPr>
                  <a:defRPr b="1" sz="900" spc="-1" strike="noStrike">
                    <a:solidFill>
                      <a:srgbClr val="000000"/>
                    </a:solidFill>
                    <a:latin typeface="Calibri"/>
                  </a:defRPr>
                </a:pPr>
              </a:p>
            </c:txPr>
            <c:dLblPos val="t"/>
            <c:showLegendKey val="0"/>
            <c:showVal val="1"/>
            <c:showCatName val="0"/>
            <c:showSerName val="0"/>
            <c:showPercent val="0"/>
            <c:separator>; </c:separator>
            <c:showLeaderLines val="0"/>
            <c:extLst>
              <c:ext xmlns:c15="http://schemas.microsoft.com/office/drawing/2012/chart" uri="{CE6537A1-D6FC-4f65-9D91-7224C49458BB}">
                <c15:showLeaderLines val="1"/>
              </c:ext>
            </c:extLst>
          </c:dLbls>
          <c:cat>
            <c:strRef>
              <c:f>categories</c:f>
              <c:strCache>
                <c:ptCount val="20"/>
                <c:pt idx="0">
                  <c:v>Feb-19</c:v>
                </c:pt>
                <c:pt idx="1">
                  <c:v>Mar-19</c:v>
                </c:pt>
                <c:pt idx="2">
                  <c:v>Apr-19</c:v>
                </c:pt>
                <c:pt idx="3">
                  <c:v>May-19</c:v>
                </c:pt>
                <c:pt idx="4">
                  <c:v>Jun-19</c:v>
                </c:pt>
                <c:pt idx="5">
                  <c:v>Jul-19</c:v>
                </c:pt>
                <c:pt idx="6">
                  <c:v>Aug-19</c:v>
                </c:pt>
                <c:pt idx="7">
                  <c:v>Sep-19</c:v>
                </c:pt>
                <c:pt idx="8">
                  <c:v>Oct-19</c:v>
                </c:pt>
                <c:pt idx="9">
                  <c:v>Nov-19</c:v>
                </c:pt>
                <c:pt idx="10">
                  <c:v>Dec-19</c:v>
                </c:pt>
                <c:pt idx="11">
                  <c:v>Jan-20</c:v>
                </c:pt>
                <c:pt idx="12">
                  <c:v>Feb-20</c:v>
                </c:pt>
                <c:pt idx="13">
                  <c:v>Mar-20</c:v>
                </c:pt>
                <c:pt idx="14">
                  <c:v>Apr-20</c:v>
                </c:pt>
                <c:pt idx="15">
                  <c:v>May-20</c:v>
                </c:pt>
                <c:pt idx="16">
                  <c:v>Jun-20</c:v>
                </c:pt>
                <c:pt idx="17">
                  <c:v>Jul-20</c:v>
                </c:pt>
                <c:pt idx="18">
                  <c:v>Aug-20</c:v>
                </c:pt>
                <c:pt idx="19">
                  <c:v>Sep-20</c:v>
                </c:pt>
              </c:strCache>
            </c:strRef>
          </c:cat>
          <c:val>
            <c:numRef>
              <c:f>0</c:f>
              <c:numCache>
                <c:formatCode>General</c:formatCode>
                <c:ptCount val="20"/>
                <c:pt idx="0">
                  <c:v>4515</c:v>
                </c:pt>
                <c:pt idx="1">
                  <c:v>2322</c:v>
                </c:pt>
                <c:pt idx="2">
                  <c:v>3013</c:v>
                </c:pt>
                <c:pt idx="3">
                  <c:v>3847</c:v>
                </c:pt>
                <c:pt idx="4">
                  <c:v>3479</c:v>
                </c:pt>
                <c:pt idx="5">
                  <c:v>5339</c:v>
                </c:pt>
                <c:pt idx="6">
                  <c:v>4543</c:v>
                </c:pt>
                <c:pt idx="7">
                  <c:v>6171</c:v>
                </c:pt>
                <c:pt idx="8">
                  <c:v>5704</c:v>
                </c:pt>
                <c:pt idx="9">
                  <c:v>2634</c:v>
                </c:pt>
                <c:pt idx="10">
                  <c:v>1037</c:v>
                </c:pt>
                <c:pt idx="11">
                  <c:v>2493</c:v>
                </c:pt>
                <c:pt idx="12">
                  <c:v>1185</c:v>
                </c:pt>
                <c:pt idx="13">
                  <c:v>1256</c:v>
                </c:pt>
                <c:pt idx="14">
                  <c:v>-393</c:v>
                </c:pt>
                <c:pt idx="15">
                  <c:v>1397</c:v>
                </c:pt>
                <c:pt idx="16">
                  <c:v>1567</c:v>
                </c:pt>
                <c:pt idx="17">
                  <c:v>1259</c:v>
                </c:pt>
                <c:pt idx="18">
                  <c:v>-1670</c:v>
                </c:pt>
                <c:pt idx="19">
                  <c:v>-1045</c:v>
                </c:pt>
              </c:numCache>
            </c:numRef>
          </c:val>
          <c:smooth val="0"/>
        </c:ser>
        <c:hiLowLines>
          <c:spPr>
            <a:ln w="0">
              <a:noFill/>
            </a:ln>
          </c:spPr>
        </c:hiLowLines>
        <c:marker val="0"/>
        <c:axId val="38329177"/>
        <c:axId val="62202735"/>
      </c:lineChart>
      <c:dateAx>
        <c:axId val="38329177"/>
        <c:scaling>
          <c:orientation val="minMax"/>
        </c:scaling>
        <c:delete val="0"/>
        <c:axPos val="b"/>
        <c:numFmt formatCode="mmm\-yy" sourceLinked="0"/>
        <c:majorTickMark val="none"/>
        <c:minorTickMark val="none"/>
        <c:tickLblPos val="low"/>
        <c:spPr>
          <a:ln w="9360">
            <a:solidFill>
              <a:srgbClr val="878787"/>
            </a:solidFill>
            <a:round/>
          </a:ln>
        </c:spPr>
        <c:txPr>
          <a:bodyPr/>
          <a:lstStyle/>
          <a:p>
            <a:pPr>
              <a:defRPr b="0" sz="1000" spc="-1" strike="noStrike">
                <a:solidFill>
                  <a:srgbClr val="000000"/>
                </a:solidFill>
                <a:latin typeface="Calibri"/>
              </a:defRPr>
            </a:pPr>
          </a:p>
        </c:txPr>
        <c:crossAx val="62202735"/>
        <c:crosses val="autoZero"/>
        <c:auto val="1"/>
        <c:lblOffset val="100"/>
        <c:noMultiLvlLbl val="0"/>
      </c:dateAx>
      <c:valAx>
        <c:axId val="62202735"/>
        <c:scaling>
          <c:orientation val="minMax"/>
        </c:scaling>
        <c:delete val="0"/>
        <c:axPos val="l"/>
        <c:majorGridlines>
          <c:spPr>
            <a:ln w="9360">
              <a:solidFill>
                <a:srgbClr val="878787"/>
              </a:solidFill>
              <a:round/>
            </a:ln>
          </c:spPr>
        </c:majorGridlines>
        <c:numFmt formatCode="#,##0" sourceLinked="0"/>
        <c:majorTickMark val="none"/>
        <c:minorTickMark val="none"/>
        <c:tickLblPos val="nextTo"/>
        <c:spPr>
          <a:ln w="6480">
            <a:noFill/>
          </a:ln>
        </c:spPr>
        <c:txPr>
          <a:bodyPr/>
          <a:lstStyle/>
          <a:p>
            <a:pPr>
              <a:defRPr b="0" sz="1000" spc="-1" strike="noStrike">
                <a:solidFill>
                  <a:srgbClr val="000000"/>
                </a:solidFill>
                <a:latin typeface="Calibri"/>
              </a:defRPr>
            </a:pPr>
          </a:p>
        </c:txPr>
        <c:crossAx val="38329177"/>
        <c:crosses val="autoZero"/>
        <c:crossBetween val="between"/>
      </c:valAx>
      <c:spPr>
        <a:solidFill>
          <a:srgbClr val="ffffff"/>
        </a:solidFill>
        <a:ln w="0">
          <a:noFill/>
        </a:ln>
      </c:spPr>
    </c:plotArea>
    <c:plotVisOnly val="1"/>
    <c:dispBlanksAs val="gap"/>
  </c:chart>
  <c:spPr>
    <a:solidFill>
      <a:srgbClr val="ffffff"/>
    </a:solidFill>
    <a:ln w="9360">
      <a:solidFill>
        <a:srgbClr val="d9d9d9"/>
      </a:solidFill>
      <a:round/>
    </a:ln>
  </c:spPr>
</c:chartSpace>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B2F7623-C796-4668-9D43-9289684DC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Application>LibreOffice/7.0.3.1$Windows_X86_64 LibreOffice_project/d7547858d014d4cf69878db179d326fc3483e082</Application>
  <Pages>18</Pages>
  <Words>2373</Words>
  <Characters>14342</Characters>
  <CharactersWithSpaces>16628</CharactersWithSpaces>
  <Paragraphs>426</Paragraphs>
  <Company>IDIKA SA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2020-11-18T12:48:00Z</dcterms:created>
  <dc:creator>Koutrouli</dc:creator>
  <dc:description/>
  <dc:language>el-GR</dc:language>
  <cp:lastModifiedBy>grtypoy</cp:lastModifiedBy>
  <cp:lastPrinted>2020-11-18T12:19:00Z</cp:lastPrinted>
  <dcterms:modified xsi:type="dcterms:W3CDTF">2020-11-18T12:48:00Z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IDIKA SA</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