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9C1" w:rsidRPr="004769C1" w:rsidRDefault="004769C1" w:rsidP="009B7940">
      <w:pPr>
        <w:spacing w:after="120"/>
        <w:jc w:val="center"/>
        <w:rPr>
          <w:rFonts w:cs="Segoe UI"/>
          <w:b/>
          <w:i/>
          <w:sz w:val="24"/>
          <w:szCs w:val="24"/>
        </w:rPr>
      </w:pPr>
      <w:r>
        <w:rPr>
          <w:rFonts w:cs="Segoe UI"/>
          <w:b/>
          <w:i/>
          <w:noProof/>
          <w:sz w:val="24"/>
          <w:szCs w:val="24"/>
        </w:rPr>
        <w:drawing>
          <wp:inline distT="0" distB="0" distL="0" distR="0" wp14:anchorId="7C6CA7FF">
            <wp:extent cx="4505325" cy="6769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5325" cy="676910"/>
                    </a:xfrm>
                    <a:prstGeom prst="rect">
                      <a:avLst/>
                    </a:prstGeom>
                    <a:noFill/>
                  </pic:spPr>
                </pic:pic>
              </a:graphicData>
            </a:graphic>
          </wp:inline>
        </w:drawing>
      </w:r>
    </w:p>
    <w:p w:rsidR="004769C1" w:rsidRDefault="004769C1" w:rsidP="009B7940">
      <w:pPr>
        <w:spacing w:after="120"/>
        <w:jc w:val="center"/>
        <w:rPr>
          <w:rFonts w:cs="Segoe UI"/>
          <w:b/>
          <w:iCs/>
          <w:color w:val="FF0000"/>
          <w:sz w:val="24"/>
          <w:szCs w:val="24"/>
          <w:lang w:val="el-GR"/>
        </w:rPr>
      </w:pPr>
      <w:r>
        <w:rPr>
          <w:rFonts w:cs="Segoe UI"/>
          <w:b/>
          <w:iCs/>
          <w:color w:val="FF0000"/>
          <w:sz w:val="24"/>
          <w:szCs w:val="24"/>
          <w:lang w:val="el-GR"/>
        </w:rPr>
        <w:t>ΝΑ ΜΗ ΔΗΜΟΣΙΕΥΤΕΙ ΠΡΙΝ ΤΗΝ ΠΑΡΑΣΚΕΥΗ 29 ΙΟΥΝΙΟΥ 13:00 ΩΡΑ ΕΛΛΑΔΑΣ</w:t>
      </w:r>
    </w:p>
    <w:p w:rsidR="004769C1" w:rsidRPr="004769C1" w:rsidRDefault="004769C1" w:rsidP="009B7940">
      <w:pPr>
        <w:spacing w:after="120"/>
        <w:jc w:val="center"/>
        <w:rPr>
          <w:rFonts w:cs="Segoe UI"/>
          <w:b/>
          <w:iCs/>
          <w:color w:val="FF0000"/>
          <w:sz w:val="24"/>
          <w:szCs w:val="24"/>
          <w:lang w:val="el-GR"/>
        </w:rPr>
      </w:pPr>
    </w:p>
    <w:p w:rsidR="0043531E" w:rsidRPr="002048DB" w:rsidRDefault="0043531E" w:rsidP="009B7940">
      <w:pPr>
        <w:spacing w:after="120"/>
        <w:jc w:val="center"/>
        <w:rPr>
          <w:rFonts w:cs="Segoe UI"/>
          <w:b/>
          <w:i/>
          <w:sz w:val="24"/>
          <w:szCs w:val="24"/>
          <w:lang w:val="el-GR"/>
        </w:rPr>
      </w:pPr>
      <w:r w:rsidRPr="002048DB">
        <w:rPr>
          <w:rFonts w:cs="Segoe UI"/>
          <w:b/>
          <w:i/>
          <w:sz w:val="24"/>
          <w:szCs w:val="24"/>
          <w:lang w:val="el-GR"/>
        </w:rPr>
        <w:t>Ελλάδα: Δήλωση Συμπερασμάτων της αποστολής του ΔΝΤ του άρθρου 4 για το 2018</w:t>
      </w:r>
    </w:p>
    <w:p w:rsidR="0043531E" w:rsidRPr="002048DB" w:rsidRDefault="0043531E" w:rsidP="009B7940">
      <w:pPr>
        <w:spacing w:after="120"/>
        <w:jc w:val="center"/>
        <w:rPr>
          <w:rFonts w:cs="Segoe UI"/>
          <w:bCs/>
          <w:i/>
          <w:sz w:val="24"/>
          <w:szCs w:val="24"/>
          <w:lang w:val="el-GR"/>
        </w:rPr>
      </w:pPr>
      <w:r w:rsidRPr="002048DB">
        <w:rPr>
          <w:rFonts w:cs="Segoe UI"/>
          <w:bCs/>
          <w:i/>
          <w:sz w:val="24"/>
          <w:szCs w:val="24"/>
          <w:lang w:val="el-GR"/>
        </w:rPr>
        <w:t>29 Ιουνίου 2018</w:t>
      </w:r>
    </w:p>
    <w:p w:rsidR="00FE5670" w:rsidRPr="002D7C16" w:rsidRDefault="009B7940" w:rsidP="004769C1">
      <w:pPr>
        <w:spacing w:after="120"/>
        <w:jc w:val="center"/>
        <w:rPr>
          <w:rFonts w:cs="Segoe UI"/>
          <w:i/>
          <w:szCs w:val="21"/>
          <w:lang w:val="el-GR"/>
        </w:rPr>
      </w:pPr>
      <w:r w:rsidRPr="002048DB">
        <w:rPr>
          <w:rFonts w:cs="Segoe UI"/>
          <w:i/>
          <w:noProof/>
          <w:szCs w:val="21"/>
        </w:rPr>
        <mc:AlternateContent>
          <mc:Choice Requires="wps">
            <w:drawing>
              <wp:anchor distT="45720" distB="45720" distL="114300" distR="114300" simplePos="0" relativeHeight="251659264" behindDoc="0" locked="0" layoutInCell="1" allowOverlap="1">
                <wp:simplePos x="0" y="0"/>
                <wp:positionH relativeFrom="margin">
                  <wp:posOffset>-114300</wp:posOffset>
                </wp:positionH>
                <wp:positionV relativeFrom="paragraph">
                  <wp:posOffset>351790</wp:posOffset>
                </wp:positionV>
                <wp:extent cx="6086475" cy="2305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05050"/>
                        </a:xfrm>
                        <a:prstGeom prst="rect">
                          <a:avLst/>
                        </a:prstGeom>
                        <a:solidFill>
                          <a:schemeClr val="bg1">
                            <a:lumMod val="85000"/>
                          </a:schemeClr>
                        </a:solidFill>
                        <a:ln w="9525">
                          <a:solidFill>
                            <a:srgbClr val="000000"/>
                          </a:solidFill>
                          <a:miter lim="800000"/>
                          <a:headEnd/>
                          <a:tailEnd/>
                        </a:ln>
                      </wps:spPr>
                      <wps:txbx>
                        <w:txbxContent>
                          <w:p w:rsidR="0030297F" w:rsidRPr="002048DB" w:rsidRDefault="0043531E" w:rsidP="0043531E">
                            <w:pPr>
                              <w:spacing w:after="120"/>
                              <w:rPr>
                                <w:rFonts w:cs="Segoe UI"/>
                                <w:i/>
                                <w:szCs w:val="21"/>
                                <w:lang w:val="el-GR"/>
                              </w:rPr>
                            </w:pPr>
                            <w:r w:rsidRPr="002048DB">
                              <w:rPr>
                                <w:rFonts w:cs="Segoe UI"/>
                                <w:i/>
                                <w:szCs w:val="21"/>
                                <w:lang w:val="el-GR"/>
                              </w:rPr>
                              <w:t>Μια Δήλωση Συμπερ</w:t>
                            </w:r>
                            <w:r w:rsidR="00A66BDE">
                              <w:rPr>
                                <w:rFonts w:cs="Segoe UI"/>
                                <w:i/>
                                <w:szCs w:val="21"/>
                                <w:lang w:val="el-GR"/>
                              </w:rPr>
                              <w:t>ασμάτων περιγράφει τα πρώτα</w:t>
                            </w:r>
                            <w:r w:rsidRPr="002048DB">
                              <w:rPr>
                                <w:rFonts w:cs="Segoe UI"/>
                                <w:i/>
                                <w:szCs w:val="21"/>
                                <w:lang w:val="el-GR"/>
                              </w:rPr>
                              <w:t xml:space="preserve"> ευρήματα του προσωπικού του ΔΝΤ στο τέλος μια</w:t>
                            </w:r>
                            <w:r w:rsidR="003F2FAF">
                              <w:rPr>
                                <w:rFonts w:cs="Segoe UI"/>
                                <w:i/>
                                <w:szCs w:val="21"/>
                                <w:lang w:val="el-GR"/>
                              </w:rPr>
                              <w:t xml:space="preserve">ς </w:t>
                            </w:r>
                            <w:r w:rsidRPr="002048DB">
                              <w:rPr>
                                <w:rFonts w:cs="Segoe UI"/>
                                <w:i/>
                                <w:szCs w:val="21"/>
                                <w:lang w:val="el-GR"/>
                              </w:rPr>
                              <w:t xml:space="preserve"> επίσημης επ</w:t>
                            </w:r>
                            <w:r w:rsidR="00BE78BB" w:rsidRPr="002048DB">
                              <w:rPr>
                                <w:rFonts w:cs="Segoe UI"/>
                                <w:i/>
                                <w:szCs w:val="21"/>
                                <w:lang w:val="el-GR"/>
                              </w:rPr>
                              <w:t>ίσκεψης</w:t>
                            </w:r>
                            <w:r w:rsidRPr="002048DB">
                              <w:rPr>
                                <w:rFonts w:cs="Segoe UI"/>
                                <w:i/>
                                <w:szCs w:val="21"/>
                                <w:lang w:val="el-GR"/>
                              </w:rPr>
                              <w:t xml:space="preserve"> (ή “αποστολής”), </w:t>
                            </w:r>
                            <w:r w:rsidR="002048DB" w:rsidRPr="002048DB">
                              <w:rPr>
                                <w:rFonts w:cs="Segoe UI"/>
                                <w:i/>
                                <w:szCs w:val="21"/>
                                <w:lang w:val="el-GR"/>
                              </w:rPr>
                              <w:t>στις περισσότερες περιπτώσει</w:t>
                            </w:r>
                            <w:r w:rsidRPr="002048DB">
                              <w:rPr>
                                <w:rFonts w:cs="Segoe UI"/>
                                <w:i/>
                                <w:szCs w:val="21"/>
                                <w:lang w:val="el-GR"/>
                              </w:rPr>
                              <w:t>ς σε μια χώρα-μέλος. Οι αποστολές αναλαμβάνονται ως μέρος τακτικών (συνήθως ετήσιων) διαβουλεύσεω</w:t>
                            </w:r>
                            <w:r w:rsidR="002048DB">
                              <w:rPr>
                                <w:rFonts w:cs="Segoe UI"/>
                                <w:i/>
                                <w:szCs w:val="21"/>
                                <w:lang w:val="el-GR"/>
                              </w:rPr>
                              <w:t>ν κατά</w:t>
                            </w:r>
                            <w:r w:rsidRPr="002048DB">
                              <w:rPr>
                                <w:rFonts w:cs="Segoe UI"/>
                                <w:i/>
                                <w:szCs w:val="21"/>
                                <w:lang w:val="el-GR"/>
                              </w:rPr>
                              <w:t xml:space="preserve"> το Άρθρο 4 των Άρθρων</w:t>
                            </w:r>
                            <w:r w:rsidR="0030297F" w:rsidRPr="002048DB">
                              <w:rPr>
                                <w:rFonts w:cs="Segoe UI"/>
                                <w:i/>
                                <w:szCs w:val="21"/>
                                <w:lang w:val="el-GR"/>
                              </w:rPr>
                              <w:t xml:space="preserve"> </w:t>
                            </w:r>
                            <w:r w:rsidR="00A66BDE">
                              <w:rPr>
                                <w:rFonts w:cs="Segoe UI"/>
                                <w:i/>
                                <w:szCs w:val="21"/>
                                <w:lang w:val="el-GR"/>
                              </w:rPr>
                              <w:t xml:space="preserve">της </w:t>
                            </w:r>
                            <w:r w:rsidR="0030297F" w:rsidRPr="002048DB">
                              <w:rPr>
                                <w:rFonts w:cs="Segoe UI"/>
                                <w:i/>
                                <w:szCs w:val="21"/>
                                <w:lang w:val="el-GR"/>
                              </w:rPr>
                              <w:t xml:space="preserve">Συμφωνίας του ΔΝΤ, στο πλαίσιο ενός αιτήματος για τη χρήση πόρων του ΔΝΤ (δανεισμός από το ΔΝΤ), ως μέρος των συζητήσεων στο πλαίσιο προγραμμάτων που παρακολουθούνται από το προσωπικό ή ως μέρος άλλου τύπου παρακολούθησης οικονομικών εξελίξεων από το προσωπικό. </w:t>
                            </w:r>
                          </w:p>
                          <w:p w:rsidR="0043531E" w:rsidRPr="002048DB" w:rsidRDefault="0030297F" w:rsidP="0043531E">
                            <w:pPr>
                              <w:spacing w:after="120"/>
                              <w:rPr>
                                <w:rFonts w:cs="Segoe UI"/>
                                <w:i/>
                                <w:szCs w:val="21"/>
                                <w:lang w:val="el-GR"/>
                              </w:rPr>
                            </w:pPr>
                            <w:r w:rsidRPr="002048DB">
                              <w:rPr>
                                <w:rFonts w:cs="Segoe UI"/>
                                <w:i/>
                                <w:szCs w:val="21"/>
                                <w:lang w:val="el-GR"/>
                              </w:rPr>
                              <w:t>Οι αρχές</w:t>
                            </w:r>
                            <w:r w:rsidR="002C4E84">
                              <w:rPr>
                                <w:rFonts w:cs="Segoe UI"/>
                                <w:i/>
                                <w:szCs w:val="21"/>
                                <w:lang w:val="el-GR"/>
                              </w:rPr>
                              <w:t xml:space="preserve"> έχουν συναινέσει</w:t>
                            </w:r>
                            <w:r w:rsidRPr="002048DB">
                              <w:rPr>
                                <w:rFonts w:cs="Segoe UI"/>
                                <w:i/>
                                <w:szCs w:val="21"/>
                                <w:lang w:val="el-GR"/>
                              </w:rPr>
                              <w:t xml:space="preserve"> στη δημοσίευση αυτής της δήλωσης. Οι απόψεις που εκφράζονται σε αυτή τη δήλωση είναι αυτές του προσωπικού του ΔΝΤ και δεν αντιπροσωπεύουν απαραίτητα τις απόψεις του Εκτελεστικού Συμβουλίου του ΔΝΤ. Με βάση τ</w:t>
                            </w:r>
                            <w:r w:rsidR="00A66BDE">
                              <w:rPr>
                                <w:rFonts w:cs="Segoe UI"/>
                                <w:i/>
                                <w:szCs w:val="21"/>
                                <w:lang w:val="el-GR"/>
                              </w:rPr>
                              <w:t>α πρώτα</w:t>
                            </w:r>
                            <w:r w:rsidRPr="002048DB">
                              <w:rPr>
                                <w:rFonts w:cs="Segoe UI"/>
                                <w:i/>
                                <w:szCs w:val="21"/>
                                <w:lang w:val="el-GR"/>
                              </w:rPr>
                              <w:t xml:space="preserve"> ευρήματα αυτής της αποστολής, το προσω</w:t>
                            </w:r>
                            <w:r w:rsidR="00A66BDE">
                              <w:rPr>
                                <w:rFonts w:cs="Segoe UI"/>
                                <w:i/>
                                <w:szCs w:val="21"/>
                                <w:lang w:val="el-GR"/>
                              </w:rPr>
                              <w:t>πικό θα ετοιμάσει μια έκθεση η οποία</w:t>
                            </w:r>
                            <w:r w:rsidRPr="002048DB">
                              <w:rPr>
                                <w:rFonts w:cs="Segoe UI"/>
                                <w:i/>
                                <w:szCs w:val="21"/>
                                <w:lang w:val="el-GR"/>
                              </w:rPr>
                              <w:t xml:space="preserve">, εφόσον εγκριθεί από τη διοίκηση, θα παρουσιαστεί στο Εκτελεστικό Συμβούλιο του ΔΝΤ για συζήτηση και απόφαση. </w:t>
                            </w:r>
                          </w:p>
                          <w:p w:rsidR="0022594D" w:rsidRPr="0043531E" w:rsidRDefault="0022594D">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7.7pt;width:479.25pt;height:18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" fillcolor="#d8d8d8 [2732]">
                <v:textbox>
                  <w:txbxContent>
                    <w:p w:rsidR="0030297F" w:rsidRPr="002048DB" w:rsidRDefault="0043531E" w:rsidP="0043531E">
                      <w:pPr>
                        <w:spacing w:after="120"/>
                        <w:rPr>
                          <w:rFonts w:cs="Segoe UI"/>
                          <w:i/>
                          <w:szCs w:val="21"/>
                          <w:lang w:val="el-GR"/>
                        </w:rPr>
                      </w:pPr>
                      <w:r w:rsidRPr="002048DB">
                        <w:rPr>
                          <w:rFonts w:cs="Segoe UI"/>
                          <w:i/>
                          <w:szCs w:val="21"/>
                          <w:lang w:val="el-GR"/>
                        </w:rPr>
                        <w:t>Μια Δήλωση Συμπερ</w:t>
                      </w:r>
                      <w:r w:rsidR="00A66BDE">
                        <w:rPr>
                          <w:rFonts w:cs="Segoe UI"/>
                          <w:i/>
                          <w:szCs w:val="21"/>
                          <w:lang w:val="el-GR"/>
                        </w:rPr>
                        <w:t>ασμάτων περιγράφει τα πρώτα</w:t>
                      </w:r>
                      <w:r w:rsidRPr="002048DB">
                        <w:rPr>
                          <w:rFonts w:cs="Segoe UI"/>
                          <w:i/>
                          <w:szCs w:val="21"/>
                          <w:lang w:val="el-GR"/>
                        </w:rPr>
                        <w:t xml:space="preserve"> ευρήματα του προσωπικού του ΔΝΤ στο τέλος μια</w:t>
                      </w:r>
                      <w:r w:rsidR="003F2FAF">
                        <w:rPr>
                          <w:rFonts w:cs="Segoe UI"/>
                          <w:i/>
                          <w:szCs w:val="21"/>
                          <w:lang w:val="el-GR"/>
                        </w:rPr>
                        <w:t xml:space="preserve">ς </w:t>
                      </w:r>
                      <w:r w:rsidRPr="002048DB">
                        <w:rPr>
                          <w:rFonts w:cs="Segoe UI"/>
                          <w:i/>
                          <w:szCs w:val="21"/>
                          <w:lang w:val="el-GR"/>
                        </w:rPr>
                        <w:t xml:space="preserve"> επίσημης επ</w:t>
                      </w:r>
                      <w:r w:rsidR="00BE78BB" w:rsidRPr="002048DB">
                        <w:rPr>
                          <w:rFonts w:cs="Segoe UI"/>
                          <w:i/>
                          <w:szCs w:val="21"/>
                          <w:lang w:val="el-GR"/>
                        </w:rPr>
                        <w:t>ίσκεψης</w:t>
                      </w:r>
                      <w:r w:rsidRPr="002048DB">
                        <w:rPr>
                          <w:rFonts w:cs="Segoe UI"/>
                          <w:i/>
                          <w:szCs w:val="21"/>
                          <w:lang w:val="el-GR"/>
                        </w:rPr>
                        <w:t xml:space="preserve"> (ή “αποστολής”), </w:t>
                      </w:r>
                      <w:r w:rsidR="002048DB" w:rsidRPr="002048DB">
                        <w:rPr>
                          <w:rFonts w:cs="Segoe UI"/>
                          <w:i/>
                          <w:szCs w:val="21"/>
                          <w:lang w:val="el-GR"/>
                        </w:rPr>
                        <w:t>στις περισσότερες περιπτώσει</w:t>
                      </w:r>
                      <w:r w:rsidRPr="002048DB">
                        <w:rPr>
                          <w:rFonts w:cs="Segoe UI"/>
                          <w:i/>
                          <w:szCs w:val="21"/>
                          <w:lang w:val="el-GR"/>
                        </w:rPr>
                        <w:t>ς σε μια χώρα-μέλος. Οι αποστολές αναλαμβάνονται ως μέρος τακτικών (συνήθως ετήσιων) διαβουλεύσεω</w:t>
                      </w:r>
                      <w:r w:rsidR="002048DB">
                        <w:rPr>
                          <w:rFonts w:cs="Segoe UI"/>
                          <w:i/>
                          <w:szCs w:val="21"/>
                          <w:lang w:val="el-GR"/>
                        </w:rPr>
                        <w:t>ν κατά</w:t>
                      </w:r>
                      <w:r w:rsidRPr="002048DB">
                        <w:rPr>
                          <w:rFonts w:cs="Segoe UI"/>
                          <w:i/>
                          <w:szCs w:val="21"/>
                          <w:lang w:val="el-GR"/>
                        </w:rPr>
                        <w:t xml:space="preserve"> το Άρθρο 4 των Άρθρων</w:t>
                      </w:r>
                      <w:r w:rsidR="0030297F" w:rsidRPr="002048DB">
                        <w:rPr>
                          <w:rFonts w:cs="Segoe UI"/>
                          <w:i/>
                          <w:szCs w:val="21"/>
                          <w:lang w:val="el-GR"/>
                        </w:rPr>
                        <w:t xml:space="preserve"> </w:t>
                      </w:r>
                      <w:r w:rsidR="00A66BDE">
                        <w:rPr>
                          <w:rFonts w:cs="Segoe UI"/>
                          <w:i/>
                          <w:szCs w:val="21"/>
                          <w:lang w:val="el-GR"/>
                        </w:rPr>
                        <w:t xml:space="preserve">της </w:t>
                      </w:r>
                      <w:r w:rsidR="0030297F" w:rsidRPr="002048DB">
                        <w:rPr>
                          <w:rFonts w:cs="Segoe UI"/>
                          <w:i/>
                          <w:szCs w:val="21"/>
                          <w:lang w:val="el-GR"/>
                        </w:rPr>
                        <w:t xml:space="preserve">Συμφωνίας του ΔΝΤ, στο πλαίσιο ενός αιτήματος για τη χρήση πόρων του ΔΝΤ (δανεισμός από το ΔΝΤ), ως μέρος των συζητήσεων στο πλαίσιο προγραμμάτων που παρακολουθούνται από το προσωπικό ή ως μέρος άλλου τύπου παρακολούθησης οικονομικών εξελίξεων από το προσωπικό. </w:t>
                      </w:r>
                    </w:p>
                    <w:p w:rsidR="0043531E" w:rsidRPr="002048DB" w:rsidRDefault="0030297F" w:rsidP="0043531E">
                      <w:pPr>
                        <w:spacing w:after="120"/>
                        <w:rPr>
                          <w:rFonts w:cs="Segoe UI"/>
                          <w:i/>
                          <w:szCs w:val="21"/>
                          <w:lang w:val="el-GR"/>
                        </w:rPr>
                      </w:pPr>
                      <w:r w:rsidRPr="002048DB">
                        <w:rPr>
                          <w:rFonts w:cs="Segoe UI"/>
                          <w:i/>
                          <w:szCs w:val="21"/>
                          <w:lang w:val="el-GR"/>
                        </w:rPr>
                        <w:t>Οι αρχές</w:t>
                      </w:r>
                      <w:r w:rsidR="002C4E84">
                        <w:rPr>
                          <w:rFonts w:cs="Segoe UI"/>
                          <w:i/>
                          <w:szCs w:val="21"/>
                          <w:lang w:val="el-GR"/>
                        </w:rPr>
                        <w:t xml:space="preserve"> έχουν συναινέσει</w:t>
                      </w:r>
                      <w:r w:rsidRPr="002048DB">
                        <w:rPr>
                          <w:rFonts w:cs="Segoe UI"/>
                          <w:i/>
                          <w:szCs w:val="21"/>
                          <w:lang w:val="el-GR"/>
                        </w:rPr>
                        <w:t xml:space="preserve"> στη δημοσίευση αυτής της δήλωσης. Οι απόψεις που εκφράζονται σε αυτή τη δήλωση είναι αυτές του προσωπικού του ΔΝΤ και δεν αντιπροσωπεύουν απαραίτητα τις απόψεις του Εκτελεστικού Συμβουλίου του ΔΝΤ. Με βάση τ</w:t>
                      </w:r>
                      <w:r w:rsidR="00A66BDE">
                        <w:rPr>
                          <w:rFonts w:cs="Segoe UI"/>
                          <w:i/>
                          <w:szCs w:val="21"/>
                          <w:lang w:val="el-GR"/>
                        </w:rPr>
                        <w:t>α πρώτα</w:t>
                      </w:r>
                      <w:r w:rsidRPr="002048DB">
                        <w:rPr>
                          <w:rFonts w:cs="Segoe UI"/>
                          <w:i/>
                          <w:szCs w:val="21"/>
                          <w:lang w:val="el-GR"/>
                        </w:rPr>
                        <w:t xml:space="preserve"> ευρήματα αυτής της αποστολής, το προσω</w:t>
                      </w:r>
                      <w:r w:rsidR="00A66BDE">
                        <w:rPr>
                          <w:rFonts w:cs="Segoe UI"/>
                          <w:i/>
                          <w:szCs w:val="21"/>
                          <w:lang w:val="el-GR"/>
                        </w:rPr>
                        <w:t>πικό θα ετοιμάσει μια έκθεση η οποία</w:t>
                      </w:r>
                      <w:r w:rsidRPr="002048DB">
                        <w:rPr>
                          <w:rFonts w:cs="Segoe UI"/>
                          <w:i/>
                          <w:szCs w:val="21"/>
                          <w:lang w:val="el-GR"/>
                        </w:rPr>
                        <w:t xml:space="preserve">, εφόσον εγκριθεί από τη διοίκηση, θα παρουσιαστεί στο Εκτελεστικό Συμβούλιο του ΔΝΤ για συζήτηση και απόφαση. </w:t>
                      </w:r>
                    </w:p>
                    <w:p w:rsidR="0022594D" w:rsidRPr="0043531E" w:rsidRDefault="0022594D">
                      <w:pPr>
                        <w:rPr>
                          <w:lang w:val="el-GR"/>
                        </w:rPr>
                      </w:pPr>
                    </w:p>
                  </w:txbxContent>
                </v:textbox>
                <w10:wrap type="square" anchorx="margin"/>
              </v:shape>
            </w:pict>
          </mc:Fallback>
        </mc:AlternateContent>
      </w:r>
    </w:p>
    <w:p w:rsidR="004769C1" w:rsidRDefault="004769C1" w:rsidP="00033BC2">
      <w:pPr>
        <w:spacing w:after="120"/>
        <w:rPr>
          <w:rFonts w:cs="Segoe UI"/>
          <w:i/>
          <w:szCs w:val="21"/>
          <w:lang w:val="el-GR"/>
        </w:rPr>
      </w:pPr>
    </w:p>
    <w:p w:rsidR="0030297F" w:rsidRDefault="0030297F" w:rsidP="00033BC2">
      <w:pPr>
        <w:spacing w:after="120"/>
        <w:rPr>
          <w:rFonts w:cs="Segoe UI"/>
          <w:i/>
          <w:szCs w:val="21"/>
          <w:lang w:val="el-GR"/>
        </w:rPr>
      </w:pPr>
      <w:r w:rsidRPr="00A66BDE">
        <w:rPr>
          <w:rFonts w:cs="Segoe UI"/>
          <w:i/>
          <w:szCs w:val="21"/>
          <w:lang w:val="el-GR"/>
        </w:rPr>
        <w:t xml:space="preserve">Η Ελλάδα έχει πετύχει πολλά, αλλά βρίσκεται ακόμη αντιμέτωπη με πολλές προκλήσεις. Η </w:t>
      </w:r>
      <w:r w:rsidR="00A66BDE" w:rsidRPr="00A66BDE">
        <w:rPr>
          <w:rFonts w:cs="Segoe UI"/>
          <w:i/>
          <w:szCs w:val="21"/>
          <w:lang w:val="el-GR"/>
        </w:rPr>
        <w:t>Ελλάδα θα βγει από την περίοδο του προγρά</w:t>
      </w:r>
      <w:r w:rsidRPr="00A66BDE">
        <w:rPr>
          <w:rFonts w:cs="Segoe UI"/>
          <w:i/>
          <w:szCs w:val="21"/>
          <w:lang w:val="el-GR"/>
        </w:rPr>
        <w:t>μμα</w:t>
      </w:r>
      <w:r w:rsidR="00A66BDE" w:rsidRPr="00A66BDE">
        <w:rPr>
          <w:rFonts w:cs="Segoe UI"/>
          <w:i/>
          <w:szCs w:val="21"/>
          <w:lang w:val="el-GR"/>
        </w:rPr>
        <w:t>τος</w:t>
      </w:r>
      <w:r w:rsidRPr="00A66BDE">
        <w:rPr>
          <w:rFonts w:cs="Segoe UI"/>
          <w:i/>
          <w:szCs w:val="21"/>
          <w:lang w:val="el-GR"/>
        </w:rPr>
        <w:t xml:space="preserve"> έχοντας σε μεγάλο βαθμό εξαλείψει μακροοικο</w:t>
      </w:r>
      <w:r w:rsidR="00A74FE2">
        <w:rPr>
          <w:rFonts w:cs="Segoe UI"/>
          <w:i/>
          <w:szCs w:val="21"/>
          <w:lang w:val="el-GR"/>
        </w:rPr>
        <w:t>νομικές ανισορροπίες</w:t>
      </w:r>
      <w:r w:rsidRPr="00A66BDE">
        <w:rPr>
          <w:rFonts w:cs="Segoe UI"/>
          <w:i/>
          <w:szCs w:val="21"/>
          <w:lang w:val="el-GR"/>
        </w:rPr>
        <w:t>.</w:t>
      </w:r>
      <w:r w:rsidR="00817801">
        <w:rPr>
          <w:rFonts w:cs="Segoe UI"/>
          <w:i/>
          <w:szCs w:val="21"/>
          <w:lang w:val="el-GR"/>
        </w:rPr>
        <w:t xml:space="preserve"> Μερικές σημαντικές μεταρρυθμίσεις έχουν εφαρμοστεί, η</w:t>
      </w:r>
      <w:r w:rsidRPr="00A66BDE">
        <w:rPr>
          <w:rFonts w:cs="Segoe UI"/>
          <w:i/>
          <w:szCs w:val="21"/>
          <w:lang w:val="el-GR"/>
        </w:rPr>
        <w:t xml:space="preserve"> ανάπτυξη επέστρεψε, η ανεργία </w:t>
      </w:r>
      <w:r w:rsidR="00447724" w:rsidRPr="00A66BDE">
        <w:rPr>
          <w:rFonts w:cs="Segoe UI"/>
          <w:i/>
          <w:szCs w:val="21"/>
          <w:lang w:val="el-GR"/>
        </w:rPr>
        <w:t>υποχωρεί (αν και είναι ακόμη πολύ υψηλή) και το προσφάτως συμφωνημένο πακέτο για την ελάφρυση του χρέους θα εξασφαλίσει την μεσοπρόθεσμη βιωσιμότητα. Όμως σημαντικές παρακαταθήκες της κρίσης και μια ατζέντα μεταρρυθμίσεων</w:t>
      </w:r>
      <w:r w:rsidR="000B4299">
        <w:rPr>
          <w:rFonts w:cs="Segoe UI"/>
          <w:i/>
          <w:szCs w:val="21"/>
          <w:lang w:val="el-GR"/>
        </w:rPr>
        <w:t xml:space="preserve"> που δεν έχει ολοκληρωθεί</w:t>
      </w:r>
      <w:r w:rsidR="00447724" w:rsidRPr="00A66BDE">
        <w:rPr>
          <w:rFonts w:cs="Segoe UI"/>
          <w:i/>
          <w:szCs w:val="21"/>
          <w:lang w:val="el-GR"/>
        </w:rPr>
        <w:t xml:space="preserve"> </w:t>
      </w:r>
      <w:r w:rsidR="00A66BDE" w:rsidRPr="00A66BDE">
        <w:rPr>
          <w:rFonts w:cs="Segoe UI"/>
          <w:i/>
          <w:szCs w:val="21"/>
          <w:lang w:val="el-GR"/>
        </w:rPr>
        <w:t>εμποδίζουν</w:t>
      </w:r>
      <w:r w:rsidR="00D7211E">
        <w:rPr>
          <w:rFonts w:cs="Segoe UI"/>
          <w:i/>
          <w:szCs w:val="21"/>
          <w:lang w:val="el-GR"/>
        </w:rPr>
        <w:t xml:space="preserve"> ακόμη</w:t>
      </w:r>
      <w:r w:rsidR="00A66BDE" w:rsidRPr="00A66BDE">
        <w:rPr>
          <w:rFonts w:cs="Segoe UI"/>
          <w:i/>
          <w:szCs w:val="21"/>
          <w:lang w:val="el-GR"/>
        </w:rPr>
        <w:t xml:space="preserve"> την τ</w:t>
      </w:r>
      <w:r w:rsidR="00447724" w:rsidRPr="00A66BDE">
        <w:rPr>
          <w:rFonts w:cs="Segoe UI"/>
          <w:i/>
          <w:szCs w:val="21"/>
          <w:lang w:val="el-GR"/>
        </w:rPr>
        <w:t>αχύτερη ανάπ</w:t>
      </w:r>
      <w:r w:rsidR="00A66BDE" w:rsidRPr="00A66BDE">
        <w:rPr>
          <w:rFonts w:cs="Segoe UI"/>
          <w:i/>
          <w:szCs w:val="21"/>
          <w:lang w:val="el-GR"/>
        </w:rPr>
        <w:t xml:space="preserve">τυξη, ενώ η συμμετοχή ως μέλος στην </w:t>
      </w:r>
      <w:r w:rsidR="00447724" w:rsidRPr="00A66BDE">
        <w:rPr>
          <w:rFonts w:cs="Segoe UI"/>
          <w:i/>
          <w:szCs w:val="21"/>
          <w:lang w:val="el-GR"/>
        </w:rPr>
        <w:t xml:space="preserve">νομισματική ένωση και </w:t>
      </w:r>
      <w:r w:rsidR="000B4299">
        <w:rPr>
          <w:rFonts w:cs="Segoe UI"/>
          <w:i/>
          <w:szCs w:val="21"/>
          <w:lang w:val="el-GR"/>
        </w:rPr>
        <w:t>οι στόχοι των υψηλών</w:t>
      </w:r>
      <w:r w:rsidR="00447724" w:rsidRPr="00A66BDE">
        <w:rPr>
          <w:rFonts w:cs="Segoe UI"/>
          <w:i/>
          <w:szCs w:val="21"/>
          <w:lang w:val="el-GR"/>
        </w:rPr>
        <w:t xml:space="preserve"> πρωτογεν</w:t>
      </w:r>
      <w:r w:rsidR="000B4299">
        <w:rPr>
          <w:rFonts w:cs="Segoe UI"/>
          <w:i/>
          <w:szCs w:val="21"/>
          <w:lang w:val="el-GR"/>
        </w:rPr>
        <w:t>ών πλεονασμάτων</w:t>
      </w:r>
      <w:r w:rsidR="00447724" w:rsidRPr="00A66BDE">
        <w:rPr>
          <w:rFonts w:cs="Segoe UI"/>
          <w:i/>
          <w:szCs w:val="21"/>
          <w:lang w:val="el-GR"/>
        </w:rPr>
        <w:t xml:space="preserve"> περιορίζουν τις επιλογές πολιτικής. Η ενίσχυση της ανάπτυξης και του επιπέδου διαβίωσης συνεπώς θα εξαρτηθεί από την βελτίωση του δημοσιονομικού μείγματος πολιτικής, από την επιδιόρθωση των οικονομικών ισολογισμών στον χρηματοπιστωτικό τομέα, από την περαιτέρω απελευθέρωση των αγορών προϊόντων και υπηρεσιών και από την ενδυνάμωση της αποδοτικότητας </w:t>
      </w:r>
      <w:r w:rsidR="00A66BDE" w:rsidRPr="00A66BDE">
        <w:rPr>
          <w:rFonts w:cs="Segoe UI"/>
          <w:i/>
          <w:szCs w:val="21"/>
          <w:lang w:val="el-GR"/>
        </w:rPr>
        <w:t>και της διακυβέρνησης στον δημόσιο τομέα.</w:t>
      </w:r>
      <w:r w:rsidR="00447724" w:rsidRPr="00A66BDE">
        <w:rPr>
          <w:rFonts w:cs="Segoe UI"/>
          <w:i/>
          <w:szCs w:val="21"/>
          <w:lang w:val="el-GR"/>
        </w:rPr>
        <w:t xml:space="preserve"> </w:t>
      </w:r>
    </w:p>
    <w:p w:rsidR="004769C1" w:rsidRPr="00A66BDE" w:rsidRDefault="004769C1" w:rsidP="00033BC2">
      <w:pPr>
        <w:spacing w:after="120"/>
        <w:rPr>
          <w:rFonts w:cs="Segoe UI"/>
          <w:i/>
          <w:szCs w:val="21"/>
          <w:lang w:val="el-GR"/>
        </w:rPr>
      </w:pPr>
      <w:bookmarkStart w:id="0" w:name="_GoBack"/>
      <w:bookmarkEnd w:id="0"/>
    </w:p>
    <w:p w:rsidR="00447724" w:rsidRDefault="00447724" w:rsidP="00033BC2">
      <w:pPr>
        <w:pStyle w:val="ParagraphNumbering"/>
        <w:numPr>
          <w:ilvl w:val="0"/>
          <w:numId w:val="1"/>
        </w:numPr>
        <w:tabs>
          <w:tab w:val="num" w:pos="2880"/>
        </w:tabs>
        <w:spacing w:after="120"/>
        <w:rPr>
          <w:rFonts w:cs="Segoe UI"/>
          <w:szCs w:val="21"/>
          <w:lang w:val="el-GR"/>
        </w:rPr>
      </w:pPr>
      <w:r w:rsidRPr="00553A7A">
        <w:rPr>
          <w:rFonts w:cs="Segoe UI"/>
          <w:b/>
          <w:bCs/>
          <w:szCs w:val="21"/>
          <w:lang w:val="el-GR"/>
        </w:rPr>
        <w:t>Η ανάπτυξη επέστρεψε στην Ελλάδα, με τη βοήθεια μιας εντυπωσιακής προσπάθειας μακροοικονομικής σταθεροποίησης, δομικών μεταρρυθμίσεων και ενός βελτιωμένου εξωτερικού περιβάλλοντος</w:t>
      </w:r>
      <w:r w:rsidRPr="00553A7A">
        <w:rPr>
          <w:rFonts w:cs="Segoe UI"/>
          <w:szCs w:val="21"/>
          <w:lang w:val="el-GR"/>
        </w:rPr>
        <w:t>. Η Ελλάδα αξίζει να λάβει αναγνώριση γ</w:t>
      </w:r>
      <w:r w:rsidR="00994262" w:rsidRPr="00553A7A">
        <w:rPr>
          <w:rFonts w:cs="Segoe UI"/>
          <w:szCs w:val="21"/>
          <w:lang w:val="el-GR"/>
        </w:rPr>
        <w:t>ια σημαντικές προσαρμογές στο δημοσιονομικό τομέα και στον τομέα</w:t>
      </w:r>
      <w:r w:rsidR="002D7C16">
        <w:rPr>
          <w:rFonts w:cs="Segoe UI"/>
          <w:szCs w:val="21"/>
          <w:lang w:val="el-GR"/>
        </w:rPr>
        <w:t xml:space="preserve"> του ισοζυγίου των Τ</w:t>
      </w:r>
      <w:r w:rsidR="00994262" w:rsidRPr="00553A7A">
        <w:rPr>
          <w:rFonts w:cs="Segoe UI"/>
          <w:szCs w:val="21"/>
          <w:lang w:val="el-GR"/>
        </w:rPr>
        <w:t>ρεχ</w:t>
      </w:r>
      <w:r w:rsidR="002D7C16">
        <w:rPr>
          <w:rFonts w:cs="Segoe UI"/>
          <w:szCs w:val="21"/>
          <w:lang w:val="el-GR"/>
        </w:rPr>
        <w:t>ουσών Σ</w:t>
      </w:r>
      <w:r w:rsidR="00ED5322">
        <w:rPr>
          <w:rFonts w:cs="Segoe UI"/>
          <w:szCs w:val="21"/>
          <w:lang w:val="el-GR"/>
        </w:rPr>
        <w:t>υναλλαγών</w:t>
      </w:r>
      <w:r w:rsidR="00994262" w:rsidRPr="00553A7A">
        <w:rPr>
          <w:rFonts w:cs="Segoe UI"/>
          <w:szCs w:val="21"/>
          <w:lang w:val="el-GR"/>
        </w:rPr>
        <w:t xml:space="preserve"> και για την εφαρμογή </w:t>
      </w:r>
      <w:r w:rsidR="00553A7A" w:rsidRPr="00553A7A">
        <w:rPr>
          <w:rFonts w:cs="Segoe UI"/>
          <w:szCs w:val="21"/>
          <w:lang w:val="el-GR"/>
        </w:rPr>
        <w:t>μερικών βασικών</w:t>
      </w:r>
      <w:r w:rsidR="00994262" w:rsidRPr="00553A7A">
        <w:rPr>
          <w:rFonts w:cs="Segoe UI"/>
          <w:szCs w:val="21"/>
          <w:lang w:val="el-GR"/>
        </w:rPr>
        <w:t xml:space="preserve"> δομικών μεταρρυθμίσεων τα τελευταία χρόνια. Αυτές οι </w:t>
      </w:r>
      <w:r w:rsidR="00994262" w:rsidRPr="00553A7A">
        <w:rPr>
          <w:rFonts w:cs="Segoe UI"/>
          <w:szCs w:val="21"/>
          <w:lang w:val="el-GR"/>
        </w:rPr>
        <w:lastRenderedPageBreak/>
        <w:t xml:space="preserve">προσπάθειες, σε συνδυασμό με την σημαντική </w:t>
      </w:r>
      <w:r w:rsidR="00553A7A" w:rsidRPr="00553A7A">
        <w:rPr>
          <w:rFonts w:cs="Segoe UI"/>
          <w:szCs w:val="21"/>
          <w:lang w:val="el-GR"/>
        </w:rPr>
        <w:t xml:space="preserve">Ευρωπαϊκή </w:t>
      </w:r>
      <w:r w:rsidR="00994262" w:rsidRPr="00553A7A">
        <w:rPr>
          <w:rFonts w:cs="Segoe UI"/>
          <w:szCs w:val="21"/>
          <w:lang w:val="el-GR"/>
        </w:rPr>
        <w:t xml:space="preserve">υποστήριξη </w:t>
      </w:r>
      <w:r w:rsidR="00553A7A" w:rsidRPr="00553A7A">
        <w:rPr>
          <w:rFonts w:cs="Segoe UI"/>
          <w:szCs w:val="21"/>
          <w:lang w:val="el-GR"/>
        </w:rPr>
        <w:t>και ένα περισσότερο</w:t>
      </w:r>
      <w:r w:rsidR="00994262" w:rsidRPr="00553A7A">
        <w:rPr>
          <w:rFonts w:cs="Segoe UI"/>
          <w:szCs w:val="21"/>
          <w:lang w:val="el-GR"/>
        </w:rPr>
        <w:t xml:space="preserve"> ευνοϊκό εξωτερικό περιβάλλον, επέτρεψαν την</w:t>
      </w:r>
      <w:r w:rsidR="00553A7A" w:rsidRPr="00553A7A">
        <w:rPr>
          <w:rFonts w:cs="Segoe UI"/>
          <w:szCs w:val="21"/>
          <w:lang w:val="el-GR"/>
        </w:rPr>
        <w:t xml:space="preserve"> επιστροφή στην ανάπτυξη</w:t>
      </w:r>
      <w:r w:rsidR="00994262" w:rsidRPr="00553A7A">
        <w:rPr>
          <w:rFonts w:cs="Segoe UI"/>
          <w:szCs w:val="21"/>
          <w:lang w:val="el-GR"/>
        </w:rPr>
        <w:t>, με το πραγματικό ΑΕΠ να α</w:t>
      </w:r>
      <w:r w:rsidR="002D7C16">
        <w:rPr>
          <w:rFonts w:cs="Segoe UI"/>
          <w:szCs w:val="21"/>
          <w:lang w:val="el-GR"/>
        </w:rPr>
        <w:t>υξάνεται κατά</w:t>
      </w:r>
      <w:r w:rsidR="00994262" w:rsidRPr="00553A7A">
        <w:rPr>
          <w:rFonts w:cs="Segoe UI"/>
          <w:szCs w:val="21"/>
          <w:lang w:val="el-GR"/>
        </w:rPr>
        <w:t xml:space="preserve"> 1.4 τοις εκατό</w:t>
      </w:r>
      <w:r w:rsidR="00553A7A" w:rsidRPr="00553A7A">
        <w:rPr>
          <w:rFonts w:cs="Segoe UI"/>
          <w:szCs w:val="21"/>
          <w:lang w:val="el-GR"/>
        </w:rPr>
        <w:t xml:space="preserve"> το 2017 και να αναμένεται</w:t>
      </w:r>
      <w:r w:rsidR="00994262" w:rsidRPr="00553A7A">
        <w:rPr>
          <w:rFonts w:cs="Segoe UI"/>
          <w:szCs w:val="21"/>
          <w:lang w:val="el-GR"/>
        </w:rPr>
        <w:t xml:space="preserve"> να </w:t>
      </w:r>
      <w:r w:rsidR="002D7C16">
        <w:rPr>
          <w:rFonts w:cs="Segoe UI"/>
          <w:szCs w:val="21"/>
          <w:lang w:val="el-GR"/>
        </w:rPr>
        <w:t>αυξηθεί κατά</w:t>
      </w:r>
      <w:r w:rsidR="00994262" w:rsidRPr="00553A7A">
        <w:rPr>
          <w:rFonts w:cs="Segoe UI"/>
          <w:szCs w:val="21"/>
          <w:lang w:val="el-GR"/>
        </w:rPr>
        <w:t xml:space="preserve"> 2 </w:t>
      </w:r>
      <w:r w:rsidR="00553A7A" w:rsidRPr="00553A7A">
        <w:rPr>
          <w:rFonts w:cs="Segoe UI"/>
          <w:szCs w:val="21"/>
          <w:lang w:val="el-GR"/>
        </w:rPr>
        <w:t>τοις ε</w:t>
      </w:r>
      <w:r w:rsidR="00BD01DE">
        <w:rPr>
          <w:rFonts w:cs="Segoe UI"/>
          <w:szCs w:val="21"/>
          <w:lang w:val="el-GR"/>
        </w:rPr>
        <w:t>κατό</w:t>
      </w:r>
      <w:r w:rsidR="00994262" w:rsidRPr="00553A7A">
        <w:rPr>
          <w:rFonts w:cs="Segoe UI"/>
          <w:szCs w:val="21"/>
          <w:lang w:val="el-GR"/>
        </w:rPr>
        <w:t xml:space="preserve"> τη</w:t>
      </w:r>
      <w:r w:rsidR="00BD01DE">
        <w:rPr>
          <w:rFonts w:cs="Segoe UI"/>
          <w:szCs w:val="21"/>
          <w:lang w:val="el-GR"/>
        </w:rPr>
        <w:t>ν τρέχουσα</w:t>
      </w:r>
      <w:r w:rsidR="00994262" w:rsidRPr="00553A7A">
        <w:rPr>
          <w:rFonts w:cs="Segoe UI"/>
          <w:szCs w:val="21"/>
          <w:lang w:val="el-GR"/>
        </w:rPr>
        <w:t xml:space="preserve"> χρονιά και</w:t>
      </w:r>
      <w:r w:rsidR="000B4299" w:rsidRPr="000B4299">
        <w:rPr>
          <w:rFonts w:cs="Segoe UI"/>
          <w:szCs w:val="21"/>
          <w:lang w:val="el-GR"/>
        </w:rPr>
        <w:t xml:space="preserve"> </w:t>
      </w:r>
      <w:r w:rsidR="000B4299">
        <w:rPr>
          <w:rFonts w:cs="Segoe UI"/>
          <w:szCs w:val="21"/>
          <w:lang w:val="el-GR"/>
        </w:rPr>
        <w:t>κατά</w:t>
      </w:r>
      <w:r w:rsidR="00994262" w:rsidRPr="00553A7A">
        <w:rPr>
          <w:rFonts w:cs="Segoe UI"/>
          <w:szCs w:val="21"/>
          <w:lang w:val="el-GR"/>
        </w:rPr>
        <w:t xml:space="preserve"> 2.4 τοις εκατό το 2019. Καθώς το παραγωγικό κενό κλείνει, η ανεργία αναμένεται να πέσει από </w:t>
      </w:r>
      <w:r w:rsidR="00BD01DE">
        <w:rPr>
          <w:rFonts w:cs="Segoe UI"/>
          <w:szCs w:val="21"/>
          <w:lang w:val="el-GR"/>
        </w:rPr>
        <w:t xml:space="preserve">περίπου 20 τοις εκατό την τρέχουσα </w:t>
      </w:r>
      <w:r w:rsidR="00817801">
        <w:rPr>
          <w:rFonts w:cs="Segoe UI"/>
          <w:szCs w:val="21"/>
          <w:lang w:val="el-GR"/>
        </w:rPr>
        <w:t>χρόνια</w:t>
      </w:r>
      <w:r w:rsidR="00994262" w:rsidRPr="00553A7A">
        <w:rPr>
          <w:rFonts w:cs="Segoe UI"/>
          <w:szCs w:val="21"/>
          <w:lang w:val="el-GR"/>
        </w:rPr>
        <w:t xml:space="preserve"> σε </w:t>
      </w:r>
      <w:r w:rsidR="00D80A11">
        <w:rPr>
          <w:rFonts w:cs="Segoe UI"/>
          <w:szCs w:val="21"/>
          <w:lang w:val="el-GR"/>
        </w:rPr>
        <w:t>περίπου 14 τοι</w:t>
      </w:r>
      <w:r w:rsidR="00553A7A" w:rsidRPr="00553A7A">
        <w:rPr>
          <w:rFonts w:cs="Segoe UI"/>
          <w:szCs w:val="21"/>
          <w:lang w:val="el-GR"/>
        </w:rPr>
        <w:t xml:space="preserve">ς εκατό </w:t>
      </w:r>
      <w:r w:rsidR="00BD01DE">
        <w:rPr>
          <w:rFonts w:cs="Segoe UI"/>
          <w:szCs w:val="21"/>
          <w:lang w:val="el-GR"/>
        </w:rPr>
        <w:t xml:space="preserve">μέχρι </w:t>
      </w:r>
      <w:r w:rsidR="00553A7A" w:rsidRPr="00553A7A">
        <w:rPr>
          <w:rFonts w:cs="Segoe UI"/>
          <w:szCs w:val="21"/>
          <w:lang w:val="el-GR"/>
        </w:rPr>
        <w:t>το 2023. Οι ε</w:t>
      </w:r>
      <w:r w:rsidR="00994262" w:rsidRPr="00553A7A">
        <w:rPr>
          <w:rFonts w:cs="Segoe UI"/>
          <w:szCs w:val="21"/>
          <w:lang w:val="el-GR"/>
        </w:rPr>
        <w:t>ξωτερικοί και εγχώριοι κίνδυνοι</w:t>
      </w:r>
      <w:r w:rsidR="00553A7A" w:rsidRPr="00553A7A">
        <w:rPr>
          <w:rFonts w:cs="Segoe UI"/>
          <w:szCs w:val="21"/>
          <w:lang w:val="el-GR"/>
        </w:rPr>
        <w:t xml:space="preserve"> είναι σημαντικοί και συμπεριλαμβάνουν την</w:t>
      </w:r>
      <w:r w:rsidR="00994262" w:rsidRPr="00553A7A">
        <w:rPr>
          <w:rFonts w:cs="Segoe UI"/>
          <w:szCs w:val="21"/>
          <w:lang w:val="el-GR"/>
        </w:rPr>
        <w:t xml:space="preserve"> επιβράδυνση της ανάπτ</w:t>
      </w:r>
      <w:r w:rsidR="00553A7A" w:rsidRPr="00553A7A">
        <w:rPr>
          <w:rFonts w:cs="Segoe UI"/>
          <w:szCs w:val="21"/>
          <w:lang w:val="el-GR"/>
        </w:rPr>
        <w:t>υξης των εμπορικών εταίρων, τις πιο περιοριστικές παγκόσμιες οικονομικές</w:t>
      </w:r>
      <w:r w:rsidR="00994262" w:rsidRPr="00553A7A">
        <w:rPr>
          <w:rFonts w:cs="Segoe UI"/>
          <w:szCs w:val="21"/>
          <w:lang w:val="el-GR"/>
        </w:rPr>
        <w:t xml:space="preserve"> συν</w:t>
      </w:r>
      <w:r w:rsidR="00553A7A" w:rsidRPr="00553A7A">
        <w:rPr>
          <w:rFonts w:cs="Segoe UI"/>
          <w:szCs w:val="21"/>
          <w:lang w:val="el-GR"/>
        </w:rPr>
        <w:t xml:space="preserve">θήκες, </w:t>
      </w:r>
      <w:r w:rsidR="00BD01DE">
        <w:rPr>
          <w:rFonts w:cs="Segoe UI"/>
          <w:szCs w:val="21"/>
          <w:lang w:val="el-GR"/>
        </w:rPr>
        <w:t xml:space="preserve">την αστάθεια στην περιοχή, </w:t>
      </w:r>
      <w:r w:rsidR="00553A7A" w:rsidRPr="00553A7A">
        <w:rPr>
          <w:rFonts w:cs="Segoe UI"/>
          <w:szCs w:val="21"/>
          <w:lang w:val="el-GR"/>
        </w:rPr>
        <w:t xml:space="preserve">το εγχώριο πολιτικό ημερολόγιο </w:t>
      </w:r>
      <w:r w:rsidR="00994262" w:rsidRPr="00553A7A">
        <w:rPr>
          <w:rFonts w:cs="Segoe UI"/>
          <w:szCs w:val="21"/>
          <w:lang w:val="el-GR"/>
        </w:rPr>
        <w:t xml:space="preserve">και </w:t>
      </w:r>
      <w:r w:rsidR="00553A7A" w:rsidRPr="00553A7A">
        <w:rPr>
          <w:rFonts w:cs="Segoe UI"/>
          <w:szCs w:val="21"/>
          <w:lang w:val="el-GR"/>
        </w:rPr>
        <w:t>την</w:t>
      </w:r>
      <w:r w:rsidR="00994262" w:rsidRPr="00553A7A">
        <w:rPr>
          <w:rFonts w:cs="Segoe UI"/>
          <w:szCs w:val="21"/>
          <w:lang w:val="el-GR"/>
        </w:rPr>
        <w:t xml:space="preserve"> μεταρρυθμιστική κόπωση. </w:t>
      </w:r>
    </w:p>
    <w:p w:rsidR="0024260A" w:rsidRDefault="0024260A" w:rsidP="0024260A">
      <w:pPr>
        <w:pStyle w:val="ParagraphNumbering"/>
        <w:numPr>
          <w:ilvl w:val="0"/>
          <w:numId w:val="0"/>
        </w:numPr>
        <w:tabs>
          <w:tab w:val="num" w:pos="2880"/>
        </w:tabs>
        <w:spacing w:after="120"/>
        <w:rPr>
          <w:rFonts w:cs="Segoe UI"/>
          <w:szCs w:val="21"/>
          <w:lang w:val="el-GR"/>
        </w:rPr>
      </w:pPr>
    </w:p>
    <w:p w:rsidR="004E5F86" w:rsidRDefault="004E5F86" w:rsidP="004E5F86">
      <w:pPr>
        <w:pStyle w:val="ParagraphNumbering"/>
        <w:numPr>
          <w:ilvl w:val="0"/>
          <w:numId w:val="1"/>
        </w:numPr>
        <w:spacing w:after="120"/>
        <w:rPr>
          <w:rFonts w:cs="Segoe UI"/>
          <w:szCs w:val="21"/>
          <w:lang w:val="el-GR"/>
        </w:rPr>
      </w:pPr>
      <w:r>
        <w:rPr>
          <w:rFonts w:cs="Segoe UI"/>
          <w:b/>
          <w:szCs w:val="21"/>
          <w:lang w:val="el-GR"/>
        </w:rPr>
        <w:t>Η ελάφρυνση χρέους η οποία συμφωνήθηκε πρόσφατα με τους Ευρωπαίους εταίρους της Ελλάδας έχει βελτιώσει σε σημαντικό βαθμό τη βιωσιμότητα του χρέους μεσοπρόθεσμα, αλλά οι περισσότερο μακροπρόθεσμες προοπτικές παραμένουν αβέβαιες.</w:t>
      </w:r>
      <w:r>
        <w:rPr>
          <w:rFonts w:cs="Segoe UI"/>
          <w:szCs w:val="21"/>
          <w:lang w:val="el-GR"/>
        </w:rPr>
        <w:t xml:space="preserve"> Η επέκταση των ωριμάνσεων κατά 10 χρόνια και άλλα μέτρα για την ελάφρυνση του χρέους, σε συνδυασμό με ένα μεγάλο μαξιλάρι ρευστότητας, θα εξασφαλίσουν μια σταθερή μείωση στο χρέος και τις ακαθάριστες χρηματοδοτικές ανάγκες ως ποσοστό του ΑΕΠ μεσοπρόθεσμα και αυτό θα πρέπει να βελτιώσει σημαντικά τις προοπτικές ώστε η Ελλάδα να διατηρήσει την πρόσβαση σε χρηματοδότηση από τις αγορές μεσοπρόθεσμα. Το προσωπικό, εντούτοις, ανησυχεί ότι αυτή η βελτίωση στους δείκτες του χρέους μπορεί να διατηρηθεί περισσότερο μακροπρόθεσμα μόνο υπό φαινομενικά πολύ φιλόδοξες παραδοχές αναφορικά με την αύξηση του ΑΕΠ και την ικανότητα της Ελλάδας να επιτύχει υψηλά πρωτογενή δημοσιονομικά πλεονάσματα, γεγονός που υποδεικνύει ότι</w:t>
      </w:r>
      <w:r w:rsidR="0024260A">
        <w:rPr>
          <w:rFonts w:cs="Segoe UI"/>
          <w:szCs w:val="21"/>
          <w:lang w:val="el-GR"/>
        </w:rPr>
        <w:t xml:space="preserve"> θα</w:t>
      </w:r>
      <w:r>
        <w:rPr>
          <w:rFonts w:cs="Segoe UI"/>
          <w:szCs w:val="21"/>
          <w:lang w:val="el-GR"/>
        </w:rPr>
        <w:t xml:space="preserve"> ήταν δύσκολο να διατηρηθεί πρόσβαση στις αγορές περισσότερο μακροπρόθεσμα χωρίς περαιτέρω ελάφρυνση του χρέους. Υπό αυτό το πρίσμα, το προσωπικό καλωσορίζει τη δέσμευση των Ευρωπαίων εταίρων να παρέχουν επιπρόσθετη ελάφρυνση εάν χρειαστεί, αλλά πιστεύει πως είναι κρίσιμης σημασίας οποιαδήποτε τέτοια πρόσθετη ελάφρυνση να στηρίζεται σε ρεαλιστικές παραδοχές, ιδιαίτερα σχετικά με την ικανότητα της Ελλάδας να διατηρεί ιδιαίτερα υψηλά πρωτογενή πλεονάσματα. </w:t>
      </w:r>
    </w:p>
    <w:p w:rsidR="004E5F86" w:rsidRDefault="004E5F86" w:rsidP="004E5F86">
      <w:pPr>
        <w:pStyle w:val="ParagraphNumbering"/>
        <w:numPr>
          <w:ilvl w:val="0"/>
          <w:numId w:val="0"/>
        </w:numPr>
        <w:tabs>
          <w:tab w:val="num" w:pos="2880"/>
        </w:tabs>
        <w:spacing w:after="120"/>
        <w:rPr>
          <w:rFonts w:cs="Segoe UI"/>
          <w:szCs w:val="21"/>
          <w:lang w:val="el-GR"/>
        </w:rPr>
      </w:pPr>
    </w:p>
    <w:p w:rsidR="00622ABA" w:rsidRPr="00485E2D" w:rsidRDefault="00622ABA" w:rsidP="00033BC2">
      <w:pPr>
        <w:pStyle w:val="ParagraphNumbering"/>
        <w:numPr>
          <w:ilvl w:val="0"/>
          <w:numId w:val="1"/>
        </w:numPr>
        <w:tabs>
          <w:tab w:val="num" w:pos="2880"/>
        </w:tabs>
        <w:spacing w:after="120"/>
        <w:rPr>
          <w:rFonts w:cs="Segoe UI"/>
          <w:szCs w:val="21"/>
          <w:lang w:val="el-GR"/>
        </w:rPr>
      </w:pPr>
      <w:r w:rsidRPr="00485E2D">
        <w:rPr>
          <w:rFonts w:cs="Segoe UI"/>
          <w:b/>
          <w:szCs w:val="21"/>
          <w:lang w:val="el-GR"/>
        </w:rPr>
        <w:t xml:space="preserve">Περαιτέρω προσπάθειες χρειάζονται ώστε να </w:t>
      </w:r>
      <w:r w:rsidR="00A55E2C" w:rsidRPr="00485E2D">
        <w:rPr>
          <w:rFonts w:cs="Segoe UI"/>
          <w:b/>
          <w:szCs w:val="21"/>
          <w:lang w:val="el-GR"/>
        </w:rPr>
        <w:t>ξεπεραστ</w:t>
      </w:r>
      <w:r w:rsidRPr="00485E2D">
        <w:rPr>
          <w:rFonts w:cs="Segoe UI"/>
          <w:b/>
          <w:szCs w:val="21"/>
          <w:lang w:val="el-GR"/>
        </w:rPr>
        <w:t>ούν οι παρακαταθήκες της κρίσης και να ενισχυθεί η παραγωγικότητα, η ανταγω</w:t>
      </w:r>
      <w:r w:rsidR="008821E1">
        <w:rPr>
          <w:rFonts w:cs="Segoe UI"/>
          <w:b/>
          <w:szCs w:val="21"/>
          <w:lang w:val="el-GR"/>
        </w:rPr>
        <w:t>ν</w:t>
      </w:r>
      <w:r w:rsidRPr="00485E2D">
        <w:rPr>
          <w:rFonts w:cs="Segoe UI"/>
          <w:b/>
          <w:szCs w:val="21"/>
          <w:lang w:val="el-GR"/>
        </w:rPr>
        <w:t xml:space="preserve">ιστικότητα και η κοινωνική ενσωμάτωση. </w:t>
      </w:r>
      <w:r w:rsidR="00485E2D">
        <w:rPr>
          <w:rFonts w:cs="Segoe UI"/>
          <w:bCs/>
          <w:szCs w:val="21"/>
          <w:lang w:val="el-GR"/>
        </w:rPr>
        <w:t>Οι μακροοικονομι</w:t>
      </w:r>
      <w:r w:rsidR="008821E1">
        <w:rPr>
          <w:rFonts w:cs="Segoe UI"/>
          <w:bCs/>
          <w:szCs w:val="21"/>
          <w:lang w:val="el-GR"/>
        </w:rPr>
        <w:t xml:space="preserve">κές ανισορροπίες έχουν </w:t>
      </w:r>
      <w:r w:rsidR="00817801">
        <w:rPr>
          <w:rFonts w:cs="Segoe UI"/>
          <w:bCs/>
          <w:szCs w:val="21"/>
          <w:lang w:val="el-GR"/>
        </w:rPr>
        <w:t xml:space="preserve">σε μεγάλο βαθμό εξαλειφθεί, </w:t>
      </w:r>
      <w:r w:rsidR="008821E1">
        <w:rPr>
          <w:rFonts w:cs="Segoe UI"/>
          <w:bCs/>
          <w:szCs w:val="21"/>
          <w:lang w:val="el-GR"/>
        </w:rPr>
        <w:t>αλλά το υψ</w:t>
      </w:r>
      <w:r w:rsidR="00485E2D">
        <w:rPr>
          <w:rFonts w:cs="Segoe UI"/>
          <w:bCs/>
          <w:szCs w:val="21"/>
          <w:lang w:val="el-GR"/>
        </w:rPr>
        <w:t>ηλό δημόσιο χρέος, οι αδύναμοι ισολογισμοί των τραπεζών και του υπόλοιπου ιδιωτικού τομέα, ο</w:t>
      </w:r>
      <w:r w:rsidR="008821E1">
        <w:rPr>
          <w:rFonts w:cs="Segoe UI"/>
          <w:bCs/>
          <w:szCs w:val="21"/>
          <w:lang w:val="el-GR"/>
        </w:rPr>
        <w:t>ι περιορισμοί στην κίνηση κεφαλαί</w:t>
      </w:r>
      <w:r w:rsidR="000B4299">
        <w:rPr>
          <w:rFonts w:cs="Segoe UI"/>
          <w:bCs/>
          <w:szCs w:val="21"/>
          <w:lang w:val="el-GR"/>
        </w:rPr>
        <w:t>ων, οι ληξιπρόθεσμες</w:t>
      </w:r>
      <w:r w:rsidR="00485E2D">
        <w:rPr>
          <w:rFonts w:cs="Segoe UI"/>
          <w:bCs/>
          <w:szCs w:val="21"/>
          <w:lang w:val="el-GR"/>
        </w:rPr>
        <w:t xml:space="preserve"> οφειλές του δημοσίου και το μεγάλο ποσοστό του πληθυσμού που βρίσκεται σε κίνδυνο βαραίνουν τις προοπτικές ανάπτυξης και η πρόοδος αναφορικά με βασικές μεταρρυθμίσεις στο δημοσιον</w:t>
      </w:r>
      <w:r w:rsidR="00A74FE2">
        <w:rPr>
          <w:rFonts w:cs="Segoe UI"/>
          <w:bCs/>
          <w:szCs w:val="21"/>
          <w:lang w:val="el-GR"/>
        </w:rPr>
        <w:t>ομικό τομέα και στην αγορά έχει</w:t>
      </w:r>
      <w:r w:rsidR="00485E2D">
        <w:rPr>
          <w:rFonts w:cs="Segoe UI"/>
          <w:bCs/>
          <w:szCs w:val="21"/>
          <w:lang w:val="el-GR"/>
        </w:rPr>
        <w:t xml:space="preserve"> μείνει πίσω. Η Ελλάδα πρέπει να συνεχίσει</w:t>
      </w:r>
      <w:r w:rsidR="008821E1">
        <w:rPr>
          <w:rFonts w:cs="Segoe UI"/>
          <w:bCs/>
          <w:szCs w:val="21"/>
          <w:lang w:val="el-GR"/>
        </w:rPr>
        <w:t xml:space="preserve"> τις μεταρρυθμιστικές προσπάθειες </w:t>
      </w:r>
      <w:r w:rsidR="000B4299">
        <w:rPr>
          <w:rFonts w:cs="Segoe UI"/>
          <w:bCs/>
          <w:szCs w:val="21"/>
          <w:lang w:val="el-GR"/>
        </w:rPr>
        <w:t>ώστε</w:t>
      </w:r>
      <w:r w:rsidR="008821E1">
        <w:rPr>
          <w:rFonts w:cs="Segoe UI"/>
          <w:bCs/>
          <w:szCs w:val="21"/>
          <w:lang w:val="el-GR"/>
        </w:rPr>
        <w:t xml:space="preserve"> να επιτύχει</w:t>
      </w:r>
      <w:r w:rsidR="00485E2D">
        <w:rPr>
          <w:rFonts w:cs="Segoe UI"/>
          <w:bCs/>
          <w:szCs w:val="21"/>
          <w:lang w:val="el-GR"/>
        </w:rPr>
        <w:t xml:space="preserve"> </w:t>
      </w:r>
      <w:r w:rsidR="00295F83">
        <w:rPr>
          <w:rFonts w:cs="Segoe UI"/>
          <w:bCs/>
          <w:szCs w:val="21"/>
          <w:lang w:val="el-GR"/>
        </w:rPr>
        <w:t xml:space="preserve">διατηρήσιμη </w:t>
      </w:r>
      <w:r w:rsidR="00485E2D">
        <w:rPr>
          <w:rFonts w:cs="Segoe UI"/>
          <w:bCs/>
          <w:szCs w:val="21"/>
          <w:lang w:val="el-GR"/>
        </w:rPr>
        <w:t>υψηλή ανάπτυξη και να εξασφαλίσει ανταγωνιστικότητα εντός της Ευρωζώνης, υποσ</w:t>
      </w:r>
      <w:r w:rsidR="00295F83">
        <w:rPr>
          <w:rFonts w:cs="Segoe UI"/>
          <w:bCs/>
          <w:szCs w:val="21"/>
          <w:lang w:val="el-GR"/>
        </w:rPr>
        <w:t>τ</w:t>
      </w:r>
      <w:r w:rsidR="00485E2D">
        <w:rPr>
          <w:rFonts w:cs="Segoe UI"/>
          <w:bCs/>
          <w:szCs w:val="21"/>
          <w:lang w:val="el-GR"/>
        </w:rPr>
        <w:t>ηρίζοντας παράλληλα αυτούς που</w:t>
      </w:r>
      <w:r w:rsidR="008D2F6B">
        <w:rPr>
          <w:rFonts w:cs="Segoe UI"/>
          <w:bCs/>
          <w:szCs w:val="21"/>
          <w:lang w:val="el-GR"/>
        </w:rPr>
        <w:t xml:space="preserve"> έχουν την μεγαλύτερη ανάγκη για προστασία</w:t>
      </w:r>
      <w:r w:rsidR="00485E2D">
        <w:rPr>
          <w:rFonts w:cs="Segoe UI"/>
          <w:bCs/>
          <w:szCs w:val="21"/>
          <w:lang w:val="el-GR"/>
        </w:rPr>
        <w:t>. Η αναπτυξιακή στρατηγική των αρχών περιέχει υποσχόμενα στοιχεία υπό αυ</w:t>
      </w:r>
      <w:r w:rsidR="00817801">
        <w:rPr>
          <w:rFonts w:cs="Segoe UI"/>
          <w:bCs/>
          <w:szCs w:val="21"/>
          <w:lang w:val="el-GR"/>
        </w:rPr>
        <w:t xml:space="preserve">τό το πρίσμα και η περαιτέρω </w:t>
      </w:r>
      <w:r w:rsidR="00184A5D">
        <w:rPr>
          <w:rFonts w:cs="Segoe UI"/>
          <w:bCs/>
          <w:szCs w:val="21"/>
          <w:lang w:val="el-GR"/>
        </w:rPr>
        <w:t>αξιολόγηση</w:t>
      </w:r>
      <w:r w:rsidR="00817801">
        <w:rPr>
          <w:rFonts w:cs="Segoe UI"/>
          <w:bCs/>
          <w:szCs w:val="21"/>
          <w:lang w:val="el-GR"/>
        </w:rPr>
        <w:t xml:space="preserve"> κενών, η συνέχεια με τις </w:t>
      </w:r>
      <w:r w:rsidR="00184A5D">
        <w:rPr>
          <w:rFonts w:cs="Segoe UI"/>
          <w:bCs/>
          <w:szCs w:val="21"/>
          <w:lang w:val="el-GR"/>
        </w:rPr>
        <w:t>τρέχουσες</w:t>
      </w:r>
      <w:r w:rsidR="00817801">
        <w:rPr>
          <w:rFonts w:cs="Segoe UI"/>
          <w:bCs/>
          <w:szCs w:val="21"/>
          <w:lang w:val="el-GR"/>
        </w:rPr>
        <w:t xml:space="preserve"> μεταρρυθμίσεις και η εφαρμ</w:t>
      </w:r>
      <w:r w:rsidR="00D755B7">
        <w:rPr>
          <w:rFonts w:cs="Segoe UI"/>
          <w:bCs/>
          <w:szCs w:val="21"/>
          <w:lang w:val="el-GR"/>
        </w:rPr>
        <w:t>ογή θα είναι κρίσιμης σ</w:t>
      </w:r>
      <w:r w:rsidR="00817801">
        <w:rPr>
          <w:rFonts w:cs="Segoe UI"/>
          <w:bCs/>
          <w:szCs w:val="21"/>
          <w:lang w:val="el-GR"/>
        </w:rPr>
        <w:t>ημασίας.</w:t>
      </w:r>
    </w:p>
    <w:p w:rsidR="00485E2D" w:rsidRDefault="00485E2D" w:rsidP="00485E2D">
      <w:pPr>
        <w:pStyle w:val="ListParagraph"/>
        <w:rPr>
          <w:rFonts w:cs="Segoe UI"/>
          <w:szCs w:val="21"/>
          <w:lang w:val="el-GR"/>
        </w:rPr>
      </w:pPr>
    </w:p>
    <w:p w:rsidR="00485E2D" w:rsidRDefault="00485E2D" w:rsidP="00033BC2">
      <w:pPr>
        <w:pStyle w:val="ParagraphNumbering"/>
        <w:numPr>
          <w:ilvl w:val="0"/>
          <w:numId w:val="1"/>
        </w:numPr>
        <w:tabs>
          <w:tab w:val="num" w:pos="2880"/>
        </w:tabs>
        <w:spacing w:after="120"/>
        <w:rPr>
          <w:rFonts w:cs="Segoe UI"/>
          <w:szCs w:val="21"/>
          <w:lang w:val="el-GR"/>
        </w:rPr>
      </w:pPr>
      <w:r w:rsidRPr="00250730">
        <w:rPr>
          <w:rFonts w:cs="Segoe UI"/>
          <w:b/>
          <w:bCs/>
          <w:szCs w:val="21"/>
          <w:lang w:val="el-GR"/>
        </w:rPr>
        <w:t>Είναι προτεραιότητα να ισορροπηθεί εκ νέου το δημοσιονομικό μείγμα πολιτικής με έναν τρόπο φιλικό πρ</w:t>
      </w:r>
      <w:r w:rsidR="00B07EC3" w:rsidRPr="00250730">
        <w:rPr>
          <w:rFonts w:cs="Segoe UI"/>
          <w:b/>
          <w:bCs/>
          <w:szCs w:val="21"/>
          <w:lang w:val="el-GR"/>
        </w:rPr>
        <w:t>ος την ανάπτυξη</w:t>
      </w:r>
      <w:r w:rsidR="00B07EC3">
        <w:rPr>
          <w:rFonts w:cs="Segoe UI"/>
          <w:szCs w:val="21"/>
          <w:lang w:val="el-GR"/>
        </w:rPr>
        <w:t>. Η επίτευξη του υψηλού</w:t>
      </w:r>
      <w:r>
        <w:rPr>
          <w:rFonts w:cs="Segoe UI"/>
          <w:szCs w:val="21"/>
          <w:lang w:val="el-GR"/>
        </w:rPr>
        <w:t xml:space="preserve"> 3.5 τοις εκατό του ΑΕΠ </w:t>
      </w:r>
      <w:r w:rsidR="00B07EC3">
        <w:rPr>
          <w:rFonts w:cs="Segoe UI"/>
          <w:szCs w:val="21"/>
          <w:lang w:val="el-GR"/>
        </w:rPr>
        <w:t>στόχου</w:t>
      </w:r>
      <w:r w:rsidR="005A236B">
        <w:rPr>
          <w:rFonts w:cs="Segoe UI"/>
          <w:szCs w:val="21"/>
          <w:lang w:val="el-GR"/>
        </w:rPr>
        <w:t xml:space="preserve"> πρωτογενούς πλεονάσματος για την περίοδο</w:t>
      </w:r>
      <w:r w:rsidR="00B07EC3">
        <w:rPr>
          <w:rFonts w:cs="Segoe UI"/>
          <w:szCs w:val="21"/>
          <w:lang w:val="el-GR"/>
        </w:rPr>
        <w:t xml:space="preserve"> 2018-2022 που έχει συμφωνηθεί με τους Ευρωπαϊκούς</w:t>
      </w:r>
      <w:r w:rsidR="005A236B">
        <w:rPr>
          <w:rFonts w:cs="Segoe UI"/>
          <w:szCs w:val="21"/>
          <w:lang w:val="el-GR"/>
        </w:rPr>
        <w:t xml:space="preserve"> Θ</w:t>
      </w:r>
      <w:r w:rsidR="00B07EC3">
        <w:rPr>
          <w:rFonts w:cs="Segoe UI"/>
          <w:szCs w:val="21"/>
          <w:lang w:val="el-GR"/>
        </w:rPr>
        <w:t>εσμούς θα απαιτήσει υψηλή</w:t>
      </w:r>
      <w:r w:rsidR="00ED5322">
        <w:rPr>
          <w:rFonts w:cs="Segoe UI"/>
          <w:szCs w:val="21"/>
          <w:lang w:val="el-GR"/>
        </w:rPr>
        <w:t xml:space="preserve"> φορολογία και θα περιορίσει την κοινωνική δαπάνη</w:t>
      </w:r>
      <w:r w:rsidR="00B07EC3">
        <w:rPr>
          <w:rFonts w:cs="Segoe UI"/>
          <w:szCs w:val="21"/>
          <w:lang w:val="el-GR"/>
        </w:rPr>
        <w:t xml:space="preserve"> και τις επενδύσεις. Για να υποστηρίξουν την ανάπτυξη χωρίς αποκλεισμούς παράλληλα με την επίτευξη των δημοσιονομικών στόχω</w:t>
      </w:r>
      <w:r w:rsidR="00ED5322">
        <w:rPr>
          <w:rFonts w:cs="Segoe UI"/>
          <w:szCs w:val="21"/>
          <w:lang w:val="el-GR"/>
        </w:rPr>
        <w:t>ν, οι αρχές</w:t>
      </w:r>
      <w:r w:rsidR="00B07EC3">
        <w:rPr>
          <w:rFonts w:cs="Segoe UI"/>
          <w:szCs w:val="21"/>
          <w:lang w:val="el-GR"/>
        </w:rPr>
        <w:t xml:space="preserve"> θα </w:t>
      </w:r>
      <w:r w:rsidR="00ED5322">
        <w:rPr>
          <w:rFonts w:cs="Segoe UI"/>
          <w:szCs w:val="21"/>
          <w:lang w:val="el-GR"/>
        </w:rPr>
        <w:t>πρέπει να στοχεύσουν σε δημοσιονομικά ουδέτερες βελτιώσεις στο δημοσιονομικό μείγμα</w:t>
      </w:r>
      <w:r w:rsidR="009B72A9">
        <w:rPr>
          <w:rFonts w:cs="Segoe UI"/>
          <w:szCs w:val="21"/>
          <w:lang w:val="el-GR"/>
        </w:rPr>
        <w:t xml:space="preserve"> πολιτικής, αρχίζοντας με το</w:t>
      </w:r>
      <w:r w:rsidR="009B72A9" w:rsidRPr="009B72A9">
        <w:rPr>
          <w:rFonts w:cs="Segoe UI"/>
          <w:szCs w:val="21"/>
          <w:lang w:val="el-GR"/>
        </w:rPr>
        <w:t xml:space="preserve"> </w:t>
      </w:r>
      <w:r w:rsidR="009B72A9">
        <w:rPr>
          <w:rFonts w:cs="Segoe UI"/>
          <w:szCs w:val="21"/>
          <w:lang w:val="el-GR"/>
        </w:rPr>
        <w:t xml:space="preserve">ήδη </w:t>
      </w:r>
      <w:r w:rsidR="00D755B7">
        <w:rPr>
          <w:rFonts w:cs="Segoe UI"/>
          <w:szCs w:val="21"/>
          <w:lang w:val="el-GR"/>
        </w:rPr>
        <w:t>νομ</w:t>
      </w:r>
      <w:r w:rsidR="00ED5322">
        <w:rPr>
          <w:rFonts w:cs="Segoe UI"/>
          <w:szCs w:val="21"/>
          <w:lang w:val="el-GR"/>
        </w:rPr>
        <w:t>οθετημένο δημοσιονομικό πακέτο για το 2019-2020. Το 2019, η κυβέρνηση θα πρέπει να προχωρήσει</w:t>
      </w:r>
      <w:r w:rsidR="00B07EC3">
        <w:rPr>
          <w:rFonts w:cs="Segoe UI"/>
          <w:szCs w:val="21"/>
          <w:lang w:val="el-GR"/>
        </w:rPr>
        <w:t xml:space="preserve"> με σχεδιασμένες αυξήσεις σ</w:t>
      </w:r>
      <w:r w:rsidR="00ED5322">
        <w:rPr>
          <w:rFonts w:cs="Segoe UI"/>
          <w:szCs w:val="21"/>
          <w:lang w:val="el-GR"/>
        </w:rPr>
        <w:t>την</w:t>
      </w:r>
      <w:r w:rsidR="00B07EC3">
        <w:rPr>
          <w:rFonts w:cs="Segoe UI"/>
          <w:szCs w:val="21"/>
          <w:lang w:val="el-GR"/>
        </w:rPr>
        <w:t xml:space="preserve"> στοχευμένη κοινωνική προστασία και στην επενδυτική δ</w:t>
      </w:r>
      <w:r w:rsidR="00ED5322">
        <w:rPr>
          <w:rFonts w:cs="Segoe UI"/>
          <w:szCs w:val="21"/>
          <w:lang w:val="el-GR"/>
        </w:rPr>
        <w:t>απάνη, με χρηματοδότηση που θα προέρχεται από</w:t>
      </w:r>
      <w:r w:rsidR="00B07EC3">
        <w:rPr>
          <w:rFonts w:cs="Segoe UI"/>
          <w:szCs w:val="21"/>
          <w:lang w:val="el-GR"/>
        </w:rPr>
        <w:t xml:space="preserve"> </w:t>
      </w:r>
      <w:r w:rsidR="00ED5322">
        <w:rPr>
          <w:rFonts w:cs="Segoe UI"/>
          <w:szCs w:val="21"/>
          <w:lang w:val="el-GR"/>
        </w:rPr>
        <w:t>εξοικονομήσεις</w:t>
      </w:r>
      <w:r w:rsidR="00B07EC3">
        <w:rPr>
          <w:rFonts w:cs="Segoe UI"/>
          <w:szCs w:val="21"/>
          <w:lang w:val="el-GR"/>
        </w:rPr>
        <w:t xml:space="preserve"> στο συνταξιοδοτικό σύστημα. Το 2020</w:t>
      </w:r>
      <w:r w:rsidR="00ED5322">
        <w:rPr>
          <w:rFonts w:cs="Segoe UI"/>
          <w:szCs w:val="21"/>
          <w:lang w:val="el-GR"/>
        </w:rPr>
        <w:t>,</w:t>
      </w:r>
      <w:r w:rsidR="00B07EC3">
        <w:rPr>
          <w:rFonts w:cs="Segoe UI"/>
          <w:szCs w:val="21"/>
          <w:lang w:val="el-GR"/>
        </w:rPr>
        <w:t xml:space="preserve"> θα πρέπει να μειώσει τους υψηλούς φορολογικούς συντελεστές ενώ παράλληλα θα πρέπει να διευρύνει τη φορολογική βάση του φόρου εισοδήματος με έναν δημοσιονομικά ουδέτερο τρόπο. Αυτά τα μέτρα, υποστηριζόμενα από μεταρρυθμίσεις στο δημοσιονομικό-δομικό τομέα με σκοπό την ενίσχυση της αποδοτικότητας και της εφαρμογής, θα βοηθήσουν στη μείωση των ποσοστών φτώχειας και τ</w:t>
      </w:r>
      <w:r w:rsidR="00996ADD">
        <w:rPr>
          <w:rFonts w:cs="Segoe UI"/>
          <w:szCs w:val="21"/>
          <w:lang w:val="el-GR"/>
        </w:rPr>
        <w:t>ων οικονομικών στρεβλώσεων και θ</w:t>
      </w:r>
      <w:r w:rsidR="00B07EC3">
        <w:rPr>
          <w:rFonts w:cs="Segoe UI"/>
          <w:szCs w:val="21"/>
          <w:lang w:val="el-GR"/>
        </w:rPr>
        <w:t>α στηρίξουν την ανάπτυξη. Οποιαδήποτε καθυστέρηση σε αυτές τις μεταρρυθμίσεις θα υπέσκαπτε σε σημαντικό βαθμό την αξιοπιστία των παραδοχών των μέτρων για την ελάφρυνση του χρέους που έχουν συμφωνηθεί με τους Ευρωπαίους εταίρους. Οι αρχές θα πρέπει να είναι προσεκτικές αναφορικά με την υιοθέτηση μονίμων επεκτατικών μέτρων πέρα από αυτά που έχουν ήδη νομοθετηθεί</w:t>
      </w:r>
      <w:r w:rsidR="00250730">
        <w:rPr>
          <w:rFonts w:cs="Segoe UI"/>
          <w:szCs w:val="21"/>
          <w:lang w:val="el-GR"/>
        </w:rPr>
        <w:t xml:space="preserve"> προκειμένου να αποφευχθεί η διακινδύνευση των δημοσιονομικών τους στόχων. </w:t>
      </w:r>
    </w:p>
    <w:p w:rsidR="00ED5322" w:rsidRPr="00485E2D" w:rsidRDefault="00ED5322" w:rsidP="00ED5322">
      <w:pPr>
        <w:pStyle w:val="ParagraphNumbering"/>
        <w:numPr>
          <w:ilvl w:val="0"/>
          <w:numId w:val="0"/>
        </w:numPr>
        <w:tabs>
          <w:tab w:val="num" w:pos="2880"/>
        </w:tabs>
        <w:spacing w:after="120"/>
        <w:rPr>
          <w:rFonts w:cs="Segoe UI"/>
          <w:szCs w:val="21"/>
          <w:lang w:val="el-GR"/>
        </w:rPr>
      </w:pPr>
    </w:p>
    <w:p w:rsidR="005743F2" w:rsidRPr="001C02BD" w:rsidRDefault="005743F2" w:rsidP="00033BC2">
      <w:pPr>
        <w:pStyle w:val="ParagraphNumbering"/>
        <w:numPr>
          <w:ilvl w:val="0"/>
          <w:numId w:val="1"/>
        </w:numPr>
        <w:tabs>
          <w:tab w:val="num" w:pos="2880"/>
        </w:tabs>
        <w:spacing w:after="120"/>
        <w:rPr>
          <w:rFonts w:cs="Segoe UI"/>
          <w:szCs w:val="21"/>
          <w:lang w:val="el-GR"/>
        </w:rPr>
      </w:pPr>
      <w:r>
        <w:rPr>
          <w:rFonts w:cs="Segoe UI"/>
          <w:b/>
          <w:szCs w:val="21"/>
          <w:lang w:val="el-GR"/>
        </w:rPr>
        <w:t xml:space="preserve">Η αναβίωση της πιστωτικής δυνατότητας των τραπεζών, συμπεριλαμβανομένης της αντιμετώπισης των πολύ υψηλών μη εξυπηρετούμενων </w:t>
      </w:r>
      <w:r w:rsidR="00817801">
        <w:rPr>
          <w:rFonts w:cs="Segoe UI"/>
          <w:b/>
          <w:szCs w:val="21"/>
          <w:lang w:val="el-GR"/>
        </w:rPr>
        <w:t>ανοιγμάτων</w:t>
      </w:r>
      <w:r w:rsidR="001C02BD">
        <w:rPr>
          <w:rFonts w:cs="Segoe UI"/>
          <w:b/>
          <w:szCs w:val="21"/>
          <w:lang w:val="el-GR"/>
        </w:rPr>
        <w:t xml:space="preserve"> (</w:t>
      </w:r>
      <w:r w:rsidR="001C02BD">
        <w:rPr>
          <w:rFonts w:cs="Segoe UI"/>
          <w:b/>
          <w:szCs w:val="21"/>
        </w:rPr>
        <w:t>NPE</w:t>
      </w:r>
      <w:r w:rsidR="00ED5322">
        <w:rPr>
          <w:rFonts w:cs="Segoe UI"/>
          <w:b/>
          <w:szCs w:val="21"/>
        </w:rPr>
        <w:t>s</w:t>
      </w:r>
      <w:r w:rsidR="001C02BD" w:rsidRPr="001C02BD">
        <w:rPr>
          <w:rFonts w:cs="Segoe UI"/>
          <w:b/>
          <w:szCs w:val="21"/>
          <w:lang w:val="el-GR"/>
        </w:rPr>
        <w:t>)</w:t>
      </w:r>
      <w:r w:rsidR="00817801">
        <w:rPr>
          <w:rFonts w:cs="Segoe UI"/>
          <w:b/>
          <w:szCs w:val="21"/>
          <w:lang w:val="el-GR"/>
        </w:rPr>
        <w:t>, είναι κρίσιμης</w:t>
      </w:r>
      <w:r w:rsidR="001C02BD">
        <w:rPr>
          <w:rFonts w:cs="Segoe UI"/>
          <w:b/>
          <w:szCs w:val="21"/>
          <w:lang w:val="el-GR"/>
        </w:rPr>
        <w:t xml:space="preserve"> σημασίας για την υποστήριξη της οικονομίας</w:t>
      </w:r>
      <w:r w:rsidR="001C02BD" w:rsidRPr="001C02BD">
        <w:rPr>
          <w:rFonts w:cs="Segoe UI"/>
          <w:b/>
          <w:szCs w:val="21"/>
          <w:lang w:val="el-GR"/>
        </w:rPr>
        <w:t xml:space="preserve">. </w:t>
      </w:r>
      <w:r w:rsidR="001C02BD" w:rsidRPr="001C02BD">
        <w:rPr>
          <w:rFonts w:cs="Segoe UI"/>
          <w:bCs/>
          <w:szCs w:val="21"/>
          <w:lang w:val="el-GR"/>
        </w:rPr>
        <w:t xml:space="preserve">Σημαντικές νομικές μεταρρυθμίσεις με στόχο την μείωση των </w:t>
      </w:r>
      <w:r w:rsidR="001C02BD" w:rsidRPr="001C02BD">
        <w:rPr>
          <w:rFonts w:cs="Segoe UI"/>
          <w:bCs/>
          <w:szCs w:val="21"/>
        </w:rPr>
        <w:t>NPEs</w:t>
      </w:r>
      <w:r w:rsidR="001C02BD" w:rsidRPr="001C02BD">
        <w:rPr>
          <w:rFonts w:cs="Segoe UI"/>
          <w:bCs/>
          <w:szCs w:val="21"/>
          <w:lang w:val="el-GR"/>
        </w:rPr>
        <w:t xml:space="preserve"> έχουν υιοθετηθεί </w:t>
      </w:r>
      <w:r w:rsidR="00817801">
        <w:rPr>
          <w:rFonts w:cs="Segoe UI"/>
          <w:bCs/>
          <w:szCs w:val="21"/>
          <w:lang w:val="el-GR"/>
        </w:rPr>
        <w:t xml:space="preserve">και έχουν γίνει βήματα για την ανάπτυξη μιας δευτερογενούς αγοράς </w:t>
      </w:r>
      <w:r w:rsidR="00817801">
        <w:rPr>
          <w:rFonts w:cs="Segoe UI"/>
          <w:bCs/>
          <w:szCs w:val="21"/>
        </w:rPr>
        <w:t>NPEs</w:t>
      </w:r>
      <w:r w:rsidR="00817801" w:rsidRPr="00817801">
        <w:rPr>
          <w:rFonts w:cs="Segoe UI"/>
          <w:bCs/>
          <w:szCs w:val="21"/>
          <w:lang w:val="el-GR"/>
        </w:rPr>
        <w:t xml:space="preserve"> </w:t>
      </w:r>
      <w:r w:rsidR="001C02BD" w:rsidRPr="001C02BD">
        <w:rPr>
          <w:rFonts w:cs="Segoe UI"/>
          <w:bCs/>
          <w:szCs w:val="21"/>
          <w:lang w:val="el-GR"/>
        </w:rPr>
        <w:t>αλλά περαιτέρω προσπάθειες εφαρμογής εί</w:t>
      </w:r>
      <w:r w:rsidR="00817801">
        <w:rPr>
          <w:rFonts w:cs="Segoe UI"/>
          <w:bCs/>
          <w:szCs w:val="21"/>
          <w:lang w:val="el-GR"/>
        </w:rPr>
        <w:t>ναι απαραίτητες για να</w:t>
      </w:r>
      <w:r w:rsidR="00817801" w:rsidRPr="00817801">
        <w:rPr>
          <w:rFonts w:cs="Segoe UI"/>
          <w:bCs/>
          <w:szCs w:val="21"/>
          <w:lang w:val="el-GR"/>
        </w:rPr>
        <w:t xml:space="preserve"> </w:t>
      </w:r>
      <w:r w:rsidR="00817801">
        <w:rPr>
          <w:rFonts w:cs="Segoe UI"/>
          <w:bCs/>
          <w:szCs w:val="21"/>
          <w:lang w:val="el-GR"/>
        </w:rPr>
        <w:t xml:space="preserve">παγιωθούν </w:t>
      </w:r>
      <w:r w:rsidR="001C02BD" w:rsidRPr="001C02BD">
        <w:rPr>
          <w:rFonts w:cs="Segoe UI"/>
          <w:bCs/>
          <w:szCs w:val="21"/>
          <w:lang w:val="el-GR"/>
        </w:rPr>
        <w:t>. Για την επιτάχυνση τ</w:t>
      </w:r>
      <w:r w:rsidR="006A5D17">
        <w:rPr>
          <w:rFonts w:cs="Segoe UI"/>
          <w:bCs/>
          <w:szCs w:val="21"/>
          <w:lang w:val="el-GR"/>
        </w:rPr>
        <w:t>ης εξυγίανσης</w:t>
      </w:r>
      <w:r w:rsidR="001C02BD" w:rsidRPr="001C02BD">
        <w:rPr>
          <w:rFonts w:cs="Segoe UI"/>
          <w:bCs/>
          <w:szCs w:val="21"/>
          <w:lang w:val="el-GR"/>
        </w:rPr>
        <w:t xml:space="preserve"> των ισολογισμών των τραπεζών χρειάζονται περισσότερο φιλόδοξοι στόχοι μείωσης των </w:t>
      </w:r>
      <w:r w:rsidR="001C02BD" w:rsidRPr="001C02BD">
        <w:rPr>
          <w:rFonts w:cs="Segoe UI"/>
          <w:bCs/>
          <w:szCs w:val="21"/>
        </w:rPr>
        <w:t>NPEs</w:t>
      </w:r>
      <w:r w:rsidR="001C02BD" w:rsidRPr="001C02BD">
        <w:rPr>
          <w:rFonts w:cs="Segoe UI"/>
          <w:bCs/>
          <w:szCs w:val="21"/>
          <w:lang w:val="el-GR"/>
        </w:rPr>
        <w:t xml:space="preserve">, </w:t>
      </w:r>
      <w:r w:rsidR="006A5D17">
        <w:rPr>
          <w:rFonts w:cs="Segoe UI"/>
          <w:bCs/>
          <w:szCs w:val="21"/>
          <w:lang w:val="el-GR"/>
        </w:rPr>
        <w:t>προληπτική δημιουργία</w:t>
      </w:r>
      <w:r w:rsidR="001C02BD" w:rsidRPr="001C02BD">
        <w:rPr>
          <w:rFonts w:cs="Segoe UI"/>
          <w:bCs/>
          <w:szCs w:val="21"/>
          <w:lang w:val="el-GR"/>
        </w:rPr>
        <w:t xml:space="preserve"> κεφαλαιακών μαξιλαριών, περαι</w:t>
      </w:r>
      <w:r w:rsidR="006A5D17">
        <w:rPr>
          <w:rFonts w:cs="Segoe UI"/>
          <w:bCs/>
          <w:szCs w:val="21"/>
          <w:lang w:val="el-GR"/>
        </w:rPr>
        <w:t>τέρω βήματα για την άμβλυνση των κινδύνων ρευστότητας και χρηματοδότησης</w:t>
      </w:r>
      <w:r w:rsidR="00817801">
        <w:rPr>
          <w:rFonts w:cs="Segoe UI"/>
          <w:bCs/>
          <w:szCs w:val="21"/>
          <w:lang w:val="el-GR"/>
        </w:rPr>
        <w:t xml:space="preserve"> και πιο ισχυρή</w:t>
      </w:r>
      <w:r w:rsidR="001C02BD" w:rsidRPr="001C02BD">
        <w:rPr>
          <w:rFonts w:cs="Segoe UI"/>
          <w:bCs/>
          <w:szCs w:val="21"/>
          <w:lang w:val="el-GR"/>
        </w:rPr>
        <w:t xml:space="preserve"> </w:t>
      </w:r>
      <w:r w:rsidR="00817801">
        <w:rPr>
          <w:rFonts w:cs="Segoe UI"/>
          <w:bCs/>
          <w:szCs w:val="21"/>
          <w:lang w:val="el-GR"/>
        </w:rPr>
        <w:t xml:space="preserve">εσωτερική </w:t>
      </w:r>
      <w:r w:rsidR="001C02BD" w:rsidRPr="001C02BD">
        <w:rPr>
          <w:rFonts w:cs="Segoe UI"/>
          <w:bCs/>
          <w:szCs w:val="21"/>
          <w:lang w:val="el-GR"/>
        </w:rPr>
        <w:t>τραπεζική διακυβέρνηση. Οι εναπομείναντες περιορισμοί στην κίνηση κεφαλαίων πρέπει να αρθούν κατά τρόπο συνετ</w:t>
      </w:r>
      <w:r w:rsidR="006A5D17">
        <w:rPr>
          <w:rFonts w:cs="Segoe UI"/>
          <w:bCs/>
          <w:szCs w:val="21"/>
          <w:lang w:val="el-GR"/>
        </w:rPr>
        <w:t>ό με βάση τον</w:t>
      </w:r>
      <w:r w:rsidR="001C02BD" w:rsidRPr="001C02BD">
        <w:rPr>
          <w:rFonts w:cs="Segoe UI"/>
          <w:bCs/>
          <w:szCs w:val="21"/>
          <w:lang w:val="el-GR"/>
        </w:rPr>
        <w:t xml:space="preserve"> συμφωνημένο οδικό χάρτη, με το ρυθμό που υπαγορεύουν οι συνθήκες στους τομείς της οικονομίας και των τραπεζ</w:t>
      </w:r>
      <w:r w:rsidR="006A5D17">
        <w:rPr>
          <w:rFonts w:cs="Segoe UI"/>
          <w:bCs/>
          <w:szCs w:val="21"/>
          <w:lang w:val="el-GR"/>
        </w:rPr>
        <w:t>ώ</w:t>
      </w:r>
      <w:r w:rsidR="001C02BD" w:rsidRPr="001C02BD">
        <w:rPr>
          <w:rFonts w:cs="Segoe UI"/>
          <w:bCs/>
          <w:szCs w:val="21"/>
          <w:lang w:val="el-GR"/>
        </w:rPr>
        <w:t xml:space="preserve">ν </w:t>
      </w:r>
      <w:r w:rsidR="00996ADD">
        <w:rPr>
          <w:rFonts w:cs="Segoe UI"/>
          <w:bCs/>
          <w:szCs w:val="21"/>
          <w:lang w:val="el-GR"/>
        </w:rPr>
        <w:t xml:space="preserve">αλλά </w:t>
      </w:r>
      <w:r w:rsidR="001C02BD" w:rsidRPr="001C02BD">
        <w:rPr>
          <w:rFonts w:cs="Segoe UI"/>
          <w:bCs/>
          <w:szCs w:val="21"/>
          <w:lang w:val="el-GR"/>
        </w:rPr>
        <w:t>και το επίπεδο της εμπιστοσύνης των καταθετών.</w:t>
      </w:r>
      <w:r w:rsidR="001C02BD">
        <w:rPr>
          <w:rFonts w:cs="Segoe UI"/>
          <w:b/>
          <w:szCs w:val="21"/>
          <w:lang w:val="el-GR"/>
        </w:rPr>
        <w:t xml:space="preserve"> </w:t>
      </w:r>
    </w:p>
    <w:p w:rsidR="001C02BD" w:rsidRPr="005743F2" w:rsidRDefault="001C02BD" w:rsidP="001C02BD">
      <w:pPr>
        <w:pStyle w:val="ParagraphNumbering"/>
        <w:numPr>
          <w:ilvl w:val="0"/>
          <w:numId w:val="0"/>
        </w:numPr>
        <w:tabs>
          <w:tab w:val="num" w:pos="2880"/>
        </w:tabs>
        <w:spacing w:after="120"/>
        <w:rPr>
          <w:rFonts w:cs="Segoe UI"/>
          <w:szCs w:val="21"/>
          <w:lang w:val="el-GR"/>
        </w:rPr>
      </w:pPr>
    </w:p>
    <w:p w:rsidR="00D66273" w:rsidRPr="001C02BD" w:rsidRDefault="00D66273" w:rsidP="00033BC2">
      <w:pPr>
        <w:pStyle w:val="ParagraphNumbering"/>
        <w:numPr>
          <w:ilvl w:val="0"/>
          <w:numId w:val="1"/>
        </w:numPr>
        <w:tabs>
          <w:tab w:val="num" w:pos="2880"/>
        </w:tabs>
        <w:spacing w:after="120"/>
        <w:rPr>
          <w:rFonts w:cs="Segoe UI"/>
          <w:szCs w:val="21"/>
          <w:lang w:val="el-GR"/>
        </w:rPr>
      </w:pPr>
      <w:r w:rsidRPr="00D66273">
        <w:rPr>
          <w:rFonts w:cs="Segoe UI"/>
          <w:b/>
          <w:szCs w:val="21"/>
          <w:lang w:val="el-GR"/>
        </w:rPr>
        <w:t>Περαιτέρω μεταρρυθμίσεις θα ενίσχυ</w:t>
      </w:r>
      <w:r w:rsidR="006A5D17">
        <w:rPr>
          <w:rFonts w:cs="Segoe UI"/>
          <w:b/>
          <w:szCs w:val="21"/>
          <w:lang w:val="el-GR"/>
        </w:rPr>
        <w:t>αν την παραγωγικότητα και τη</w:t>
      </w:r>
      <w:r w:rsidRPr="00D66273">
        <w:rPr>
          <w:rFonts w:cs="Segoe UI"/>
          <w:b/>
          <w:szCs w:val="21"/>
          <w:lang w:val="el-GR"/>
        </w:rPr>
        <w:t xml:space="preserve"> </w:t>
      </w:r>
      <w:r>
        <w:rPr>
          <w:rFonts w:cs="Segoe UI"/>
          <w:b/>
          <w:szCs w:val="21"/>
          <w:lang w:val="el-GR"/>
        </w:rPr>
        <w:t>συμμετοχή</w:t>
      </w:r>
      <w:r w:rsidRPr="00D66273">
        <w:rPr>
          <w:rFonts w:cs="Segoe UI"/>
          <w:b/>
          <w:szCs w:val="21"/>
          <w:lang w:val="el-GR"/>
        </w:rPr>
        <w:t xml:space="preserve"> </w:t>
      </w:r>
      <w:r>
        <w:rPr>
          <w:rFonts w:cs="Segoe UI"/>
          <w:b/>
          <w:szCs w:val="21"/>
          <w:lang w:val="el-GR"/>
        </w:rPr>
        <w:t>στο</w:t>
      </w:r>
      <w:r w:rsidRPr="00D66273">
        <w:rPr>
          <w:rFonts w:cs="Segoe UI"/>
          <w:b/>
          <w:szCs w:val="21"/>
          <w:lang w:val="el-GR"/>
        </w:rPr>
        <w:t xml:space="preserve"> </w:t>
      </w:r>
      <w:r>
        <w:rPr>
          <w:rFonts w:cs="Segoe UI"/>
          <w:b/>
          <w:szCs w:val="21"/>
          <w:lang w:val="el-GR"/>
        </w:rPr>
        <w:t>εργατικό</w:t>
      </w:r>
      <w:r w:rsidRPr="00D66273">
        <w:rPr>
          <w:rFonts w:cs="Segoe UI"/>
          <w:b/>
          <w:szCs w:val="21"/>
          <w:lang w:val="el-GR"/>
        </w:rPr>
        <w:t xml:space="preserve"> </w:t>
      </w:r>
      <w:r>
        <w:rPr>
          <w:rFonts w:cs="Segoe UI"/>
          <w:b/>
          <w:szCs w:val="21"/>
          <w:lang w:val="el-GR"/>
        </w:rPr>
        <w:t xml:space="preserve">δυναμικό. </w:t>
      </w:r>
      <w:r>
        <w:rPr>
          <w:rFonts w:cs="Segoe UI"/>
          <w:bCs/>
          <w:szCs w:val="21"/>
          <w:lang w:val="el-GR"/>
        </w:rPr>
        <w:t>Η πρόοδος στη μεταρρύθμιση της αγοράς προϊόντων ήταν ανομοιόμορφη</w:t>
      </w:r>
      <w:r w:rsidR="00817801">
        <w:rPr>
          <w:rFonts w:cs="Segoe UI"/>
          <w:bCs/>
          <w:szCs w:val="21"/>
          <w:lang w:val="el-GR"/>
        </w:rPr>
        <w:t xml:space="preserve"> και σε κάποιους τομείς αργή</w:t>
      </w:r>
      <w:r>
        <w:rPr>
          <w:rFonts w:cs="Segoe UI"/>
          <w:bCs/>
          <w:szCs w:val="21"/>
          <w:lang w:val="el-GR"/>
        </w:rPr>
        <w:t xml:space="preserve">, με την Ελλάδα να βρίσκεται </w:t>
      </w:r>
      <w:r w:rsidR="00817801">
        <w:rPr>
          <w:rFonts w:cs="Segoe UI"/>
          <w:bCs/>
          <w:szCs w:val="21"/>
          <w:lang w:val="el-GR"/>
        </w:rPr>
        <w:t xml:space="preserve">ακόμη </w:t>
      </w:r>
      <w:r>
        <w:rPr>
          <w:rFonts w:cs="Segoe UI"/>
          <w:bCs/>
          <w:szCs w:val="21"/>
          <w:lang w:val="el-GR"/>
        </w:rPr>
        <w:t xml:space="preserve">πίσω σε σχέση άλλες Ευρωπαϊκές χώρες με βάση αρκετούς δείκτες ανταγωνιστικότητας. Προηγούμενες μεταρρυθμίσεις στην αγορά εργασίας συνεισέφεραν στην ανάκτηση της απασχόλησης και της ανταγωνιστικότητας αλλά η νομοθεσία που θα εισάγει εκ νέου </w:t>
      </w:r>
      <w:r w:rsidR="006A5D17">
        <w:rPr>
          <w:rFonts w:cs="Segoe UI"/>
          <w:bCs/>
          <w:szCs w:val="21"/>
          <w:lang w:val="el-GR"/>
        </w:rPr>
        <w:t xml:space="preserve">την </w:t>
      </w:r>
      <w:r>
        <w:rPr>
          <w:rFonts w:cs="Segoe UI"/>
          <w:bCs/>
          <w:szCs w:val="21"/>
          <w:lang w:val="el-GR"/>
        </w:rPr>
        <w:t xml:space="preserve">επεκτασιμότητα και τους ευνοϊκότερους όρους των </w:t>
      </w:r>
      <w:r>
        <w:rPr>
          <w:rFonts w:cs="Segoe UI"/>
          <w:bCs/>
          <w:szCs w:val="21"/>
          <w:lang w:val="el-GR"/>
        </w:rPr>
        <w:lastRenderedPageBreak/>
        <w:t xml:space="preserve">συλλογικών συμβάσεων αρχίζοντας από αργότερα φέτος διακινδυνεύει να </w:t>
      </w:r>
      <w:r w:rsidR="005743F2">
        <w:rPr>
          <w:rFonts w:cs="Segoe UI"/>
          <w:bCs/>
          <w:szCs w:val="21"/>
          <w:lang w:val="el-GR"/>
        </w:rPr>
        <w:t>αναιρέσει όσα κερδήθηκαν. Το προσωπικό του Ταμείου</w:t>
      </w:r>
      <w:r w:rsidR="005743F2" w:rsidRPr="005743F2">
        <w:rPr>
          <w:rFonts w:cs="Segoe UI"/>
          <w:bCs/>
          <w:szCs w:val="21"/>
          <w:lang w:val="el-GR"/>
        </w:rPr>
        <w:t xml:space="preserve"> </w:t>
      </w:r>
      <w:r w:rsidR="005743F2">
        <w:rPr>
          <w:rFonts w:cs="Segoe UI"/>
          <w:bCs/>
          <w:szCs w:val="21"/>
          <w:lang w:val="el-GR"/>
        </w:rPr>
        <w:t>παροτρύνει με σθένος τις αρχές να μην ανα</w:t>
      </w:r>
      <w:r w:rsidR="000B4299">
        <w:rPr>
          <w:rFonts w:cs="Segoe UI"/>
          <w:bCs/>
          <w:szCs w:val="21"/>
          <w:lang w:val="el-GR"/>
        </w:rPr>
        <w:t>σ</w:t>
      </w:r>
      <w:r w:rsidR="005743F2">
        <w:rPr>
          <w:rFonts w:cs="Segoe UI"/>
          <w:bCs/>
          <w:szCs w:val="21"/>
          <w:lang w:val="el-GR"/>
        </w:rPr>
        <w:t xml:space="preserve">τρέψουν αυτές τις μεταρρυθμίσεις. Οποιαδήποτε προσαρμογή του κατώτατου μισθού θα πρέπει </w:t>
      </w:r>
      <w:r w:rsidR="006A5D17">
        <w:rPr>
          <w:rFonts w:cs="Segoe UI"/>
          <w:bCs/>
          <w:szCs w:val="21"/>
          <w:lang w:val="el-GR"/>
        </w:rPr>
        <w:t xml:space="preserve">να είναι συνετή και να εναρμονίζεται με </w:t>
      </w:r>
      <w:r w:rsidR="005743F2">
        <w:rPr>
          <w:rFonts w:cs="Segoe UI"/>
          <w:bCs/>
          <w:szCs w:val="21"/>
          <w:lang w:val="el-GR"/>
        </w:rPr>
        <w:t>κέρδη σε ανταγωνιστικότητα με στόχο να διατηρηθεί η δυναμική της ανάκτησης της απασχόλησης και να αποφευχθεί οποιαδήποτε απώλεια ανταγωνιστικότητας. Η</w:t>
      </w:r>
      <w:r w:rsidR="006A5D17">
        <w:rPr>
          <w:rFonts w:cs="Segoe UI"/>
          <w:bCs/>
          <w:szCs w:val="21"/>
          <w:lang w:val="el-GR"/>
        </w:rPr>
        <w:t xml:space="preserve"> βελτίωση στην εφαρμογή και η καλύτερη </w:t>
      </w:r>
      <w:r w:rsidR="005743F2">
        <w:rPr>
          <w:rFonts w:cs="Segoe UI"/>
          <w:bCs/>
          <w:szCs w:val="21"/>
          <w:lang w:val="el-GR"/>
        </w:rPr>
        <w:t xml:space="preserve">στόχευση των ενεργών πολιτικών απασχόλησης θα βοηθούσαν στην επανένταξη των μακροχρόνια ανέργων στην αγορά εργασίας. </w:t>
      </w:r>
    </w:p>
    <w:p w:rsidR="001C02BD" w:rsidRDefault="001C02BD" w:rsidP="001C02BD">
      <w:pPr>
        <w:pStyle w:val="ListParagraph"/>
        <w:rPr>
          <w:rFonts w:cs="Segoe UI"/>
          <w:szCs w:val="21"/>
          <w:lang w:val="el-GR"/>
        </w:rPr>
      </w:pPr>
    </w:p>
    <w:p w:rsidR="001C02BD" w:rsidRPr="00D66273" w:rsidRDefault="001C02BD" w:rsidP="001C02BD">
      <w:pPr>
        <w:pStyle w:val="ParagraphNumbering"/>
        <w:numPr>
          <w:ilvl w:val="0"/>
          <w:numId w:val="0"/>
        </w:numPr>
        <w:tabs>
          <w:tab w:val="num" w:pos="2880"/>
        </w:tabs>
        <w:spacing w:after="120"/>
        <w:rPr>
          <w:rFonts w:cs="Segoe UI"/>
          <w:szCs w:val="21"/>
          <w:lang w:val="el-GR"/>
        </w:rPr>
      </w:pPr>
    </w:p>
    <w:p w:rsidR="00250730" w:rsidRDefault="00250730" w:rsidP="00033BC2">
      <w:pPr>
        <w:pStyle w:val="ParagraphNumbering"/>
        <w:numPr>
          <w:ilvl w:val="0"/>
          <w:numId w:val="1"/>
        </w:numPr>
        <w:tabs>
          <w:tab w:val="num" w:pos="2880"/>
        </w:tabs>
        <w:spacing w:after="120"/>
        <w:rPr>
          <w:rFonts w:cs="Segoe UI"/>
          <w:bCs/>
          <w:szCs w:val="21"/>
          <w:lang w:val="el-GR"/>
        </w:rPr>
      </w:pPr>
      <w:r>
        <w:rPr>
          <w:rFonts w:cs="Segoe UI"/>
          <w:b/>
          <w:szCs w:val="21"/>
          <w:lang w:val="el-GR"/>
        </w:rPr>
        <w:t>Η</w:t>
      </w:r>
      <w:r w:rsidRPr="00250730">
        <w:rPr>
          <w:rFonts w:cs="Segoe UI"/>
          <w:b/>
          <w:szCs w:val="21"/>
          <w:lang w:val="el-GR"/>
        </w:rPr>
        <w:t xml:space="preserve"> </w:t>
      </w:r>
      <w:r>
        <w:rPr>
          <w:rFonts w:cs="Segoe UI"/>
          <w:b/>
          <w:szCs w:val="21"/>
          <w:lang w:val="el-GR"/>
        </w:rPr>
        <w:t>αποδοτικότητα</w:t>
      </w:r>
      <w:r w:rsidRPr="00250730">
        <w:rPr>
          <w:rFonts w:cs="Segoe UI"/>
          <w:b/>
          <w:szCs w:val="21"/>
          <w:lang w:val="el-GR"/>
        </w:rPr>
        <w:t xml:space="preserve"> </w:t>
      </w:r>
      <w:r>
        <w:rPr>
          <w:rFonts w:cs="Segoe UI"/>
          <w:b/>
          <w:szCs w:val="21"/>
          <w:lang w:val="el-GR"/>
        </w:rPr>
        <w:t>του</w:t>
      </w:r>
      <w:r w:rsidRPr="00250730">
        <w:rPr>
          <w:rFonts w:cs="Segoe UI"/>
          <w:b/>
          <w:szCs w:val="21"/>
          <w:lang w:val="el-GR"/>
        </w:rPr>
        <w:t xml:space="preserve"> </w:t>
      </w:r>
      <w:r>
        <w:rPr>
          <w:rFonts w:cs="Segoe UI"/>
          <w:b/>
          <w:szCs w:val="21"/>
          <w:lang w:val="el-GR"/>
        </w:rPr>
        <w:t>δημοσίου</w:t>
      </w:r>
      <w:r w:rsidRPr="00250730">
        <w:rPr>
          <w:rFonts w:cs="Segoe UI"/>
          <w:b/>
          <w:szCs w:val="21"/>
          <w:lang w:val="el-GR"/>
        </w:rPr>
        <w:t xml:space="preserve"> </w:t>
      </w:r>
      <w:r w:rsidR="00817801">
        <w:rPr>
          <w:rFonts w:cs="Segoe UI"/>
          <w:b/>
          <w:szCs w:val="21"/>
          <w:lang w:val="el-GR"/>
        </w:rPr>
        <w:t>τομέ</w:t>
      </w:r>
      <w:r>
        <w:rPr>
          <w:rFonts w:cs="Segoe UI"/>
          <w:b/>
          <w:szCs w:val="21"/>
          <w:lang w:val="el-GR"/>
        </w:rPr>
        <w:t>α</w:t>
      </w:r>
      <w:r w:rsidR="00817801">
        <w:rPr>
          <w:rFonts w:cs="Segoe UI"/>
          <w:b/>
          <w:szCs w:val="21"/>
          <w:lang w:val="el-GR"/>
        </w:rPr>
        <w:t xml:space="preserve"> και</w:t>
      </w:r>
      <w:r w:rsidRPr="00250730">
        <w:rPr>
          <w:rFonts w:cs="Segoe UI"/>
          <w:b/>
          <w:szCs w:val="21"/>
          <w:lang w:val="el-GR"/>
        </w:rPr>
        <w:t xml:space="preserve"> </w:t>
      </w:r>
      <w:r>
        <w:rPr>
          <w:rFonts w:cs="Segoe UI"/>
          <w:b/>
          <w:szCs w:val="21"/>
          <w:lang w:val="el-GR"/>
        </w:rPr>
        <w:t>η</w:t>
      </w:r>
      <w:r w:rsidRPr="00250730">
        <w:rPr>
          <w:rFonts w:cs="Segoe UI"/>
          <w:b/>
          <w:szCs w:val="21"/>
          <w:lang w:val="el-GR"/>
        </w:rPr>
        <w:t xml:space="preserve"> </w:t>
      </w:r>
      <w:r>
        <w:rPr>
          <w:rFonts w:cs="Segoe UI"/>
          <w:b/>
          <w:szCs w:val="21"/>
          <w:lang w:val="el-GR"/>
        </w:rPr>
        <w:t>διακυβέρνηση</w:t>
      </w:r>
      <w:r w:rsidR="00817801">
        <w:rPr>
          <w:rFonts w:cs="Segoe UI"/>
          <w:b/>
          <w:szCs w:val="21"/>
          <w:lang w:val="el-GR"/>
        </w:rPr>
        <w:t xml:space="preserve"> χρήζουν περαιτέρω ενίσχυσης</w:t>
      </w:r>
      <w:r w:rsidRPr="00250730">
        <w:rPr>
          <w:rFonts w:cs="Segoe UI"/>
          <w:b/>
          <w:szCs w:val="21"/>
          <w:lang w:val="el-GR"/>
        </w:rPr>
        <w:t xml:space="preserve"> </w:t>
      </w:r>
      <w:r>
        <w:rPr>
          <w:rFonts w:cs="Segoe UI"/>
          <w:b/>
          <w:szCs w:val="21"/>
          <w:lang w:val="el-GR"/>
        </w:rPr>
        <w:t>και</w:t>
      </w:r>
      <w:r w:rsidRPr="00250730">
        <w:rPr>
          <w:rFonts w:cs="Segoe UI"/>
          <w:b/>
          <w:szCs w:val="21"/>
          <w:lang w:val="el-GR"/>
        </w:rPr>
        <w:t xml:space="preserve"> </w:t>
      </w:r>
      <w:r>
        <w:rPr>
          <w:rFonts w:cs="Segoe UI"/>
          <w:b/>
          <w:szCs w:val="21"/>
          <w:lang w:val="el-GR"/>
        </w:rPr>
        <w:t>η</w:t>
      </w:r>
      <w:r w:rsidRPr="00250730">
        <w:rPr>
          <w:rFonts w:cs="Segoe UI"/>
          <w:b/>
          <w:szCs w:val="21"/>
          <w:lang w:val="el-GR"/>
        </w:rPr>
        <w:t xml:space="preserve"> </w:t>
      </w:r>
      <w:r>
        <w:rPr>
          <w:rFonts w:cs="Segoe UI"/>
          <w:b/>
          <w:szCs w:val="21"/>
          <w:lang w:val="el-GR"/>
        </w:rPr>
        <w:t>ανεξαρτησία</w:t>
      </w:r>
      <w:r w:rsidRPr="00250730">
        <w:rPr>
          <w:rFonts w:cs="Segoe UI"/>
          <w:b/>
          <w:szCs w:val="21"/>
          <w:lang w:val="el-GR"/>
        </w:rPr>
        <w:t xml:space="preserve"> </w:t>
      </w:r>
      <w:r>
        <w:rPr>
          <w:rFonts w:cs="Segoe UI"/>
          <w:b/>
          <w:szCs w:val="21"/>
          <w:lang w:val="el-GR"/>
        </w:rPr>
        <w:t>της</w:t>
      </w:r>
      <w:r w:rsidRPr="00250730">
        <w:rPr>
          <w:rFonts w:cs="Segoe UI"/>
          <w:b/>
          <w:szCs w:val="21"/>
          <w:lang w:val="el-GR"/>
        </w:rPr>
        <w:t xml:space="preserve"> </w:t>
      </w:r>
      <w:r>
        <w:rPr>
          <w:rFonts w:cs="Segoe UI"/>
          <w:b/>
          <w:szCs w:val="21"/>
          <w:lang w:val="el-GR"/>
        </w:rPr>
        <w:t>στατιστικής</w:t>
      </w:r>
      <w:r w:rsidRPr="00250730">
        <w:rPr>
          <w:rFonts w:cs="Segoe UI"/>
          <w:b/>
          <w:szCs w:val="21"/>
          <w:lang w:val="el-GR"/>
        </w:rPr>
        <w:t xml:space="preserve"> </w:t>
      </w:r>
      <w:r>
        <w:rPr>
          <w:rFonts w:cs="Segoe UI"/>
          <w:b/>
          <w:szCs w:val="21"/>
          <w:lang w:val="el-GR"/>
        </w:rPr>
        <w:t>αρχής</w:t>
      </w:r>
      <w:r w:rsidRPr="00250730">
        <w:rPr>
          <w:rFonts w:cs="Segoe UI"/>
          <w:b/>
          <w:szCs w:val="21"/>
          <w:lang w:val="el-GR"/>
        </w:rPr>
        <w:t xml:space="preserve"> </w:t>
      </w:r>
      <w:r w:rsidR="007A75E4">
        <w:rPr>
          <w:rFonts w:cs="Segoe UI"/>
          <w:b/>
          <w:szCs w:val="21"/>
          <w:lang w:val="el-GR"/>
        </w:rPr>
        <w:t>θα πρέπει να προστατευτεί</w:t>
      </w:r>
      <w:r>
        <w:rPr>
          <w:rFonts w:cs="Segoe UI"/>
          <w:b/>
          <w:szCs w:val="21"/>
          <w:lang w:val="el-GR"/>
        </w:rPr>
        <w:t xml:space="preserve">. </w:t>
      </w:r>
      <w:r w:rsidRPr="00250730">
        <w:rPr>
          <w:rFonts w:cs="Segoe UI"/>
          <w:bCs/>
          <w:szCs w:val="21"/>
          <w:lang w:val="el-GR"/>
        </w:rPr>
        <w:t xml:space="preserve">Παρά την κάποια </w:t>
      </w:r>
      <w:r w:rsidR="006A5D17">
        <w:rPr>
          <w:rFonts w:cs="Segoe UI"/>
          <w:bCs/>
          <w:szCs w:val="21"/>
          <w:lang w:val="el-GR"/>
        </w:rPr>
        <w:t>σημαντική (αλλά α</w:t>
      </w:r>
      <w:r w:rsidRPr="00250730">
        <w:rPr>
          <w:rFonts w:cs="Segoe UI"/>
          <w:bCs/>
          <w:szCs w:val="21"/>
          <w:lang w:val="el-GR"/>
        </w:rPr>
        <w:t>νομοιόμορφη) πρόοδο, προσπάθειες χρειάζονται για τον εκσυγχρονισμό των δημόσ</w:t>
      </w:r>
      <w:r w:rsidR="006A5D17">
        <w:rPr>
          <w:rFonts w:cs="Segoe UI"/>
          <w:bCs/>
          <w:szCs w:val="21"/>
          <w:lang w:val="el-GR"/>
        </w:rPr>
        <w:t>ι</w:t>
      </w:r>
      <w:r w:rsidRPr="00250730">
        <w:rPr>
          <w:rFonts w:cs="Segoe UI"/>
          <w:bCs/>
          <w:szCs w:val="21"/>
          <w:lang w:val="el-GR"/>
        </w:rPr>
        <w:t>ων θεσμ</w:t>
      </w:r>
      <w:r w:rsidR="006A5D17">
        <w:rPr>
          <w:rFonts w:cs="Segoe UI"/>
          <w:bCs/>
          <w:szCs w:val="21"/>
          <w:lang w:val="el-GR"/>
        </w:rPr>
        <w:t>ώ</w:t>
      </w:r>
      <w:r w:rsidRPr="00250730">
        <w:rPr>
          <w:rFonts w:cs="Segoe UI"/>
          <w:bCs/>
          <w:szCs w:val="21"/>
          <w:lang w:val="el-GR"/>
        </w:rPr>
        <w:t xml:space="preserve">ν, την ενίσχυση της φορολογικής συμμόρφωσης και της νοοτροπίας πληρωμής και για τη βελτίωση </w:t>
      </w:r>
      <w:r w:rsidR="007A75E4">
        <w:rPr>
          <w:rFonts w:cs="Segoe UI"/>
          <w:bCs/>
          <w:szCs w:val="21"/>
          <w:lang w:val="el-GR"/>
        </w:rPr>
        <w:t xml:space="preserve">των διαδικασιών αδειοδότησης. </w:t>
      </w:r>
      <w:r w:rsidRPr="00250730">
        <w:rPr>
          <w:rFonts w:cs="Segoe UI"/>
          <w:bCs/>
          <w:szCs w:val="21"/>
          <w:lang w:val="el-GR"/>
        </w:rPr>
        <w:t>της ταμειακής διαχείρισης, των προμηθείων και των πρακτικών αναφοράς. Ένας περισσότε</w:t>
      </w:r>
      <w:r w:rsidR="006A5D17">
        <w:rPr>
          <w:rFonts w:cs="Segoe UI"/>
          <w:bCs/>
          <w:szCs w:val="21"/>
          <w:lang w:val="el-GR"/>
        </w:rPr>
        <w:t xml:space="preserve">ρο αποδοτικός δικαστικός κλάδος </w:t>
      </w:r>
      <w:r w:rsidRPr="00250730">
        <w:rPr>
          <w:rFonts w:cs="Segoe UI"/>
          <w:bCs/>
          <w:szCs w:val="21"/>
          <w:lang w:val="el-GR"/>
        </w:rPr>
        <w:t xml:space="preserve">είναι απαραίτητος για την επιτυχία των νομικών μεταρρυθμίσεων σε όλους τους τομείς. Η βελτίωση της διακυβέρνησης και της ανεξαρτησίας των δημόσιων θεσμών, </w:t>
      </w:r>
      <w:r w:rsidR="006A5D17">
        <w:rPr>
          <w:rFonts w:cs="Segoe UI"/>
          <w:bCs/>
          <w:szCs w:val="21"/>
          <w:lang w:val="el-GR"/>
        </w:rPr>
        <w:t xml:space="preserve">συμπεριλαμβανομένης της επαρκούς </w:t>
      </w:r>
      <w:r w:rsidRPr="00250730">
        <w:rPr>
          <w:rFonts w:cs="Segoe UI"/>
          <w:bCs/>
          <w:szCs w:val="21"/>
          <w:lang w:val="el-GR"/>
        </w:rPr>
        <w:t>π</w:t>
      </w:r>
      <w:r w:rsidR="006A5D17">
        <w:rPr>
          <w:rFonts w:cs="Segoe UI"/>
          <w:bCs/>
          <w:szCs w:val="21"/>
          <w:lang w:val="el-GR"/>
        </w:rPr>
        <w:t>ρ</w:t>
      </w:r>
      <w:r w:rsidRPr="00250730">
        <w:rPr>
          <w:rFonts w:cs="Segoe UI"/>
          <w:bCs/>
          <w:szCs w:val="21"/>
          <w:lang w:val="el-GR"/>
        </w:rPr>
        <w:t xml:space="preserve">οστασίας των αξιωματούχων- όπως αυτών που είναι υπεύθυνοι για τις στατιστικές εκθέσεις- είναι απαραίτητη για την ενίσχυση της εμπιστοσύνης στα δημόσια οικονομικά και για τη διασφάλιση της αξιοπιστίας των δεδομένων. </w:t>
      </w:r>
    </w:p>
    <w:p w:rsidR="001C02BD" w:rsidRPr="00250730" w:rsidRDefault="001C02BD" w:rsidP="001C02BD">
      <w:pPr>
        <w:pStyle w:val="ParagraphNumbering"/>
        <w:numPr>
          <w:ilvl w:val="0"/>
          <w:numId w:val="0"/>
        </w:numPr>
        <w:tabs>
          <w:tab w:val="num" w:pos="2880"/>
        </w:tabs>
        <w:spacing w:after="120"/>
        <w:rPr>
          <w:rFonts w:cs="Segoe UI"/>
          <w:bCs/>
          <w:szCs w:val="21"/>
          <w:lang w:val="el-GR"/>
        </w:rPr>
      </w:pPr>
    </w:p>
    <w:p w:rsidR="00033BC2" w:rsidRPr="006A5D17" w:rsidRDefault="00250730" w:rsidP="00580D6E">
      <w:pPr>
        <w:pStyle w:val="ParagraphNumbering"/>
        <w:numPr>
          <w:ilvl w:val="0"/>
          <w:numId w:val="1"/>
        </w:numPr>
        <w:tabs>
          <w:tab w:val="num" w:pos="2880"/>
        </w:tabs>
        <w:spacing w:after="120"/>
        <w:rPr>
          <w:rFonts w:cs="Segoe UI"/>
          <w:szCs w:val="21"/>
          <w:lang w:val="el-GR"/>
        </w:rPr>
      </w:pPr>
      <w:r w:rsidRPr="00580D6E">
        <w:rPr>
          <w:rFonts w:cs="Segoe UI"/>
          <w:b/>
          <w:szCs w:val="21"/>
          <w:lang w:val="el-GR"/>
        </w:rPr>
        <w:t>Καθώς εξέρχεται από την εποχή των προγραμμάτων, η Ελλάδα θα πρέπει να διατηρήσει τη δυναμική προς τα εμπρός και να</w:t>
      </w:r>
      <w:r w:rsidR="006A5D17">
        <w:rPr>
          <w:rFonts w:cs="Segoe UI"/>
          <w:b/>
          <w:szCs w:val="21"/>
          <w:lang w:val="el-GR"/>
        </w:rPr>
        <w:t xml:space="preserve"> συνεχίσει να επιδι</w:t>
      </w:r>
      <w:r w:rsidR="00D755B7">
        <w:rPr>
          <w:rFonts w:cs="Segoe UI"/>
          <w:b/>
          <w:szCs w:val="21"/>
          <w:lang w:val="el-GR"/>
        </w:rPr>
        <w:t>ώκει πολι</w:t>
      </w:r>
      <w:r w:rsidRPr="00580D6E">
        <w:rPr>
          <w:rFonts w:cs="Segoe UI"/>
          <w:b/>
          <w:szCs w:val="21"/>
          <w:lang w:val="el-GR"/>
        </w:rPr>
        <w:t>τικές που υποστηρί</w:t>
      </w:r>
      <w:r w:rsidR="000B4299">
        <w:rPr>
          <w:rFonts w:cs="Segoe UI"/>
          <w:b/>
          <w:szCs w:val="21"/>
          <w:lang w:val="el-GR"/>
        </w:rPr>
        <w:t>ζουν την ευημερία και την συμπερίληψη</w:t>
      </w:r>
      <w:r w:rsidRPr="00580D6E">
        <w:rPr>
          <w:rFonts w:cs="Segoe UI"/>
          <w:b/>
          <w:szCs w:val="21"/>
          <w:lang w:val="el-GR"/>
        </w:rPr>
        <w:t xml:space="preserve">. </w:t>
      </w:r>
      <w:r w:rsidRPr="00580D6E">
        <w:rPr>
          <w:rFonts w:cs="Segoe UI"/>
          <w:bCs/>
          <w:szCs w:val="21"/>
          <w:lang w:val="el-GR"/>
        </w:rPr>
        <w:t>Η Ελλάδα έχει φ</w:t>
      </w:r>
      <w:r w:rsidR="000B4299">
        <w:rPr>
          <w:rFonts w:cs="Segoe UI"/>
          <w:bCs/>
          <w:szCs w:val="21"/>
          <w:lang w:val="el-GR"/>
        </w:rPr>
        <w:t>τάσει σε αυτό το σημείο χάρη στις τεράστιες προσπάθειες</w:t>
      </w:r>
      <w:r w:rsidRPr="00580D6E">
        <w:rPr>
          <w:rFonts w:cs="Segoe UI"/>
          <w:bCs/>
          <w:szCs w:val="21"/>
          <w:lang w:val="el-GR"/>
        </w:rPr>
        <w:t xml:space="preserve"> κατά τη διάρκεια των προγραμμάτων προσαρμο</w:t>
      </w:r>
      <w:r w:rsidR="006A5D17">
        <w:rPr>
          <w:rFonts w:cs="Segoe UI"/>
          <w:bCs/>
          <w:szCs w:val="21"/>
          <w:lang w:val="el-GR"/>
        </w:rPr>
        <w:t>γής. Οι Ευρωπαίοι εταίροι έχουν</w:t>
      </w:r>
      <w:r w:rsidRPr="00580D6E">
        <w:rPr>
          <w:rFonts w:cs="Segoe UI"/>
          <w:bCs/>
          <w:szCs w:val="21"/>
          <w:lang w:val="el-GR"/>
        </w:rPr>
        <w:t xml:space="preserve"> </w:t>
      </w:r>
      <w:r w:rsidR="006A5D17">
        <w:rPr>
          <w:rFonts w:cs="Segoe UI"/>
          <w:bCs/>
          <w:szCs w:val="21"/>
          <w:lang w:val="el-GR"/>
        </w:rPr>
        <w:t>ε</w:t>
      </w:r>
      <w:r w:rsidRPr="00580D6E">
        <w:rPr>
          <w:rFonts w:cs="Segoe UI"/>
          <w:bCs/>
          <w:szCs w:val="21"/>
          <w:lang w:val="el-GR"/>
        </w:rPr>
        <w:t xml:space="preserve">πιδείξει την υποστήριξή τους με την παροχή περαιτέρω δανεισμού και πρόσθετης ελάφρυνσης του χρέους. Η </w:t>
      </w:r>
      <w:r w:rsidR="00580D6E" w:rsidRPr="00580D6E">
        <w:rPr>
          <w:rFonts w:cs="Segoe UI"/>
          <w:bCs/>
          <w:szCs w:val="21"/>
        </w:rPr>
        <w:t>E</w:t>
      </w:r>
      <w:r w:rsidRPr="00580D6E">
        <w:rPr>
          <w:rFonts w:cs="Segoe UI"/>
          <w:bCs/>
          <w:szCs w:val="21"/>
          <w:lang w:val="el-GR"/>
        </w:rPr>
        <w:t xml:space="preserve">λλάδα θα πρέπει τώρα </w:t>
      </w:r>
      <w:r w:rsidR="00580D6E" w:rsidRPr="00580D6E">
        <w:rPr>
          <w:rFonts w:cs="Segoe UI"/>
          <w:bCs/>
          <w:szCs w:val="21"/>
          <w:lang w:val="el-GR"/>
        </w:rPr>
        <w:t xml:space="preserve">να </w:t>
      </w:r>
      <w:r w:rsidR="006A5D17">
        <w:rPr>
          <w:rFonts w:cs="Segoe UI"/>
          <w:bCs/>
          <w:szCs w:val="21"/>
          <w:lang w:val="el-GR"/>
        </w:rPr>
        <w:t xml:space="preserve">παγιώσει και να </w:t>
      </w:r>
      <w:r w:rsidR="00580D6E" w:rsidRPr="00580D6E">
        <w:rPr>
          <w:rFonts w:cs="Segoe UI"/>
          <w:bCs/>
          <w:szCs w:val="21"/>
          <w:lang w:val="el-GR"/>
        </w:rPr>
        <w:t>επεκτείνει την επιτυχία της με το να αντιμετωπίσει με αποφασιστικότητα τις προκλήσεις που παραμένουν.</w:t>
      </w:r>
      <w:r w:rsidR="00580D6E" w:rsidRPr="00580D6E">
        <w:rPr>
          <w:rFonts w:cs="Segoe UI"/>
          <w:b/>
          <w:szCs w:val="21"/>
          <w:lang w:val="el-GR"/>
        </w:rPr>
        <w:t xml:space="preserve"> </w:t>
      </w:r>
      <w:r w:rsidRPr="00580D6E">
        <w:rPr>
          <w:rFonts w:cs="Segoe UI"/>
          <w:b/>
          <w:szCs w:val="21"/>
          <w:lang w:val="el-GR"/>
        </w:rPr>
        <w:t xml:space="preserve"> </w:t>
      </w:r>
    </w:p>
    <w:p w:rsidR="00580D6E" w:rsidRPr="006A5D17" w:rsidRDefault="00580D6E" w:rsidP="00580D6E">
      <w:pPr>
        <w:pStyle w:val="ListParagraph"/>
        <w:rPr>
          <w:rFonts w:cs="Segoe UI"/>
          <w:szCs w:val="21"/>
          <w:lang w:val="el-GR"/>
        </w:rPr>
      </w:pPr>
    </w:p>
    <w:p w:rsidR="0043531E" w:rsidRPr="00250730" w:rsidRDefault="0043531E" w:rsidP="00033BC2">
      <w:pPr>
        <w:pStyle w:val="ParagraphNumbering"/>
        <w:numPr>
          <w:ilvl w:val="0"/>
          <w:numId w:val="0"/>
        </w:numPr>
        <w:tabs>
          <w:tab w:val="num" w:pos="2880"/>
        </w:tabs>
        <w:spacing w:after="120"/>
        <w:rPr>
          <w:rFonts w:cs="Segoe UI"/>
          <w:i/>
          <w:iCs/>
          <w:szCs w:val="21"/>
          <w:lang w:val="el-GR"/>
        </w:rPr>
      </w:pPr>
      <w:r w:rsidRPr="00250730">
        <w:rPr>
          <w:rFonts w:cs="Segoe UI"/>
          <w:i/>
          <w:iCs/>
          <w:szCs w:val="21"/>
          <w:lang w:val="el-GR"/>
        </w:rPr>
        <w:t xml:space="preserve">Η αποστολή εκφράζει την ευγνομωσύνη της απέναντι στις αρχές για </w:t>
      </w:r>
      <w:r w:rsidR="00250730" w:rsidRPr="00250730">
        <w:rPr>
          <w:rFonts w:cs="Segoe UI"/>
          <w:i/>
          <w:iCs/>
          <w:szCs w:val="21"/>
          <w:lang w:val="el-GR"/>
        </w:rPr>
        <w:t xml:space="preserve">τη φιλοξενία και </w:t>
      </w:r>
      <w:r w:rsidRPr="00250730">
        <w:rPr>
          <w:rFonts w:cs="Segoe UI"/>
          <w:i/>
          <w:iCs/>
          <w:szCs w:val="21"/>
          <w:lang w:val="el-GR"/>
        </w:rPr>
        <w:t xml:space="preserve">τις εποικοδομητικές συζητήσεις. </w:t>
      </w:r>
    </w:p>
    <w:sectPr w:rsidR="0043531E" w:rsidRPr="002507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DF3" w:rsidRDefault="00A65DF3" w:rsidP="0041676D">
      <w:r>
        <w:separator/>
      </w:r>
    </w:p>
  </w:endnote>
  <w:endnote w:type="continuationSeparator" w:id="0">
    <w:p w:rsidR="00A65DF3" w:rsidRDefault="00A65DF3" w:rsidP="0041676D">
      <w:r>
        <w:continuationSeparator/>
      </w:r>
    </w:p>
  </w:endnote>
  <w:endnote w:type="continuationNotice" w:id="1">
    <w:p w:rsidR="00A65DF3" w:rsidRDefault="00A6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DF3" w:rsidRDefault="00A65DF3" w:rsidP="0041676D">
      <w:r>
        <w:separator/>
      </w:r>
    </w:p>
  </w:footnote>
  <w:footnote w:type="continuationSeparator" w:id="0">
    <w:p w:rsidR="00A65DF3" w:rsidRDefault="00A65DF3" w:rsidP="0041676D">
      <w:r>
        <w:continuationSeparator/>
      </w:r>
    </w:p>
  </w:footnote>
  <w:footnote w:type="continuationNotice" w:id="1">
    <w:p w:rsidR="00A65DF3" w:rsidRDefault="00A65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5CA9"/>
    <w:multiLevelType w:val="hybridMultilevel"/>
    <w:tmpl w:val="E592D46C"/>
    <w:lvl w:ilvl="0" w:tplc="E2A8E974">
      <w:start w:val="1"/>
      <w:numFmt w:val="decimal"/>
      <w:lvlText w:val="%1.     "/>
      <w:lvlJc w:val="left"/>
      <w:pPr>
        <w:tabs>
          <w:tab w:val="num" w:pos="720"/>
        </w:tabs>
        <w:ind w:left="0" w:firstLine="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8556B9"/>
    <w:multiLevelType w:val="hybridMultilevel"/>
    <w:tmpl w:val="A35EC90E"/>
    <w:lvl w:ilvl="0" w:tplc="E46815A2">
      <w:start w:val="1"/>
      <w:numFmt w:val="decimal"/>
      <w:lvlText w:val="%1.     "/>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8335F"/>
    <w:multiLevelType w:val="hybridMultilevel"/>
    <w:tmpl w:val="267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D7BB7"/>
    <w:multiLevelType w:val="hybridMultilevel"/>
    <w:tmpl w:val="9B848032"/>
    <w:lvl w:ilvl="0" w:tplc="7BCEEB4C">
      <w:start w:val="1"/>
      <w:numFmt w:val="decimal"/>
      <w:pStyle w:val="ParagraphNumbering"/>
      <w:lvlText w:val="%1.     "/>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3"/>
    <w:rsid w:val="00000AE2"/>
    <w:rsid w:val="00024308"/>
    <w:rsid w:val="00033BC2"/>
    <w:rsid w:val="00041ECD"/>
    <w:rsid w:val="000434A3"/>
    <w:rsid w:val="000772CD"/>
    <w:rsid w:val="00090675"/>
    <w:rsid w:val="00091E18"/>
    <w:rsid w:val="000A7ACD"/>
    <w:rsid w:val="000B4299"/>
    <w:rsid w:val="000C5898"/>
    <w:rsid w:val="000C62B7"/>
    <w:rsid w:val="000E4638"/>
    <w:rsid w:val="0013579B"/>
    <w:rsid w:val="00145AD8"/>
    <w:rsid w:val="0015611F"/>
    <w:rsid w:val="00184A5D"/>
    <w:rsid w:val="001A4341"/>
    <w:rsid w:val="001B107D"/>
    <w:rsid w:val="001C02BD"/>
    <w:rsid w:val="001F3C60"/>
    <w:rsid w:val="002048DB"/>
    <w:rsid w:val="00207706"/>
    <w:rsid w:val="0022594D"/>
    <w:rsid w:val="002328EB"/>
    <w:rsid w:val="0024260A"/>
    <w:rsid w:val="00250730"/>
    <w:rsid w:val="00291BD4"/>
    <w:rsid w:val="00295F83"/>
    <w:rsid w:val="002C4E84"/>
    <w:rsid w:val="002D228C"/>
    <w:rsid w:val="002D7C16"/>
    <w:rsid w:val="002F76C5"/>
    <w:rsid w:val="0030297F"/>
    <w:rsid w:val="00310EDE"/>
    <w:rsid w:val="003420C9"/>
    <w:rsid w:val="003477DC"/>
    <w:rsid w:val="003D6E47"/>
    <w:rsid w:val="003E2C01"/>
    <w:rsid w:val="003F2FAF"/>
    <w:rsid w:val="003F78F8"/>
    <w:rsid w:val="00405722"/>
    <w:rsid w:val="0041676D"/>
    <w:rsid w:val="0043531E"/>
    <w:rsid w:val="00447724"/>
    <w:rsid w:val="004730A5"/>
    <w:rsid w:val="004769C1"/>
    <w:rsid w:val="00485E2D"/>
    <w:rsid w:val="004A46FA"/>
    <w:rsid w:val="004B04D7"/>
    <w:rsid w:val="004B4437"/>
    <w:rsid w:val="004E5F86"/>
    <w:rsid w:val="004F26D3"/>
    <w:rsid w:val="005337F7"/>
    <w:rsid w:val="00553A7A"/>
    <w:rsid w:val="005700DE"/>
    <w:rsid w:val="005743F2"/>
    <w:rsid w:val="00580D6E"/>
    <w:rsid w:val="005A236B"/>
    <w:rsid w:val="005C1B8E"/>
    <w:rsid w:val="005C52E3"/>
    <w:rsid w:val="005C57AE"/>
    <w:rsid w:val="005D15BD"/>
    <w:rsid w:val="005E02A5"/>
    <w:rsid w:val="005F47A5"/>
    <w:rsid w:val="00604A7F"/>
    <w:rsid w:val="0061423B"/>
    <w:rsid w:val="00622ABA"/>
    <w:rsid w:val="0062439E"/>
    <w:rsid w:val="00646E9D"/>
    <w:rsid w:val="006A5D17"/>
    <w:rsid w:val="006B5245"/>
    <w:rsid w:val="006C3B58"/>
    <w:rsid w:val="006C48F7"/>
    <w:rsid w:val="006E30A2"/>
    <w:rsid w:val="00725096"/>
    <w:rsid w:val="00733141"/>
    <w:rsid w:val="007726C7"/>
    <w:rsid w:val="00777425"/>
    <w:rsid w:val="007A75E4"/>
    <w:rsid w:val="00807E15"/>
    <w:rsid w:val="00817801"/>
    <w:rsid w:val="00821DFB"/>
    <w:rsid w:val="00863067"/>
    <w:rsid w:val="008821E1"/>
    <w:rsid w:val="00884818"/>
    <w:rsid w:val="008A56B6"/>
    <w:rsid w:val="008B3CCA"/>
    <w:rsid w:val="008C6075"/>
    <w:rsid w:val="008D2F6B"/>
    <w:rsid w:val="008F4855"/>
    <w:rsid w:val="00947CDA"/>
    <w:rsid w:val="00952D77"/>
    <w:rsid w:val="00961B12"/>
    <w:rsid w:val="009670F5"/>
    <w:rsid w:val="0097484C"/>
    <w:rsid w:val="00994262"/>
    <w:rsid w:val="00996ADD"/>
    <w:rsid w:val="009A1F7B"/>
    <w:rsid w:val="009B72A9"/>
    <w:rsid w:val="009B7940"/>
    <w:rsid w:val="00A34F52"/>
    <w:rsid w:val="00A55E2C"/>
    <w:rsid w:val="00A65DF3"/>
    <w:rsid w:val="00A66BDE"/>
    <w:rsid w:val="00A74FE2"/>
    <w:rsid w:val="00AC3623"/>
    <w:rsid w:val="00AD51D8"/>
    <w:rsid w:val="00AF139D"/>
    <w:rsid w:val="00B048FB"/>
    <w:rsid w:val="00B07EC3"/>
    <w:rsid w:val="00B32835"/>
    <w:rsid w:val="00B47E86"/>
    <w:rsid w:val="00B55E73"/>
    <w:rsid w:val="00B830D6"/>
    <w:rsid w:val="00B94818"/>
    <w:rsid w:val="00BD01DE"/>
    <w:rsid w:val="00BE129E"/>
    <w:rsid w:val="00BE78BB"/>
    <w:rsid w:val="00BF13CE"/>
    <w:rsid w:val="00BF2965"/>
    <w:rsid w:val="00BF3B82"/>
    <w:rsid w:val="00C4168F"/>
    <w:rsid w:val="00C46356"/>
    <w:rsid w:val="00C56DC4"/>
    <w:rsid w:val="00CC095A"/>
    <w:rsid w:val="00D574F6"/>
    <w:rsid w:val="00D66273"/>
    <w:rsid w:val="00D7211E"/>
    <w:rsid w:val="00D755B7"/>
    <w:rsid w:val="00D80A11"/>
    <w:rsid w:val="00DA5796"/>
    <w:rsid w:val="00DC128A"/>
    <w:rsid w:val="00DE1F20"/>
    <w:rsid w:val="00E1301E"/>
    <w:rsid w:val="00E561A1"/>
    <w:rsid w:val="00E663AA"/>
    <w:rsid w:val="00E90DB1"/>
    <w:rsid w:val="00EA1FF0"/>
    <w:rsid w:val="00ED0B26"/>
    <w:rsid w:val="00ED1D9D"/>
    <w:rsid w:val="00ED5322"/>
    <w:rsid w:val="00ED6F55"/>
    <w:rsid w:val="00EE019C"/>
    <w:rsid w:val="00EE5565"/>
    <w:rsid w:val="00EE7FC7"/>
    <w:rsid w:val="00F135AB"/>
    <w:rsid w:val="00F30E4B"/>
    <w:rsid w:val="00F52610"/>
    <w:rsid w:val="00F56873"/>
    <w:rsid w:val="00F66998"/>
    <w:rsid w:val="00F70CA8"/>
    <w:rsid w:val="00F82D4F"/>
    <w:rsid w:val="00F92217"/>
    <w:rsid w:val="00FB46F4"/>
    <w:rsid w:val="00FE067D"/>
    <w:rsid w:val="00FE56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2CADC"/>
  <w15:chartTrackingRefBased/>
  <w15:docId w15:val="{A32C0B9E-88AD-1E4D-BB7D-58A53F91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ing">
    <w:name w:val="Paragraph Numbering"/>
    <w:basedOn w:val="Normal"/>
    <w:link w:val="ParagraphNumberingChar"/>
    <w:uiPriority w:val="1"/>
    <w:qFormat/>
    <w:rsid w:val="00F56873"/>
    <w:pPr>
      <w:numPr>
        <w:numId w:val="2"/>
      </w:numPr>
      <w:spacing w:after="240" w:line="300" w:lineRule="exact"/>
    </w:pPr>
    <w:rPr>
      <w:rFonts w:ascii="Segoe UI" w:eastAsia="MS Mincho" w:hAnsi="Segoe UI" w:cs="Times New Roman"/>
      <w:sz w:val="21"/>
      <w:szCs w:val="24"/>
    </w:rPr>
  </w:style>
  <w:style w:type="character" w:customStyle="1" w:styleId="ParagraphNumberingChar">
    <w:name w:val="Paragraph Numbering Char"/>
    <w:basedOn w:val="DefaultParagraphFont"/>
    <w:link w:val="ParagraphNumbering"/>
    <w:uiPriority w:val="1"/>
    <w:rsid w:val="00F56873"/>
    <w:rPr>
      <w:rFonts w:ascii="Segoe UI" w:eastAsia="MS Mincho" w:hAnsi="Segoe UI" w:cs="Times New Roman"/>
      <w:sz w:val="21"/>
      <w:szCs w:val="24"/>
    </w:rPr>
  </w:style>
  <w:style w:type="paragraph" w:styleId="Header">
    <w:name w:val="header"/>
    <w:basedOn w:val="Normal"/>
    <w:link w:val="HeaderChar"/>
    <w:uiPriority w:val="99"/>
    <w:unhideWhenUsed/>
    <w:rsid w:val="0041676D"/>
    <w:pPr>
      <w:tabs>
        <w:tab w:val="center" w:pos="4680"/>
        <w:tab w:val="right" w:pos="9360"/>
      </w:tabs>
    </w:pPr>
  </w:style>
  <w:style w:type="character" w:customStyle="1" w:styleId="HeaderChar">
    <w:name w:val="Header Char"/>
    <w:basedOn w:val="DefaultParagraphFont"/>
    <w:link w:val="Header"/>
    <w:uiPriority w:val="99"/>
    <w:rsid w:val="0041676D"/>
  </w:style>
  <w:style w:type="paragraph" w:styleId="Footer">
    <w:name w:val="footer"/>
    <w:basedOn w:val="Normal"/>
    <w:link w:val="FooterChar"/>
    <w:uiPriority w:val="99"/>
    <w:unhideWhenUsed/>
    <w:rsid w:val="0041676D"/>
    <w:pPr>
      <w:tabs>
        <w:tab w:val="center" w:pos="4680"/>
        <w:tab w:val="right" w:pos="9360"/>
      </w:tabs>
    </w:pPr>
  </w:style>
  <w:style w:type="character" w:customStyle="1" w:styleId="FooterChar">
    <w:name w:val="Footer Char"/>
    <w:basedOn w:val="DefaultParagraphFont"/>
    <w:link w:val="Footer"/>
    <w:uiPriority w:val="99"/>
    <w:rsid w:val="0041676D"/>
  </w:style>
  <w:style w:type="character" w:styleId="CommentReference">
    <w:name w:val="annotation reference"/>
    <w:basedOn w:val="DefaultParagraphFont"/>
    <w:uiPriority w:val="99"/>
    <w:semiHidden/>
    <w:unhideWhenUsed/>
    <w:rsid w:val="0041676D"/>
    <w:rPr>
      <w:sz w:val="16"/>
      <w:szCs w:val="16"/>
    </w:rPr>
  </w:style>
  <w:style w:type="paragraph" w:styleId="CommentText">
    <w:name w:val="annotation text"/>
    <w:basedOn w:val="Normal"/>
    <w:link w:val="CommentTextChar"/>
    <w:uiPriority w:val="99"/>
    <w:semiHidden/>
    <w:unhideWhenUsed/>
    <w:rsid w:val="0041676D"/>
    <w:rPr>
      <w:sz w:val="20"/>
      <w:szCs w:val="20"/>
    </w:rPr>
  </w:style>
  <w:style w:type="character" w:customStyle="1" w:styleId="CommentTextChar">
    <w:name w:val="Comment Text Char"/>
    <w:basedOn w:val="DefaultParagraphFont"/>
    <w:link w:val="CommentText"/>
    <w:uiPriority w:val="99"/>
    <w:semiHidden/>
    <w:rsid w:val="0041676D"/>
    <w:rPr>
      <w:sz w:val="20"/>
      <w:szCs w:val="20"/>
    </w:rPr>
  </w:style>
  <w:style w:type="paragraph" w:styleId="CommentSubject">
    <w:name w:val="annotation subject"/>
    <w:basedOn w:val="CommentText"/>
    <w:next w:val="CommentText"/>
    <w:link w:val="CommentSubjectChar"/>
    <w:uiPriority w:val="99"/>
    <w:semiHidden/>
    <w:unhideWhenUsed/>
    <w:rsid w:val="0041676D"/>
    <w:rPr>
      <w:b/>
      <w:bCs/>
    </w:rPr>
  </w:style>
  <w:style w:type="character" w:customStyle="1" w:styleId="CommentSubjectChar">
    <w:name w:val="Comment Subject Char"/>
    <w:basedOn w:val="CommentTextChar"/>
    <w:link w:val="CommentSubject"/>
    <w:uiPriority w:val="99"/>
    <w:semiHidden/>
    <w:rsid w:val="0041676D"/>
    <w:rPr>
      <w:b/>
      <w:bCs/>
      <w:sz w:val="20"/>
      <w:szCs w:val="20"/>
    </w:rPr>
  </w:style>
  <w:style w:type="paragraph" w:styleId="BalloonText">
    <w:name w:val="Balloon Text"/>
    <w:basedOn w:val="Normal"/>
    <w:link w:val="BalloonTextChar"/>
    <w:uiPriority w:val="99"/>
    <w:semiHidden/>
    <w:unhideWhenUsed/>
    <w:rsid w:val="0041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6D"/>
    <w:rPr>
      <w:rFonts w:ascii="Segoe UI" w:hAnsi="Segoe UI" w:cs="Segoe UI"/>
      <w:sz w:val="18"/>
      <w:szCs w:val="18"/>
    </w:rPr>
  </w:style>
  <w:style w:type="paragraph" w:styleId="ListParagraph">
    <w:name w:val="List Paragraph"/>
    <w:basedOn w:val="Normal"/>
    <w:uiPriority w:val="34"/>
    <w:qFormat/>
    <w:rsid w:val="006B5245"/>
    <w:pPr>
      <w:ind w:left="720"/>
      <w:contextualSpacing/>
    </w:pPr>
  </w:style>
  <w:style w:type="paragraph" w:styleId="Date">
    <w:name w:val="Date"/>
    <w:basedOn w:val="Normal"/>
    <w:next w:val="Normal"/>
    <w:link w:val="DateChar"/>
    <w:uiPriority w:val="99"/>
    <w:semiHidden/>
    <w:unhideWhenUsed/>
    <w:rsid w:val="009B7940"/>
  </w:style>
  <w:style w:type="character" w:customStyle="1" w:styleId="DateChar">
    <w:name w:val="Date Char"/>
    <w:basedOn w:val="DefaultParagraphFont"/>
    <w:link w:val="Date"/>
    <w:uiPriority w:val="99"/>
    <w:semiHidden/>
    <w:rsid w:val="009B7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Dohlman, Peter</dc:creator>
  <cp:keywords/>
  <dc:description/>
  <cp:lastModifiedBy>Kalavrezou, Niki</cp:lastModifiedBy>
  <cp:revision>2</cp:revision>
  <cp:lastPrinted>2018-06-29T07:22:00Z</cp:lastPrinted>
  <dcterms:created xsi:type="dcterms:W3CDTF">2018-06-29T09:27:00Z</dcterms:created>
  <dcterms:modified xsi:type="dcterms:W3CDTF">2018-06-29T09:27:00Z</dcterms:modified>
</cp:coreProperties>
</file>