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footer2.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26" w:type="dxa"/>
        <w:jc w:val="center"/>
        <w:tblInd w:w="-370" w:type="dxa"/>
        <w:tblBorders>
          <w:insideH w:val="single" w:sz="4" w:space="0" w:color="FF6600"/>
        </w:tblBorders>
        <w:tblLayout w:type="fixed"/>
        <w:tblLook w:val="01E0"/>
      </w:tblPr>
      <w:tblGrid>
        <w:gridCol w:w="2444"/>
        <w:gridCol w:w="7582"/>
      </w:tblGrid>
      <w:tr w:rsidR="005E5E03" w:rsidTr="006C6D36">
        <w:trPr>
          <w:cantSplit/>
          <w:trHeight w:val="893"/>
          <w:jc w:val="center"/>
        </w:trPr>
        <w:tc>
          <w:tcPr>
            <w:tcW w:w="2444" w:type="dxa"/>
            <w:vMerge w:val="restart"/>
            <w:vAlign w:val="center"/>
          </w:tcPr>
          <w:p w:rsidR="005E5E03" w:rsidRDefault="00266E6E" w:rsidP="006C6D36">
            <w:pPr>
              <w:jc w:val="center"/>
              <w:rPr>
                <w:lang w:val="en-US"/>
              </w:rPr>
            </w:pPr>
            <w:r>
              <w:rPr>
                <w:noProof/>
              </w:rPr>
              <w:drawing>
                <wp:anchor distT="0" distB="0" distL="114300" distR="114300" simplePos="0" relativeHeight="251653632" behindDoc="1" locked="0" layoutInCell="1" allowOverlap="1">
                  <wp:simplePos x="0" y="0"/>
                  <wp:positionH relativeFrom="column">
                    <wp:posOffset>20320</wp:posOffset>
                  </wp:positionH>
                  <wp:positionV relativeFrom="paragraph">
                    <wp:posOffset>-100330</wp:posOffset>
                  </wp:positionV>
                  <wp:extent cx="1252855" cy="1011555"/>
                  <wp:effectExtent l="19050" t="0" r="4445" b="0"/>
                  <wp:wrapNone/>
                  <wp:docPr id="2" name="Εικόνα 10" descr="imelogofinal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0" descr="imelogofinal5"/>
                          <pic:cNvPicPr>
                            <a:picLocks noChangeAspect="1" noChangeArrowheads="1"/>
                          </pic:cNvPicPr>
                        </pic:nvPicPr>
                        <pic:blipFill>
                          <a:blip r:embed="rId7"/>
                          <a:srcRect/>
                          <a:stretch>
                            <a:fillRect/>
                          </a:stretch>
                        </pic:blipFill>
                        <pic:spPr bwMode="auto">
                          <a:xfrm>
                            <a:off x="0" y="0"/>
                            <a:ext cx="1252855" cy="1011555"/>
                          </a:xfrm>
                          <a:prstGeom prst="rect">
                            <a:avLst/>
                          </a:prstGeom>
                          <a:noFill/>
                        </pic:spPr>
                      </pic:pic>
                    </a:graphicData>
                  </a:graphic>
                </wp:anchor>
              </w:drawing>
            </w:r>
          </w:p>
        </w:tc>
        <w:tc>
          <w:tcPr>
            <w:tcW w:w="7582" w:type="dxa"/>
            <w:vAlign w:val="center"/>
          </w:tcPr>
          <w:p w:rsidR="005E5E03" w:rsidRDefault="005E5E03" w:rsidP="006C6D36">
            <w:pPr>
              <w:autoSpaceDE w:val="0"/>
              <w:autoSpaceDN w:val="0"/>
              <w:adjustRightInd w:val="0"/>
              <w:jc w:val="center"/>
              <w:rPr>
                <w:rFonts w:ascii="Trebuchet MS" w:hAnsi="Trebuchet MS" w:cs="Trebuchet MS"/>
                <w:b/>
                <w:bCs/>
                <w:color w:val="626262"/>
                <w:spacing w:val="20"/>
                <w:sz w:val="30"/>
                <w:szCs w:val="30"/>
              </w:rPr>
            </w:pPr>
            <w:r>
              <w:rPr>
                <w:rFonts w:ascii="Trebuchet MS" w:hAnsi="Trebuchet MS" w:cs="Trebuchet MS"/>
                <w:b/>
                <w:bCs/>
                <w:color w:val="626262"/>
                <w:spacing w:val="20"/>
                <w:sz w:val="40"/>
                <w:szCs w:val="40"/>
              </w:rPr>
              <w:t xml:space="preserve">ΙΝΣΤΙΤΟΥΤΟ ΜΙΚΡΩΝ ΕΠΙΧΕΙΡΗΣΕΩΝ        </w:t>
            </w:r>
          </w:p>
          <w:p w:rsidR="005E5E03" w:rsidRDefault="005E5E03" w:rsidP="006C6D36">
            <w:pPr>
              <w:autoSpaceDE w:val="0"/>
              <w:autoSpaceDN w:val="0"/>
              <w:adjustRightInd w:val="0"/>
              <w:jc w:val="center"/>
              <w:rPr>
                <w:rFonts w:ascii="Trebuchet MS" w:hAnsi="Trebuchet MS" w:cs="Trebuchet MS"/>
                <w:b/>
                <w:bCs/>
                <w:color w:val="626262"/>
                <w:spacing w:val="20"/>
              </w:rPr>
            </w:pPr>
            <w:r>
              <w:rPr>
                <w:rFonts w:ascii="Trebuchet MS" w:hAnsi="Trebuchet MS" w:cs="Trebuchet MS"/>
                <w:b/>
                <w:bCs/>
                <w:color w:val="626262"/>
                <w:spacing w:val="20"/>
              </w:rPr>
              <w:t xml:space="preserve">ΓΕΝΙΚΗ ΣΥΝΟΜΟΣΠΟΝΔΙΑ  ΕΠΑΓΓΕΛΜΑΤΙΩΝ  ΒΙΟΤΕΧΝΩΝ ΕΜΠΟΡΩΝ  ΕΛΛΑΔΑΣ </w:t>
            </w:r>
          </w:p>
        </w:tc>
      </w:tr>
      <w:tr w:rsidR="005E5E03" w:rsidTr="006C6D36">
        <w:trPr>
          <w:cantSplit/>
          <w:trHeight w:val="70"/>
          <w:jc w:val="center"/>
        </w:trPr>
        <w:tc>
          <w:tcPr>
            <w:tcW w:w="2444" w:type="dxa"/>
            <w:vMerge/>
          </w:tcPr>
          <w:p w:rsidR="005E5E03" w:rsidRDefault="005E5E03" w:rsidP="006C6D36"/>
        </w:tc>
        <w:tc>
          <w:tcPr>
            <w:tcW w:w="7582" w:type="dxa"/>
            <w:vAlign w:val="center"/>
          </w:tcPr>
          <w:p w:rsidR="005E5E03" w:rsidRDefault="005E5E03" w:rsidP="006C6D36">
            <w:pPr>
              <w:autoSpaceDE w:val="0"/>
              <w:autoSpaceDN w:val="0"/>
              <w:adjustRightInd w:val="0"/>
              <w:jc w:val="center"/>
              <w:rPr>
                <w:rFonts w:ascii="Century Gothic" w:hAnsi="Century Gothic" w:cs="Trebuchet MS"/>
                <w:b/>
                <w:bCs/>
                <w:color w:val="626262"/>
              </w:rPr>
            </w:pPr>
            <w:r>
              <w:rPr>
                <w:rFonts w:ascii="Century Gothic" w:hAnsi="Century Gothic" w:cs="Trebuchet MS"/>
                <w:b/>
                <w:bCs/>
                <w:color w:val="626262"/>
                <w:sz w:val="22"/>
                <w:szCs w:val="22"/>
              </w:rPr>
              <w:t>Αριστοτέλους 46, 104 33 Αθήνα, Τηλ. 210 8846852, Fax. 210 8846853</w:t>
            </w:r>
          </w:p>
          <w:p w:rsidR="005E5E03" w:rsidRDefault="003F044E" w:rsidP="006C6D36">
            <w:pPr>
              <w:autoSpaceDE w:val="0"/>
              <w:autoSpaceDN w:val="0"/>
              <w:adjustRightInd w:val="0"/>
              <w:jc w:val="center"/>
              <w:rPr>
                <w:rFonts w:ascii="Trebuchet MS" w:hAnsi="Trebuchet MS" w:cs="Trebuchet MS"/>
                <w:b/>
                <w:bCs/>
                <w:color w:val="626262"/>
              </w:rPr>
            </w:pPr>
            <w:hyperlink r:id="rId8" w:history="1">
              <w:r w:rsidR="005E5E03">
                <w:rPr>
                  <w:rFonts w:ascii="Century Gothic" w:hAnsi="Century Gothic" w:cs="Trebuchet MS"/>
                  <w:b/>
                  <w:bCs/>
                  <w:color w:val="626262"/>
                  <w:sz w:val="22"/>
                  <w:szCs w:val="22"/>
                </w:rPr>
                <w:t>www.imegsevee.gr</w:t>
              </w:r>
            </w:hyperlink>
            <w:r w:rsidR="005E5E03">
              <w:rPr>
                <w:rFonts w:ascii="Century Gothic" w:hAnsi="Century Gothic" w:cs="Trebuchet MS"/>
                <w:b/>
                <w:bCs/>
                <w:color w:val="626262"/>
                <w:sz w:val="22"/>
                <w:szCs w:val="22"/>
              </w:rPr>
              <w:t xml:space="preserve">, </w:t>
            </w:r>
            <w:hyperlink r:id="rId9" w:history="1">
              <w:r w:rsidR="005E5E03">
                <w:rPr>
                  <w:rFonts w:ascii="Century Gothic" w:hAnsi="Century Gothic" w:cs="Trebuchet MS"/>
                  <w:b/>
                  <w:bCs/>
                  <w:color w:val="626262"/>
                  <w:sz w:val="22"/>
                  <w:szCs w:val="22"/>
                </w:rPr>
                <w:t>info@imegsevee.gr</w:t>
              </w:r>
            </w:hyperlink>
            <w:r w:rsidR="005E5E03">
              <w:rPr>
                <w:rFonts w:ascii="Trebuchet MS" w:hAnsi="Trebuchet MS" w:cs="Trebuchet MS"/>
                <w:b/>
                <w:bCs/>
                <w:color w:val="626262"/>
                <w:sz w:val="22"/>
                <w:szCs w:val="22"/>
              </w:rPr>
              <w:t xml:space="preserve"> </w:t>
            </w:r>
          </w:p>
        </w:tc>
      </w:tr>
    </w:tbl>
    <w:p w:rsidR="005E5E03" w:rsidRPr="005A0A6A" w:rsidRDefault="005E5E03" w:rsidP="005A0A6A">
      <w:pPr>
        <w:spacing w:line="360" w:lineRule="auto"/>
      </w:pPr>
      <w:r>
        <w:rPr>
          <w:rFonts w:ascii="Arial Narrow" w:hAnsi="Arial Narrow"/>
          <w:sz w:val="22"/>
        </w:rPr>
        <w:t xml:space="preserve">Αθήνα, </w:t>
      </w:r>
      <w:r w:rsidRPr="00221F6F">
        <w:rPr>
          <w:rFonts w:ascii="Arial Narrow" w:hAnsi="Arial Narrow"/>
          <w:sz w:val="22"/>
        </w:rPr>
        <w:t xml:space="preserve"> </w:t>
      </w:r>
      <w:r w:rsidR="00256B2E" w:rsidRPr="00C40DD8">
        <w:rPr>
          <w:rFonts w:ascii="Arial Narrow" w:hAnsi="Arial Narrow"/>
          <w:sz w:val="22"/>
        </w:rPr>
        <w:t>23</w:t>
      </w:r>
      <w:r w:rsidRPr="006F23E0">
        <w:rPr>
          <w:rFonts w:ascii="Arial Narrow" w:hAnsi="Arial Narrow"/>
          <w:sz w:val="22"/>
        </w:rPr>
        <w:t xml:space="preserve"> </w:t>
      </w:r>
      <w:r w:rsidR="00266E6E">
        <w:rPr>
          <w:rFonts w:ascii="Arial Narrow" w:hAnsi="Arial Narrow"/>
          <w:sz w:val="22"/>
        </w:rPr>
        <w:t>Ιαν</w:t>
      </w:r>
      <w:r>
        <w:rPr>
          <w:rFonts w:ascii="Arial Narrow" w:hAnsi="Arial Narrow"/>
          <w:sz w:val="22"/>
        </w:rPr>
        <w:t>ουαρίου  201</w:t>
      </w:r>
      <w:r w:rsidR="00266E6E">
        <w:rPr>
          <w:rFonts w:ascii="Arial Narrow" w:hAnsi="Arial Narrow"/>
          <w:sz w:val="22"/>
        </w:rPr>
        <w:t>4</w:t>
      </w:r>
      <w:r w:rsidRPr="009C1013">
        <w:rPr>
          <w:rFonts w:ascii="Arial Narrow" w:hAnsi="Arial Narrow"/>
          <w:sz w:val="22"/>
        </w:rPr>
        <w:tab/>
      </w:r>
      <w:r w:rsidRPr="009C1013">
        <w:rPr>
          <w:rFonts w:ascii="Arial Narrow" w:hAnsi="Arial Narrow"/>
          <w:sz w:val="22"/>
        </w:rPr>
        <w:tab/>
      </w:r>
      <w:r w:rsidRPr="00221F6F">
        <w:rPr>
          <w:rFonts w:ascii="Arial Narrow" w:hAnsi="Arial Narrow"/>
          <w:sz w:val="22"/>
        </w:rPr>
        <w:t xml:space="preserve">    </w:t>
      </w:r>
      <w:r w:rsidRPr="009C1013">
        <w:rPr>
          <w:rFonts w:ascii="Arial Narrow" w:hAnsi="Arial Narrow"/>
          <w:sz w:val="22"/>
        </w:rPr>
        <w:tab/>
      </w:r>
      <w:r w:rsidRPr="009C1013">
        <w:rPr>
          <w:rFonts w:ascii="Arial Narrow" w:hAnsi="Arial Narrow"/>
          <w:sz w:val="22"/>
        </w:rPr>
        <w:tab/>
      </w:r>
      <w:r w:rsidRPr="009C1013">
        <w:rPr>
          <w:rFonts w:ascii="Arial Narrow" w:hAnsi="Arial Narrow"/>
          <w:sz w:val="22"/>
        </w:rPr>
        <w:tab/>
      </w:r>
      <w:r w:rsidRPr="009C1013">
        <w:rPr>
          <w:rFonts w:ascii="Arial Narrow" w:hAnsi="Arial Narrow"/>
          <w:sz w:val="22"/>
        </w:rPr>
        <w:tab/>
      </w:r>
      <w:r w:rsidRPr="009C1013">
        <w:rPr>
          <w:rFonts w:ascii="Arial Narrow" w:hAnsi="Arial Narrow"/>
          <w:sz w:val="22"/>
        </w:rPr>
        <w:tab/>
      </w:r>
      <w:r w:rsidRPr="009C1013">
        <w:rPr>
          <w:rFonts w:ascii="Arial Narrow" w:hAnsi="Arial Narrow"/>
          <w:sz w:val="22"/>
        </w:rPr>
        <w:tab/>
      </w:r>
      <w:r w:rsidRPr="00221F6F">
        <w:rPr>
          <w:rFonts w:ascii="Arial Narrow" w:hAnsi="Arial Narrow"/>
          <w:sz w:val="22"/>
        </w:rPr>
        <w:t xml:space="preserve">             </w:t>
      </w:r>
      <w:r w:rsidR="00266E6E">
        <w:rPr>
          <w:noProof/>
        </w:rPr>
        <w:drawing>
          <wp:inline distT="0" distB="0" distL="0" distR="0">
            <wp:extent cx="914400" cy="723900"/>
            <wp:effectExtent l="19050" t="0" r="0" b="0"/>
            <wp:docPr id="1" name="Εικόνα 1" descr="Kinima Polit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Kinima Politon 2"/>
                    <pic:cNvPicPr>
                      <a:picLocks noChangeAspect="1" noChangeArrowheads="1"/>
                    </pic:cNvPicPr>
                  </pic:nvPicPr>
                  <pic:blipFill>
                    <a:blip r:embed="rId10"/>
                    <a:srcRect/>
                    <a:stretch>
                      <a:fillRect/>
                    </a:stretch>
                  </pic:blipFill>
                  <pic:spPr bwMode="auto">
                    <a:xfrm>
                      <a:off x="0" y="0"/>
                      <a:ext cx="914400" cy="723900"/>
                    </a:xfrm>
                    <a:prstGeom prst="rect">
                      <a:avLst/>
                    </a:prstGeom>
                    <a:noFill/>
                    <a:ln w="9525">
                      <a:noFill/>
                      <a:miter lim="800000"/>
                      <a:headEnd/>
                      <a:tailEnd/>
                    </a:ln>
                  </pic:spPr>
                </pic:pic>
              </a:graphicData>
            </a:graphic>
          </wp:inline>
        </w:drawing>
      </w:r>
    </w:p>
    <w:p w:rsidR="005E5E03" w:rsidRPr="00E5604C" w:rsidRDefault="005E5E03" w:rsidP="00E5604C">
      <w:pPr>
        <w:pBdr>
          <w:top w:val="single" w:sz="4" w:space="1" w:color="auto"/>
        </w:pBdr>
        <w:spacing w:line="360" w:lineRule="auto"/>
        <w:jc w:val="center"/>
        <w:rPr>
          <w:rFonts w:ascii="Arial Narrow" w:hAnsi="Arial Narrow"/>
          <w:sz w:val="28"/>
          <w:szCs w:val="28"/>
        </w:rPr>
      </w:pPr>
      <w:r w:rsidRPr="00C41D0F">
        <w:rPr>
          <w:rFonts w:ascii="Arial Narrow" w:hAnsi="Arial Narrow" w:cs="Tahoma"/>
          <w:b/>
          <w:color w:val="000080"/>
          <w:sz w:val="28"/>
          <w:szCs w:val="28"/>
        </w:rPr>
        <w:t>ΔΕΛΤΙΟ ΤΥΠΟΥ</w:t>
      </w:r>
      <w:r w:rsidRPr="00221F6F">
        <w:rPr>
          <w:rFonts w:ascii="Arial Narrow" w:hAnsi="Arial Narrow" w:cs="Tahoma"/>
          <w:b/>
          <w:color w:val="000080"/>
          <w:sz w:val="28"/>
          <w:szCs w:val="28"/>
        </w:rPr>
        <w:t xml:space="preserve">  </w:t>
      </w:r>
    </w:p>
    <w:p w:rsidR="005E5E03" w:rsidRPr="00C41D0F" w:rsidRDefault="005E5E03" w:rsidP="00C41D0F">
      <w:pPr>
        <w:jc w:val="both"/>
        <w:rPr>
          <w:rFonts w:ascii="Arial Narrow" w:hAnsi="Arial Narrow"/>
          <w:b/>
        </w:rPr>
      </w:pPr>
      <w:r w:rsidRPr="00C41D0F">
        <w:rPr>
          <w:rFonts w:ascii="Arial Narrow" w:hAnsi="Arial Narrow"/>
          <w:b/>
        </w:rPr>
        <w:t>Θέμα: ΕΡΕΥΝΑ ΙΜΕ ΓΣΕΒΕΕ - «ΕΙΣΟΔΗΜΑ – ΔΑΠΑΝΕΣ ΝΟΙΚΟΚΥΡΙΩΝ»</w:t>
      </w:r>
    </w:p>
    <w:p w:rsidR="005E5E03" w:rsidRPr="00C41D0F" w:rsidRDefault="005E5E03" w:rsidP="00C41D0F">
      <w:pPr>
        <w:jc w:val="center"/>
        <w:rPr>
          <w:rFonts w:ascii="Arial Narrow" w:hAnsi="Arial Narrow"/>
          <w:b/>
          <w:sz w:val="28"/>
          <w:szCs w:val="28"/>
        </w:rPr>
      </w:pPr>
    </w:p>
    <w:p w:rsidR="00256B2E" w:rsidRPr="00256B2E" w:rsidRDefault="00256B2E" w:rsidP="00256B2E">
      <w:pPr>
        <w:pStyle w:val="Web"/>
        <w:spacing w:before="0" w:beforeAutospacing="0" w:after="0" w:afterAutospacing="0"/>
        <w:ind w:firstLine="720"/>
        <w:jc w:val="both"/>
        <w:rPr>
          <w:rFonts w:ascii="Arial Narrow" w:hAnsi="Arial Narrow"/>
        </w:rPr>
      </w:pPr>
      <w:r>
        <w:rPr>
          <w:rFonts w:ascii="Arial Narrow" w:hAnsi="Arial Narrow"/>
        </w:rPr>
        <w:t>Στα πρόθυρα της οικονομικής ασφυξίας βρίσκεται ένα μεγάλο μέρος  των ελληνικών νοικοκυριών. Αυτό είναι το συμπέρασμα που προκύπτει από την ετήσια τακτική έρευνα του ΙΜΕ ΓΣΕΒΕΕ που έγινε σε συνεργασία με την εταιρία MARC A.E</w:t>
      </w:r>
      <w:r w:rsidRPr="00256B2E">
        <w:rPr>
          <w:rFonts w:ascii="Arial Narrow" w:hAnsi="Arial Narrow"/>
        </w:rPr>
        <w:t>.</w:t>
      </w:r>
    </w:p>
    <w:p w:rsidR="00256B2E" w:rsidRPr="00256B2E" w:rsidRDefault="00256B2E" w:rsidP="00256B2E">
      <w:pPr>
        <w:pStyle w:val="Web"/>
        <w:spacing w:before="0" w:beforeAutospacing="0" w:after="0" w:afterAutospacing="0"/>
        <w:ind w:firstLine="720"/>
        <w:jc w:val="both"/>
        <w:rPr>
          <w:rFonts w:ascii="Arial Narrow" w:hAnsi="Arial Narrow"/>
        </w:rPr>
      </w:pPr>
    </w:p>
    <w:p w:rsidR="00256B2E" w:rsidRDefault="00256B2E" w:rsidP="00256B2E">
      <w:pPr>
        <w:pStyle w:val="Web"/>
        <w:spacing w:before="0" w:beforeAutospacing="0" w:after="0" w:afterAutospacing="0"/>
        <w:ind w:firstLine="720"/>
        <w:jc w:val="both"/>
        <w:rPr>
          <w:rFonts w:ascii="Arial Narrow" w:hAnsi="Arial Narrow"/>
          <w:lang w:val="en-US"/>
        </w:rPr>
      </w:pPr>
      <w:r>
        <w:rPr>
          <w:rFonts w:ascii="Arial Narrow" w:hAnsi="Arial Narrow"/>
        </w:rPr>
        <w:t>Σύμφωνα με την έρευνα:</w:t>
      </w:r>
    </w:p>
    <w:p w:rsidR="00256B2E" w:rsidRPr="00256B2E" w:rsidRDefault="00256B2E" w:rsidP="00256B2E">
      <w:pPr>
        <w:pStyle w:val="Web"/>
        <w:spacing w:before="0" w:beforeAutospacing="0" w:after="0" w:afterAutospacing="0"/>
        <w:ind w:firstLine="720"/>
        <w:jc w:val="both"/>
        <w:rPr>
          <w:rFonts w:ascii="Arial Narrow" w:hAnsi="Arial Narrow"/>
          <w:lang w:val="en-US"/>
        </w:rPr>
      </w:pPr>
    </w:p>
    <w:p w:rsidR="00256B2E" w:rsidRDefault="00256B2E" w:rsidP="00256B2E">
      <w:pPr>
        <w:numPr>
          <w:ilvl w:val="0"/>
          <w:numId w:val="4"/>
        </w:numPr>
        <w:jc w:val="both"/>
        <w:rPr>
          <w:b/>
        </w:rPr>
      </w:pPr>
      <w:r w:rsidRPr="009D364A">
        <w:rPr>
          <w:b/>
        </w:rPr>
        <w:t>Το 40,2% των νοικοκυριών, δηλαδή 1,4 εκ. νοικοκυριά έχουν στην οικογένεια ένα τουλάχιστο άτομο σε ανεργία. Από αυτό το ποσοστό μόνο το 9,8% λαμβάνει επίδομα ανεργίας (λιγότερο από 200,000). Περισσότεροι από 1 εκ. πολίτες  έχουν μείνει ακάλυπτοι για τον κίνδυνο της ανεργίας.</w:t>
      </w:r>
    </w:p>
    <w:p w:rsidR="00256B2E" w:rsidRDefault="00256B2E" w:rsidP="00256B2E">
      <w:pPr>
        <w:numPr>
          <w:ilvl w:val="0"/>
          <w:numId w:val="4"/>
        </w:numPr>
        <w:jc w:val="both"/>
        <w:rPr>
          <w:b/>
        </w:rPr>
      </w:pPr>
      <w:r w:rsidRPr="00805973">
        <w:rPr>
          <w:b/>
        </w:rPr>
        <w:t xml:space="preserve">Το 44,3% του πληθυσμού έχει οικονομικές υποχρεώσεις προς τις τράπεζες. 1 στα 10 νοικοκυριά αναγκάστηκαν να ρευστοποιήσουν περιουσιακά στοιχεία για ανταπεξέλθουν στην κρίση. Οι πρόσφατοι νόμοι για τη φορολόγηση ακινήτων, τις κατασχέσεις καταθέσεων και τη μερική άρση των πλειστηριασμών αναμένεται να δημιουργήσουν συνθήκες ασφυξίας στα νοικοκυριά. </w:t>
      </w:r>
    </w:p>
    <w:p w:rsidR="00256B2E" w:rsidRDefault="00256B2E" w:rsidP="00256B2E">
      <w:pPr>
        <w:numPr>
          <w:ilvl w:val="0"/>
          <w:numId w:val="4"/>
        </w:numPr>
        <w:jc w:val="both"/>
        <w:rPr>
          <w:b/>
        </w:rPr>
      </w:pPr>
      <w:r w:rsidRPr="003954BC">
        <w:rPr>
          <w:b/>
        </w:rPr>
        <w:t>1 στα 3 νοικοκυριά βρίσκεται στο όριο καθυστέρησης πληρωμών προς το δημόσιο, ταμεία Δ.Ε.Κ.Ο., τράπεζες, δάνεια κ.λ.π, λόγω αδυναμίας (το 34,8% των νοικοκυριών καθυστερεί τις οφειλές για να μπορέσει να αντεπεξέλθει, ενώ το 41,7% δήλωσε ότι δε διαθέτει επαρκές εισόδημα για την κάλυψη των υποχρεώσεων</w:t>
      </w:r>
    </w:p>
    <w:p w:rsidR="00256B2E" w:rsidRPr="00805973" w:rsidRDefault="00256B2E" w:rsidP="00256B2E">
      <w:pPr>
        <w:numPr>
          <w:ilvl w:val="0"/>
          <w:numId w:val="4"/>
        </w:numPr>
        <w:jc w:val="both"/>
        <w:rPr>
          <w:b/>
        </w:rPr>
      </w:pPr>
      <w:r w:rsidRPr="00805973">
        <w:rPr>
          <w:b/>
        </w:rPr>
        <w:t>Η επιδείνωση της οικονομικής κατάστασης των νοικοκυριών συνεχίζεται αν και πλέον το φαινόμενο επιβραδύνει. Μεγάλο μέρος του πληθυσμού δεν καλύπτει φορολογικές και δανειακές υποχρεώσεις, αγοράζει αγαθά χαμηλότερης ποιότητας για να αντεπεξέλθει στις υποχρεώσεις και φοβάται ότι κάποια στιγμή θα κινδυνεύσει να χάσει το σπίτι του.</w:t>
      </w:r>
    </w:p>
    <w:p w:rsidR="00256B2E" w:rsidRDefault="00256B2E" w:rsidP="00256B2E">
      <w:pPr>
        <w:numPr>
          <w:ilvl w:val="0"/>
          <w:numId w:val="4"/>
        </w:numPr>
        <w:jc w:val="both"/>
        <w:rPr>
          <w:b/>
        </w:rPr>
      </w:pPr>
      <w:r w:rsidRPr="00805973">
        <w:rPr>
          <w:b/>
        </w:rPr>
        <w:t xml:space="preserve">Το 94,6% των νοικοκυριών έχει υποστεί μειώσεις εισοδήματος το διάστημα της κρίσης (2010-2013). </w:t>
      </w:r>
      <w:r>
        <w:rPr>
          <w:b/>
        </w:rPr>
        <w:t>Η συντριπτική πλειοψηφία των νοικοκυριών που ανήκουν στ</w:t>
      </w:r>
      <w:r>
        <w:rPr>
          <w:b/>
          <w:lang w:val="en-US"/>
        </w:rPr>
        <w:t>o</w:t>
      </w:r>
      <w:r w:rsidRPr="00BA442E">
        <w:rPr>
          <w:b/>
        </w:rPr>
        <w:t xml:space="preserve"> </w:t>
      </w:r>
      <w:r>
        <w:rPr>
          <w:b/>
        </w:rPr>
        <w:t xml:space="preserve">εισοδηματικό κλιμάκιο </w:t>
      </w:r>
      <w:r w:rsidRPr="00805973">
        <w:rPr>
          <w:b/>
        </w:rPr>
        <w:t>10,000-25,000€</w:t>
      </w:r>
      <w:r>
        <w:rPr>
          <w:b/>
        </w:rPr>
        <w:t xml:space="preserve"> (</w:t>
      </w:r>
      <w:r w:rsidRPr="00805973">
        <w:rPr>
          <w:b/>
        </w:rPr>
        <w:t>96-97%</w:t>
      </w:r>
      <w:r>
        <w:rPr>
          <w:b/>
        </w:rPr>
        <w:t>)</w:t>
      </w:r>
      <w:r w:rsidRPr="00805973">
        <w:rPr>
          <w:b/>
        </w:rPr>
        <w:t xml:space="preserve"> εμφα</w:t>
      </w:r>
      <w:r>
        <w:rPr>
          <w:b/>
        </w:rPr>
        <w:t>νίζει μειώσεις στα εισοδήματά της</w:t>
      </w:r>
      <w:r w:rsidRPr="00805973">
        <w:rPr>
          <w:b/>
        </w:rPr>
        <w:t>.  Σε σχέση με την προηγούμενη χρονιά (2012), το 82,4% του πληθυσμού αναφέρει ότι έχει υποστεί μειώσεις μέσα στο 2013, γεγονός που δείχνει ότι τα εισοδήματα διατηρούν την καθοδική τους τάση.</w:t>
      </w:r>
    </w:p>
    <w:p w:rsidR="00256B2E" w:rsidRDefault="00256B2E" w:rsidP="00256B2E">
      <w:pPr>
        <w:numPr>
          <w:ilvl w:val="0"/>
          <w:numId w:val="4"/>
        </w:numPr>
        <w:jc w:val="both"/>
        <w:rPr>
          <w:b/>
        </w:rPr>
      </w:pPr>
      <w:r w:rsidRPr="00805973">
        <w:rPr>
          <w:b/>
        </w:rPr>
        <w:t xml:space="preserve">Ο μέσος όρος μείωσης του εισοδήματος σύμφωνα με την εκτίμηση του ΙΜΕ-ΓΣΕΒΕΕ αγγίζει το 40% (39,47%). Η Αττική είναι η περιοχή με τη μεγαλύτερη μείωση (41,06%). </w:t>
      </w:r>
    </w:p>
    <w:p w:rsidR="00256B2E" w:rsidRDefault="00256B2E" w:rsidP="00256B2E">
      <w:pPr>
        <w:numPr>
          <w:ilvl w:val="0"/>
          <w:numId w:val="4"/>
        </w:numPr>
        <w:jc w:val="both"/>
        <w:rPr>
          <w:b/>
        </w:rPr>
      </w:pPr>
      <w:r w:rsidRPr="00805973">
        <w:rPr>
          <w:b/>
        </w:rPr>
        <w:t>Βασική, ίσως και μοναδική στήριξη των νοικοκυριών αποτελούν  τα εισοδήματα από συντάξεις (48,6%). Τα εισοδήματα από μισθωτές υπηρεσίες, ελευθέρια επαγγέλματα και επιχειρηματική δραστηριότητα έχουν υποχωρήσει ως προς τη συνεισφορά τους στην οικονομία του νοικοκυριού (35,9% των νοικοκυριών στηρίζεται σε μισθ</w:t>
      </w:r>
      <w:r>
        <w:rPr>
          <w:b/>
        </w:rPr>
        <w:t>ού</w:t>
      </w:r>
      <w:r w:rsidRPr="00805973">
        <w:rPr>
          <w:b/>
        </w:rPr>
        <w:t>ς, 10,3% σε επιχειρηματικά κέρδη).</w:t>
      </w:r>
    </w:p>
    <w:p w:rsidR="00C40DD8" w:rsidRPr="003954BC" w:rsidRDefault="00C40DD8" w:rsidP="00C40DD8">
      <w:pPr>
        <w:numPr>
          <w:ilvl w:val="0"/>
          <w:numId w:val="4"/>
        </w:numPr>
        <w:jc w:val="both"/>
        <w:rPr>
          <w:b/>
        </w:rPr>
      </w:pPr>
      <w:r w:rsidRPr="003954BC">
        <w:rPr>
          <w:b/>
        </w:rPr>
        <w:t xml:space="preserve">Κλίμα απαισιοδοξίας συνεχίζει να διακατέχει τα ελληνικά νοικοκυριά. Το 41,7% θεωρεί ότι δεν θα μπορέσει να ανταποκριθεί στις οικονομικές υποχρεώσεις του επόμενου έτους. Αυξημένη αδυναμία δηλώνουν τα νοικοκυριά με 1 τουλάχιστο άνεργο (51%). </w:t>
      </w:r>
    </w:p>
    <w:p w:rsidR="00C40DD8" w:rsidRPr="00045DD6" w:rsidRDefault="00C40DD8" w:rsidP="00C40DD8">
      <w:pPr>
        <w:numPr>
          <w:ilvl w:val="0"/>
          <w:numId w:val="4"/>
        </w:numPr>
        <w:jc w:val="both"/>
        <w:rPr>
          <w:b/>
          <w:color w:val="FF0000"/>
        </w:rPr>
      </w:pPr>
      <w:r w:rsidRPr="00045DD6">
        <w:rPr>
          <w:b/>
        </w:rPr>
        <w:lastRenderedPageBreak/>
        <w:t xml:space="preserve">Η αγορά συνεχίζει να βρίσκεται σε μια παρατεταμένη ετήσια χειμερία νάρκη», δεδομένου ότι το 75,5% (από 70% στην αντίστοιχη περσινή έρευνα εισοδήματος) των νοικοκυριών αναμένει τις εκπτώσεις για να αγοράσει βασικά αγαθά. </w:t>
      </w:r>
    </w:p>
    <w:p w:rsidR="00C40DD8" w:rsidRPr="003954BC" w:rsidRDefault="00C40DD8" w:rsidP="00C40DD8">
      <w:pPr>
        <w:numPr>
          <w:ilvl w:val="0"/>
          <w:numId w:val="4"/>
        </w:numPr>
        <w:jc w:val="both"/>
        <w:rPr>
          <w:b/>
          <w:color w:val="FF0000"/>
        </w:rPr>
      </w:pPr>
      <w:r w:rsidRPr="00045DD6">
        <w:rPr>
          <w:b/>
        </w:rPr>
        <w:t>Δραματικές εμφανίζονται οι περικοπές στην κατανάλωση λόγω της συρρίκνωσης των εισοδημάτων – Το 63,7% των νοικοκυριών έχει κάνει περικοπές στις δαπάνες ειδών διατροφής, ενώ το 90,3%, περιόρισε τις δαπάνες για ένδυση – υπόδηση και περίπου το 90% έχει περιορίσει τις εξόδους σε εστιατόρια, ταβέρνες, μπαρ, σινεμά. Άνω του 75% των νοικοκυριών έχει κάνει περικοπές στις δαπάνες για θέρμανση και μετακινήσεις, γεγονός που συνδέεται με τη διατήρηση του υψηλού και αναποτελεσματικού φόρου στην κατανάλωση πετρελαίου θέρμανσης</w:t>
      </w:r>
      <w:r w:rsidRPr="00045DD6">
        <w:rPr>
          <w:b/>
          <w:color w:val="FF0000"/>
        </w:rPr>
        <w:t>.</w:t>
      </w:r>
    </w:p>
    <w:p w:rsidR="00C40DD8" w:rsidRPr="00454C67" w:rsidRDefault="00C40DD8" w:rsidP="00C40DD8">
      <w:pPr>
        <w:numPr>
          <w:ilvl w:val="0"/>
          <w:numId w:val="4"/>
        </w:numPr>
        <w:jc w:val="both"/>
        <w:rPr>
          <w:b/>
          <w:color w:val="FF0000"/>
        </w:rPr>
      </w:pPr>
      <w:r w:rsidRPr="003954BC">
        <w:rPr>
          <w:b/>
        </w:rPr>
        <w:t>Η τάση υποβάθμισης της ποιότητας ζωής συνεχίζεται, καθώς το 36,5% του πληθυσμού δηλώνει ότι αγοράζει προϊόντα χαμηλότερης ποιότητας. Οξυμένο είναι το πρόβλημα στις πολυμελείς οικογένειες (&gt;5 ατόμων το ποσοστό ανέρχεται στο 44,7%) και στις χαμηλές εισοδηματικά κατηγορίες.</w:t>
      </w:r>
    </w:p>
    <w:p w:rsidR="00C40DD8" w:rsidRDefault="00C40DD8" w:rsidP="00C40DD8">
      <w:pPr>
        <w:numPr>
          <w:ilvl w:val="0"/>
          <w:numId w:val="4"/>
        </w:numPr>
        <w:jc w:val="both"/>
        <w:rPr>
          <w:b/>
        </w:rPr>
      </w:pPr>
      <w:r>
        <w:rPr>
          <w:b/>
        </w:rPr>
        <w:t xml:space="preserve">Από την έρευνα </w:t>
      </w:r>
      <w:r w:rsidRPr="00454C67">
        <w:rPr>
          <w:b/>
        </w:rPr>
        <w:t xml:space="preserve">επιβεβαιώνεται το υψηλό ποσοστό κατοχής ακίνητης περιουσίας από τα ελληνικά νοικοκυριά. Το 86,7% του πληθυσμού κατέχει κάποιο ακίνητο. </w:t>
      </w:r>
      <w:r w:rsidRPr="00A318C6">
        <w:rPr>
          <w:b/>
        </w:rPr>
        <w:t>Το 28,1% των νοικοκυριών που διαμένει σε ιδιόκτητο σπίτι έχει στεγαστικό δάνειο</w:t>
      </w:r>
      <w:r w:rsidRPr="00454C67">
        <w:rPr>
          <w:b/>
        </w:rPr>
        <w:t xml:space="preserve">. Αυτό </w:t>
      </w:r>
      <w:r w:rsidRPr="00A318C6">
        <w:rPr>
          <w:b/>
        </w:rPr>
        <w:t>σημαίνει ότι περίπου 1εκ. νοικοκυριά έχουν δανειακά βάρη στο ακίνητο που διαμένουν</w:t>
      </w:r>
      <w:r w:rsidRPr="00454C67">
        <w:rPr>
          <w:b/>
        </w:rPr>
        <w:t>.</w:t>
      </w:r>
    </w:p>
    <w:p w:rsidR="00C40DD8" w:rsidRDefault="00C40DD8" w:rsidP="00C40DD8">
      <w:pPr>
        <w:numPr>
          <w:ilvl w:val="0"/>
          <w:numId w:val="4"/>
        </w:numPr>
        <w:jc w:val="both"/>
        <w:rPr>
          <w:b/>
        </w:rPr>
      </w:pPr>
      <w:r w:rsidRPr="00454C67">
        <w:rPr>
          <w:b/>
        </w:rPr>
        <w:t>1 στα 3 νοικοκυριά φοβάται ότι θα χάσει το σπίτι του εξ αιτίας τόσο των συσσωρευμένων υποχρεώσεων όσο και των επιπρόσθετων επιβαρύνσεων (δανειακών, φορολογικών και άλλων). Η ανασφάλεια αυτή δημιουργεί ένα φαύλο κύκλο αποεπένδυσης και κατάρρευσης των αξιών των ακινήτων.</w:t>
      </w:r>
    </w:p>
    <w:p w:rsidR="00256B2E" w:rsidRPr="00C40DD8" w:rsidRDefault="00C40DD8" w:rsidP="00C40DD8">
      <w:pPr>
        <w:pStyle w:val="aa"/>
        <w:numPr>
          <w:ilvl w:val="0"/>
          <w:numId w:val="4"/>
        </w:numPr>
        <w:jc w:val="both"/>
        <w:rPr>
          <w:b/>
        </w:rPr>
      </w:pPr>
      <w:r w:rsidRPr="00C40DD8">
        <w:rPr>
          <w:b/>
        </w:rPr>
        <w:t>Θετικό στοιχείο της έρευνας είναι η διατήρηση της εμπιστοσύνης που έχουν τα νοικοκυριά στο δημόσιο σύστημα υγείας, καθώς το 55,8% θα έδειχνε περισσότερη εμπιστοσύνη στο δημόσιο νοσοκομείο για την αντιμετώπιση κάποιου σοβαρού προβλήματος, έναντι 34,2% που θα προτιμούσε το ιδιωτικό. Οι πολιτικές υγείας που ασκούνται θα πρέπει να λαμβάνουν υπόψη τους το συγκεκριμένο δεδομένο, καθώς είναι πολύ πιθανό οι χρήστες των δημόσιων υπηρεσιών υγείας να αλλάξουν προτιμήσεις αν δεν εξομαλυνθεί διοικητικά και πολιτικά η κατάσταση στα δημόσια νοσοκομεία.</w:t>
      </w:r>
    </w:p>
    <w:p w:rsidR="00256B2E" w:rsidRPr="00C40DD8" w:rsidRDefault="00256B2E" w:rsidP="00256B2E">
      <w:pPr>
        <w:rPr>
          <w:lang w:val="en-US"/>
        </w:rPr>
      </w:pPr>
    </w:p>
    <w:p w:rsidR="00256B2E" w:rsidRDefault="00256B2E" w:rsidP="00256B2E">
      <w:pPr>
        <w:pStyle w:val="Web"/>
        <w:spacing w:before="0" w:beforeAutospacing="0" w:after="0" w:afterAutospacing="0"/>
        <w:ind w:firstLine="720"/>
        <w:jc w:val="both"/>
        <w:rPr>
          <w:rFonts w:ascii="Arial Narrow" w:hAnsi="Arial Narrow"/>
        </w:rPr>
      </w:pPr>
    </w:p>
    <w:p w:rsidR="00256B2E" w:rsidRDefault="00256B2E" w:rsidP="00C40DD8">
      <w:pPr>
        <w:pStyle w:val="Web"/>
        <w:spacing w:before="0" w:beforeAutospacing="0" w:after="0" w:afterAutospacing="0"/>
        <w:jc w:val="both"/>
        <w:rPr>
          <w:rFonts w:ascii="Arial Narrow" w:hAnsi="Arial Narrow"/>
        </w:rPr>
      </w:pPr>
      <w:r>
        <w:rPr>
          <w:rFonts w:ascii="Arial Narrow" w:hAnsi="Arial Narrow"/>
        </w:rPr>
        <w:t xml:space="preserve">Η συγκεκριμένη έρευνα </w:t>
      </w:r>
      <w:r w:rsidRPr="00C41D0F">
        <w:rPr>
          <w:rFonts w:ascii="Arial Narrow" w:hAnsi="Arial Narrow"/>
        </w:rPr>
        <w:t xml:space="preserve">εντάσσεται στις </w:t>
      </w:r>
      <w:r>
        <w:rPr>
          <w:rFonts w:ascii="Arial Narrow" w:hAnsi="Arial Narrow"/>
        </w:rPr>
        <w:t>ετήσιες τακτικές</w:t>
      </w:r>
      <w:r w:rsidRPr="00C41D0F">
        <w:rPr>
          <w:rFonts w:ascii="Arial Narrow" w:hAnsi="Arial Narrow"/>
        </w:rPr>
        <w:t xml:space="preserve"> έρευνες του ΙΜΕ ΓΣΕΒΕΕ (συνεργασία με την εταιρία </w:t>
      </w:r>
      <w:r w:rsidRPr="00C41D0F">
        <w:rPr>
          <w:rFonts w:ascii="Arial Narrow" w:hAnsi="Arial Narrow"/>
          <w:lang w:val="en-US"/>
        </w:rPr>
        <w:t>MARC</w:t>
      </w:r>
      <w:r w:rsidRPr="00C41D0F">
        <w:rPr>
          <w:rFonts w:ascii="Arial Narrow" w:hAnsi="Arial Narrow"/>
        </w:rPr>
        <w:t xml:space="preserve"> </w:t>
      </w:r>
      <w:r w:rsidRPr="00C41D0F">
        <w:rPr>
          <w:rFonts w:ascii="Arial Narrow" w:hAnsi="Arial Narrow"/>
          <w:lang w:val="en-US"/>
        </w:rPr>
        <w:t>AE</w:t>
      </w:r>
      <w:r w:rsidRPr="00C41D0F">
        <w:rPr>
          <w:rFonts w:ascii="Arial Narrow" w:hAnsi="Arial Narrow"/>
        </w:rPr>
        <w:t xml:space="preserve">). Έγινε σε </w:t>
      </w:r>
      <w:r w:rsidRPr="00C41D0F">
        <w:rPr>
          <w:rFonts w:ascii="Arial Narrow" w:hAnsi="Arial Narrow"/>
          <w:b/>
        </w:rPr>
        <w:t xml:space="preserve">δείγμα </w:t>
      </w:r>
      <w:r>
        <w:rPr>
          <w:rFonts w:ascii="Arial Narrow" w:hAnsi="Arial Narrow"/>
          <w:b/>
        </w:rPr>
        <w:t>120</w:t>
      </w:r>
      <w:r w:rsidRPr="00266E6E">
        <w:rPr>
          <w:rFonts w:ascii="Arial Narrow" w:hAnsi="Arial Narrow"/>
          <w:b/>
        </w:rPr>
        <w:t>1</w:t>
      </w:r>
      <w:r w:rsidRPr="0036187A">
        <w:rPr>
          <w:rFonts w:ascii="Arial Narrow" w:hAnsi="Arial Narrow"/>
          <w:b/>
        </w:rPr>
        <w:t xml:space="preserve"> </w:t>
      </w:r>
      <w:r w:rsidRPr="00C41D0F">
        <w:rPr>
          <w:rFonts w:ascii="Arial Narrow" w:hAnsi="Arial Narrow"/>
          <w:b/>
        </w:rPr>
        <w:t>αντιπροσωπευτικών νοικοκυριών</w:t>
      </w:r>
      <w:r>
        <w:rPr>
          <w:rFonts w:ascii="Arial Narrow" w:hAnsi="Arial Narrow"/>
        </w:rPr>
        <w:t xml:space="preserve"> στο σύνολο της ελληνικής επικράτειας την περίοδο </w:t>
      </w:r>
      <w:r w:rsidRPr="00C41D0F">
        <w:rPr>
          <w:rFonts w:ascii="Arial Narrow" w:hAnsi="Arial Narrow"/>
        </w:rPr>
        <w:t>Δεκεμβρίου</w:t>
      </w:r>
      <w:r>
        <w:rPr>
          <w:rFonts w:ascii="Arial Narrow" w:hAnsi="Arial Narrow"/>
        </w:rPr>
        <w:t xml:space="preserve"> 2013</w:t>
      </w:r>
      <w:r w:rsidRPr="00C41D0F">
        <w:rPr>
          <w:rFonts w:ascii="Arial Narrow" w:hAnsi="Arial Narrow"/>
        </w:rPr>
        <w:t>. Στόχος</w:t>
      </w:r>
      <w:r>
        <w:rPr>
          <w:rFonts w:ascii="Arial Narrow" w:hAnsi="Arial Narrow"/>
        </w:rPr>
        <w:t>,</w:t>
      </w:r>
      <w:r w:rsidRPr="00C41D0F">
        <w:rPr>
          <w:rFonts w:ascii="Arial Narrow" w:hAnsi="Arial Narrow"/>
        </w:rPr>
        <w:t xml:space="preserve"> η καταγραφή των επιπτώσεων της οικο</w:t>
      </w:r>
      <w:r>
        <w:rPr>
          <w:rFonts w:ascii="Arial Narrow" w:hAnsi="Arial Narrow"/>
        </w:rPr>
        <w:t xml:space="preserve">νομικής κρίσης στο εισόδημα, </w:t>
      </w:r>
      <w:r w:rsidRPr="00C41D0F">
        <w:rPr>
          <w:rFonts w:ascii="Arial Narrow" w:hAnsi="Arial Narrow"/>
        </w:rPr>
        <w:t>τις δαπάνες των νοικοκυριών,</w:t>
      </w:r>
      <w:r>
        <w:rPr>
          <w:rFonts w:ascii="Arial Narrow" w:hAnsi="Arial Narrow"/>
        </w:rPr>
        <w:t xml:space="preserve"> στη ζήτηση</w:t>
      </w:r>
      <w:r w:rsidRPr="00C41D0F">
        <w:rPr>
          <w:rFonts w:ascii="Arial Narrow" w:hAnsi="Arial Narrow"/>
        </w:rPr>
        <w:t xml:space="preserve"> καθώς και η αποτύπωση της στάσης των </w:t>
      </w:r>
      <w:r>
        <w:rPr>
          <w:rFonts w:ascii="Arial Narrow" w:hAnsi="Arial Narrow"/>
        </w:rPr>
        <w:t>νοικοκυριών σχετικά με την ποιότητα διαβίωσης και τις φορολογικές και άλλες οικονομικές υποχρεώσεις</w:t>
      </w:r>
      <w:r w:rsidRPr="00C41D0F">
        <w:rPr>
          <w:rFonts w:ascii="Arial Narrow" w:hAnsi="Arial Narrow"/>
        </w:rPr>
        <w:t>.</w:t>
      </w:r>
      <w:r>
        <w:rPr>
          <w:rFonts w:ascii="Arial Narrow" w:hAnsi="Arial Narrow"/>
        </w:rPr>
        <w:t xml:space="preserve"> </w:t>
      </w:r>
    </w:p>
    <w:p w:rsidR="00256B2E" w:rsidRDefault="00256B2E" w:rsidP="00256B2E">
      <w:pPr>
        <w:pStyle w:val="Web"/>
        <w:spacing w:before="0" w:beforeAutospacing="0" w:after="0" w:afterAutospacing="0"/>
        <w:jc w:val="both"/>
        <w:rPr>
          <w:rFonts w:ascii="Arial Narrow" w:hAnsi="Arial Narrow"/>
        </w:rPr>
      </w:pPr>
    </w:p>
    <w:p w:rsidR="005E5E03" w:rsidRDefault="005E5E03" w:rsidP="007E0A16">
      <w:pPr>
        <w:rPr>
          <w:b/>
          <w:u w:val="single"/>
        </w:rPr>
      </w:pPr>
    </w:p>
    <w:p w:rsidR="00454C67" w:rsidRDefault="00454C67" w:rsidP="007E0A16">
      <w:pPr>
        <w:rPr>
          <w:b/>
          <w:u w:val="single"/>
        </w:rPr>
      </w:pPr>
    </w:p>
    <w:p w:rsidR="00454C67" w:rsidRDefault="00454C67" w:rsidP="007E0A16">
      <w:pPr>
        <w:rPr>
          <w:b/>
          <w:u w:val="single"/>
        </w:rPr>
      </w:pPr>
    </w:p>
    <w:p w:rsidR="00454C67" w:rsidRDefault="00454C67" w:rsidP="007E0A16">
      <w:pPr>
        <w:rPr>
          <w:b/>
          <w:u w:val="single"/>
        </w:rPr>
      </w:pPr>
    </w:p>
    <w:p w:rsidR="00454C67" w:rsidRDefault="00454C67" w:rsidP="007E0A16">
      <w:pPr>
        <w:rPr>
          <w:b/>
          <w:u w:val="single"/>
        </w:rPr>
      </w:pPr>
    </w:p>
    <w:p w:rsidR="00454C67" w:rsidRDefault="00454C67" w:rsidP="007E0A16">
      <w:pPr>
        <w:rPr>
          <w:b/>
          <w:u w:val="single"/>
        </w:rPr>
      </w:pPr>
    </w:p>
    <w:p w:rsidR="00454C67" w:rsidRDefault="00454C67" w:rsidP="007E0A16">
      <w:pPr>
        <w:rPr>
          <w:b/>
          <w:u w:val="single"/>
        </w:rPr>
      </w:pPr>
    </w:p>
    <w:p w:rsidR="00454C67" w:rsidRDefault="00454C67" w:rsidP="007E0A16">
      <w:pPr>
        <w:rPr>
          <w:b/>
          <w:u w:val="single"/>
        </w:rPr>
      </w:pPr>
    </w:p>
    <w:p w:rsidR="00454C67" w:rsidRDefault="00454C67" w:rsidP="007E0A16">
      <w:pPr>
        <w:rPr>
          <w:b/>
          <w:u w:val="single"/>
        </w:rPr>
      </w:pPr>
    </w:p>
    <w:p w:rsidR="00454C67" w:rsidRDefault="00454C67" w:rsidP="007E0A16">
      <w:pPr>
        <w:rPr>
          <w:b/>
          <w:u w:val="single"/>
          <w:lang w:val="en-US"/>
        </w:rPr>
      </w:pPr>
    </w:p>
    <w:p w:rsidR="00C40DD8" w:rsidRDefault="00C40DD8" w:rsidP="007E0A16">
      <w:pPr>
        <w:rPr>
          <w:b/>
          <w:u w:val="single"/>
          <w:lang w:val="en-US"/>
        </w:rPr>
      </w:pPr>
    </w:p>
    <w:p w:rsidR="00C40DD8" w:rsidRDefault="00C40DD8" w:rsidP="007E0A16">
      <w:pPr>
        <w:rPr>
          <w:b/>
          <w:u w:val="single"/>
          <w:lang w:val="en-US"/>
        </w:rPr>
      </w:pPr>
    </w:p>
    <w:p w:rsidR="00C40DD8" w:rsidRDefault="00C40DD8" w:rsidP="007E0A16">
      <w:pPr>
        <w:rPr>
          <w:b/>
          <w:u w:val="single"/>
          <w:lang w:val="en-US"/>
        </w:rPr>
      </w:pPr>
    </w:p>
    <w:p w:rsidR="00C40DD8" w:rsidRDefault="00C40DD8" w:rsidP="007E0A16">
      <w:pPr>
        <w:rPr>
          <w:b/>
          <w:u w:val="single"/>
          <w:lang w:val="en-US"/>
        </w:rPr>
      </w:pPr>
    </w:p>
    <w:p w:rsidR="00C40DD8" w:rsidRPr="00C40DD8" w:rsidRDefault="00C40DD8" w:rsidP="007E0A16">
      <w:pPr>
        <w:rPr>
          <w:b/>
          <w:u w:val="single"/>
          <w:lang w:val="en-US"/>
        </w:rPr>
      </w:pPr>
    </w:p>
    <w:p w:rsidR="003954BC" w:rsidRDefault="003954BC" w:rsidP="007E0A16">
      <w:pPr>
        <w:rPr>
          <w:b/>
          <w:u w:val="single"/>
        </w:rPr>
      </w:pPr>
    </w:p>
    <w:p w:rsidR="003954BC" w:rsidRDefault="003954BC" w:rsidP="007E0A16">
      <w:pPr>
        <w:rPr>
          <w:b/>
          <w:u w:val="single"/>
        </w:rPr>
      </w:pPr>
    </w:p>
    <w:p w:rsidR="00C40DD8" w:rsidRPr="00C40DD8" w:rsidRDefault="00C40DD8" w:rsidP="00C40DD8">
      <w:pPr>
        <w:jc w:val="center"/>
        <w:rPr>
          <w:rFonts w:ascii="Arial Narrow" w:hAnsi="Arial Narrow"/>
          <w:b/>
          <w:sz w:val="28"/>
          <w:szCs w:val="28"/>
          <w:u w:val="single"/>
        </w:rPr>
      </w:pPr>
      <w:r w:rsidRPr="00C40DD8">
        <w:rPr>
          <w:rFonts w:ascii="Arial Narrow" w:hAnsi="Arial Narrow"/>
          <w:b/>
          <w:sz w:val="28"/>
          <w:szCs w:val="28"/>
          <w:u w:val="single"/>
        </w:rPr>
        <w:lastRenderedPageBreak/>
        <w:t>ΑΝΑΛΥΤΙΚΑ ΣΤΟΙΧΕ</w:t>
      </w:r>
      <w:r>
        <w:rPr>
          <w:rFonts w:ascii="Arial Narrow" w:hAnsi="Arial Narrow"/>
          <w:b/>
          <w:sz w:val="28"/>
          <w:szCs w:val="28"/>
          <w:u w:val="single"/>
        </w:rPr>
        <w:t>Ι</w:t>
      </w:r>
      <w:r w:rsidRPr="00C40DD8">
        <w:rPr>
          <w:rFonts w:ascii="Arial Narrow" w:hAnsi="Arial Narrow"/>
          <w:b/>
          <w:sz w:val="28"/>
          <w:szCs w:val="28"/>
          <w:u w:val="single"/>
        </w:rPr>
        <w:t>Α ΕΡΕΥΝΑΣ</w:t>
      </w:r>
    </w:p>
    <w:p w:rsidR="00C40DD8" w:rsidRPr="00C40DD8" w:rsidRDefault="00C40DD8" w:rsidP="00C40DD8">
      <w:pPr>
        <w:jc w:val="center"/>
        <w:rPr>
          <w:rFonts w:ascii="Arial Narrow" w:hAnsi="Arial Narrow"/>
          <w:b/>
          <w:sz w:val="28"/>
          <w:szCs w:val="28"/>
          <w:u w:val="single"/>
          <w:lang w:val="en-US"/>
        </w:rPr>
      </w:pPr>
    </w:p>
    <w:p w:rsidR="005E5E03" w:rsidRPr="005E7187" w:rsidRDefault="0091777E" w:rsidP="007E0A16">
      <w:pPr>
        <w:rPr>
          <w:rFonts w:ascii="Arial Narrow" w:hAnsi="Arial Narrow"/>
          <w:b/>
          <w:u w:val="single"/>
        </w:rPr>
      </w:pPr>
      <w:r w:rsidRPr="005E7187">
        <w:rPr>
          <w:rFonts w:ascii="Arial Narrow" w:hAnsi="Arial Narrow"/>
          <w:b/>
          <w:u w:val="single"/>
        </w:rPr>
        <w:t>ΠΟΡΕΙΑ ΕΙΣΟΔΗΜΑΤΟΣ ΝΟΙΚΟΚΥΡΙΩΝ (</w:t>
      </w:r>
      <w:r w:rsidR="005E7187">
        <w:rPr>
          <w:rFonts w:ascii="Arial Narrow" w:hAnsi="Arial Narrow"/>
          <w:b/>
          <w:u w:val="single"/>
        </w:rPr>
        <w:t>Σημεία 1</w:t>
      </w:r>
      <w:r w:rsidRPr="005E7187">
        <w:rPr>
          <w:rFonts w:ascii="Arial Narrow" w:hAnsi="Arial Narrow"/>
          <w:b/>
          <w:u w:val="single"/>
        </w:rPr>
        <w:t xml:space="preserve"> έ</w:t>
      </w:r>
      <w:r w:rsidR="005E7187">
        <w:rPr>
          <w:rFonts w:ascii="Arial Narrow" w:hAnsi="Arial Narrow"/>
          <w:b/>
          <w:u w:val="single"/>
        </w:rPr>
        <w:t xml:space="preserve">ως </w:t>
      </w:r>
      <w:r w:rsidRPr="005E7187">
        <w:rPr>
          <w:rFonts w:ascii="Arial Narrow" w:hAnsi="Arial Narrow"/>
          <w:b/>
          <w:u w:val="single"/>
        </w:rPr>
        <w:t>5)</w:t>
      </w:r>
    </w:p>
    <w:p w:rsidR="005E5E03" w:rsidRPr="007E0A16" w:rsidRDefault="005E5E03" w:rsidP="007E0A16">
      <w:pPr>
        <w:pStyle w:val="aa"/>
        <w:ind w:left="0"/>
        <w:jc w:val="both"/>
        <w:rPr>
          <w:rFonts w:ascii="Arial Narrow" w:hAnsi="Arial Narrow"/>
          <w:b/>
        </w:rPr>
      </w:pPr>
    </w:p>
    <w:p w:rsidR="00EB7083" w:rsidRPr="00733B39" w:rsidRDefault="005E5E03" w:rsidP="00210C41">
      <w:pPr>
        <w:pStyle w:val="aa"/>
        <w:numPr>
          <w:ilvl w:val="0"/>
          <w:numId w:val="2"/>
        </w:numPr>
        <w:jc w:val="both"/>
        <w:rPr>
          <w:rFonts w:ascii="Arial Narrow" w:hAnsi="Arial Narrow"/>
          <w:b/>
        </w:rPr>
      </w:pPr>
      <w:r w:rsidRPr="00FC3918">
        <w:rPr>
          <w:rFonts w:ascii="Arial Narrow" w:hAnsi="Arial Narrow"/>
        </w:rPr>
        <w:t>Με βάσ</w:t>
      </w:r>
      <w:r w:rsidR="00EB7083">
        <w:rPr>
          <w:rFonts w:ascii="Arial Narrow" w:hAnsi="Arial Narrow"/>
        </w:rPr>
        <w:t>η τα στοιχεία της έρευνας, το 9</w:t>
      </w:r>
      <w:r w:rsidR="00EB7083" w:rsidRPr="00EB7083">
        <w:rPr>
          <w:rFonts w:ascii="Arial Narrow" w:hAnsi="Arial Narrow"/>
        </w:rPr>
        <w:t>4</w:t>
      </w:r>
      <w:r w:rsidR="00EB7083">
        <w:rPr>
          <w:rFonts w:ascii="Arial Narrow" w:hAnsi="Arial Narrow"/>
        </w:rPr>
        <w:t>,</w:t>
      </w:r>
      <w:r w:rsidR="00EB7083" w:rsidRPr="00EB7083">
        <w:rPr>
          <w:rFonts w:ascii="Arial Narrow" w:hAnsi="Arial Narrow"/>
        </w:rPr>
        <w:t>6</w:t>
      </w:r>
      <w:r w:rsidR="00EB7083">
        <w:rPr>
          <w:rFonts w:ascii="Arial Narrow" w:hAnsi="Arial Narrow"/>
        </w:rPr>
        <w:t>% των νοικοκυριών</w:t>
      </w:r>
      <w:r w:rsidRPr="00FC3918">
        <w:rPr>
          <w:rFonts w:ascii="Arial Narrow" w:hAnsi="Arial Narrow"/>
        </w:rPr>
        <w:t xml:space="preserve"> είχε σημαντική μείωση των εισοδημάτων μετά το ξέσπασμα της κρίσης (πίνακας 1). Ο μέσος όρος μείωσης του οικογενειακού εισοδήματος σε σχέση με 3 χρ</w:t>
      </w:r>
      <w:r w:rsidR="00EB7083">
        <w:rPr>
          <w:rFonts w:ascii="Arial Narrow" w:hAnsi="Arial Narrow"/>
        </w:rPr>
        <w:t>όνια πριν καταγράφεται στο 3</w:t>
      </w:r>
      <w:r w:rsidR="00EB7083" w:rsidRPr="00EB7083">
        <w:rPr>
          <w:rFonts w:ascii="Arial Narrow" w:hAnsi="Arial Narrow"/>
        </w:rPr>
        <w:t>9,5</w:t>
      </w:r>
      <w:r>
        <w:rPr>
          <w:rFonts w:ascii="Arial Narrow" w:hAnsi="Arial Narrow"/>
        </w:rPr>
        <w:t>%.</w:t>
      </w:r>
      <w:r w:rsidR="007E5C9F" w:rsidRPr="007E5C9F">
        <w:rPr>
          <w:rFonts w:ascii="Arial Narrow" w:hAnsi="Arial Narrow"/>
        </w:rPr>
        <w:t xml:space="preserve"> </w:t>
      </w:r>
      <w:r w:rsidR="00BA442E" w:rsidRPr="00733B39">
        <w:rPr>
          <w:rFonts w:ascii="Arial Narrow" w:hAnsi="Arial Narrow"/>
          <w:b/>
        </w:rPr>
        <w:t xml:space="preserve">Η συντριπτική πλειοψηφία των </w:t>
      </w:r>
      <w:r w:rsidR="0091777E" w:rsidRPr="00733B39">
        <w:rPr>
          <w:rFonts w:ascii="Arial Narrow" w:hAnsi="Arial Narrow"/>
          <w:b/>
        </w:rPr>
        <w:t xml:space="preserve">μικρομεσαίων </w:t>
      </w:r>
      <w:r w:rsidR="00BA442E" w:rsidRPr="00733B39">
        <w:rPr>
          <w:rFonts w:ascii="Arial Narrow" w:hAnsi="Arial Narrow"/>
          <w:b/>
        </w:rPr>
        <w:t xml:space="preserve">νοικοκυριών που ανήκουν στo εισοδηματικό κλιμάκιο 10,000-25,000€ (96-97%) εμφανίζει μειώσεις στα εισοδήματά της. Ιδιαίτερα ευάλωτες είναι οι πολυμελείς οικογένειες και οικογένειες που έχουν </w:t>
      </w:r>
      <w:r w:rsidR="0091777E" w:rsidRPr="00733B39">
        <w:rPr>
          <w:rFonts w:ascii="Arial Narrow" w:hAnsi="Arial Narrow"/>
          <w:b/>
        </w:rPr>
        <w:t xml:space="preserve">ένα τουλάχιστον </w:t>
      </w:r>
      <w:r w:rsidR="00BA442E" w:rsidRPr="00733B39">
        <w:rPr>
          <w:rFonts w:ascii="Arial Narrow" w:hAnsi="Arial Narrow"/>
          <w:b/>
        </w:rPr>
        <w:t>άνεργο στο νοικοκυριό. Η περιφέρεια Αττικής φαίνεται να πλήττεται περισσότερο από όλους (καταγράφεται μείωση εισοδήματος στο 95,7% του πληθυσμού).</w:t>
      </w:r>
    </w:p>
    <w:p w:rsidR="00733B39" w:rsidRDefault="00733B39" w:rsidP="00733B39">
      <w:pPr>
        <w:jc w:val="both"/>
        <w:rPr>
          <w:rFonts w:ascii="Arial Narrow" w:hAnsi="Arial Narrow"/>
          <w:b/>
        </w:rPr>
      </w:pPr>
    </w:p>
    <w:p w:rsidR="00733B39" w:rsidRPr="00733B39" w:rsidRDefault="00733B39" w:rsidP="00733B39">
      <w:pPr>
        <w:ind w:left="720"/>
        <w:jc w:val="both"/>
        <w:rPr>
          <w:rFonts w:ascii="Arial Narrow" w:hAnsi="Arial Narrow"/>
          <w:b/>
          <w:u w:val="single"/>
        </w:rPr>
      </w:pPr>
      <w:r w:rsidRPr="000B6DF9">
        <w:rPr>
          <w:rFonts w:ascii="Arial Narrow" w:hAnsi="Arial Narrow"/>
          <w:b/>
          <w:u w:val="single"/>
        </w:rPr>
        <w:t>Πίνακας 1- Το οικογενειακό εισόδημα μετά το ξέσπασμα της κρίσης</w:t>
      </w:r>
    </w:p>
    <w:p w:rsidR="00733B39" w:rsidRDefault="00733B39" w:rsidP="00733B39">
      <w:pPr>
        <w:jc w:val="both"/>
        <w:rPr>
          <w:rFonts w:ascii="Arial Narrow" w:hAnsi="Arial Narrow"/>
          <w:b/>
        </w:rPr>
      </w:pPr>
      <w:r>
        <w:rPr>
          <w:rFonts w:ascii="Arial Narrow" w:hAnsi="Arial Narrow"/>
          <w:b/>
          <w:noProof/>
        </w:rPr>
        <w:drawing>
          <wp:anchor distT="0" distB="0" distL="114300" distR="114300" simplePos="0" relativeHeight="251662848" behindDoc="0" locked="0" layoutInCell="1" allowOverlap="1">
            <wp:simplePos x="0" y="0"/>
            <wp:positionH relativeFrom="column">
              <wp:posOffset>379730</wp:posOffset>
            </wp:positionH>
            <wp:positionV relativeFrom="paragraph">
              <wp:posOffset>55880</wp:posOffset>
            </wp:positionV>
            <wp:extent cx="5048250" cy="2743200"/>
            <wp:effectExtent l="0" t="0" r="0" b="0"/>
            <wp:wrapNone/>
            <wp:docPr id="11" name="Objec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rsidR="00733B39" w:rsidRDefault="00733B39" w:rsidP="00733B39">
      <w:pPr>
        <w:jc w:val="both"/>
        <w:rPr>
          <w:rFonts w:ascii="Arial Narrow" w:hAnsi="Arial Narrow"/>
          <w:b/>
        </w:rPr>
      </w:pPr>
    </w:p>
    <w:p w:rsidR="00733B39" w:rsidRDefault="00733B39" w:rsidP="00733B39">
      <w:pPr>
        <w:jc w:val="both"/>
        <w:rPr>
          <w:rFonts w:ascii="Arial Narrow" w:hAnsi="Arial Narrow"/>
          <w:b/>
        </w:rPr>
      </w:pPr>
    </w:p>
    <w:p w:rsidR="00733B39" w:rsidRDefault="00733B39" w:rsidP="00733B39">
      <w:pPr>
        <w:jc w:val="both"/>
        <w:rPr>
          <w:rFonts w:ascii="Arial Narrow" w:hAnsi="Arial Narrow"/>
          <w:b/>
        </w:rPr>
      </w:pPr>
    </w:p>
    <w:p w:rsidR="00733B39" w:rsidRDefault="00733B39" w:rsidP="00733B39">
      <w:pPr>
        <w:jc w:val="both"/>
        <w:rPr>
          <w:rFonts w:ascii="Arial Narrow" w:hAnsi="Arial Narrow"/>
          <w:b/>
        </w:rPr>
      </w:pPr>
    </w:p>
    <w:p w:rsidR="00733B39" w:rsidRDefault="00733B39" w:rsidP="00733B39">
      <w:pPr>
        <w:jc w:val="both"/>
        <w:rPr>
          <w:rFonts w:ascii="Arial Narrow" w:hAnsi="Arial Narrow"/>
          <w:b/>
        </w:rPr>
      </w:pPr>
    </w:p>
    <w:p w:rsidR="00733B39" w:rsidRDefault="00733B39" w:rsidP="00733B39">
      <w:pPr>
        <w:jc w:val="both"/>
        <w:rPr>
          <w:rFonts w:ascii="Arial Narrow" w:hAnsi="Arial Narrow"/>
          <w:b/>
        </w:rPr>
      </w:pPr>
    </w:p>
    <w:p w:rsidR="00733B39" w:rsidRDefault="00733B39" w:rsidP="00733B39">
      <w:pPr>
        <w:jc w:val="both"/>
        <w:rPr>
          <w:rFonts w:ascii="Arial Narrow" w:hAnsi="Arial Narrow"/>
          <w:b/>
        </w:rPr>
      </w:pPr>
    </w:p>
    <w:p w:rsidR="00733B39" w:rsidRDefault="00733B39" w:rsidP="00733B39">
      <w:pPr>
        <w:jc w:val="both"/>
        <w:rPr>
          <w:rFonts w:ascii="Arial Narrow" w:hAnsi="Arial Narrow"/>
          <w:b/>
        </w:rPr>
      </w:pPr>
    </w:p>
    <w:p w:rsidR="00733B39" w:rsidRDefault="00733B39" w:rsidP="00733B39">
      <w:pPr>
        <w:jc w:val="both"/>
        <w:rPr>
          <w:rFonts w:ascii="Arial Narrow" w:hAnsi="Arial Narrow"/>
          <w:b/>
        </w:rPr>
      </w:pPr>
    </w:p>
    <w:p w:rsidR="00733B39" w:rsidRDefault="00733B39" w:rsidP="00733B39">
      <w:pPr>
        <w:jc w:val="both"/>
        <w:rPr>
          <w:rFonts w:ascii="Arial Narrow" w:hAnsi="Arial Narrow"/>
          <w:b/>
        </w:rPr>
      </w:pPr>
    </w:p>
    <w:p w:rsidR="00733B39" w:rsidRDefault="00733B39" w:rsidP="00733B39">
      <w:pPr>
        <w:jc w:val="both"/>
        <w:rPr>
          <w:rFonts w:ascii="Arial Narrow" w:hAnsi="Arial Narrow"/>
          <w:b/>
        </w:rPr>
      </w:pPr>
    </w:p>
    <w:p w:rsidR="00733B39" w:rsidRDefault="00733B39" w:rsidP="00733B39">
      <w:pPr>
        <w:jc w:val="both"/>
        <w:rPr>
          <w:rFonts w:ascii="Arial Narrow" w:hAnsi="Arial Narrow"/>
          <w:b/>
        </w:rPr>
      </w:pPr>
    </w:p>
    <w:p w:rsidR="00733B39" w:rsidRPr="00733B39" w:rsidRDefault="00733B39" w:rsidP="00733B39">
      <w:pPr>
        <w:jc w:val="both"/>
        <w:rPr>
          <w:rFonts w:ascii="Arial Narrow" w:hAnsi="Arial Narrow"/>
          <w:b/>
        </w:rPr>
      </w:pPr>
    </w:p>
    <w:p w:rsidR="00733B39" w:rsidRPr="00733B39" w:rsidRDefault="00733B39" w:rsidP="00733B39">
      <w:pPr>
        <w:jc w:val="both"/>
        <w:rPr>
          <w:rFonts w:ascii="Arial Narrow" w:hAnsi="Arial Narrow"/>
          <w:b/>
        </w:rPr>
      </w:pPr>
    </w:p>
    <w:p w:rsidR="005E5E03" w:rsidRPr="0000414F" w:rsidRDefault="0091777E" w:rsidP="0000414F">
      <w:pPr>
        <w:numPr>
          <w:ilvl w:val="0"/>
          <w:numId w:val="2"/>
        </w:numPr>
        <w:jc w:val="both"/>
        <w:rPr>
          <w:rFonts w:ascii="Arial Narrow" w:hAnsi="Arial Narrow"/>
        </w:rPr>
      </w:pPr>
      <w:r w:rsidRPr="0091777E">
        <w:rPr>
          <w:rFonts w:ascii="Arial Narrow" w:hAnsi="Arial Narrow"/>
        </w:rPr>
        <w:t>Σε σχέση με το έτος 2012, το 82,4% του πληθυσμού αναφέρει ότι έχει υποστεί μειώσεις μέσα στο 2013, γεγονός που δείχνει ότι τα εισοδήματα διατηρούν την καθοδική τους τάση. Το 41,7% του πληθυσμού δήλωσε ότι το οικογενειακό εισόδημα δεν επαρκεί για την κάλυψη των αναγκών και χρειάστηκε επιπρόσθετους πόρους</w:t>
      </w:r>
      <w:r w:rsidR="005E7187">
        <w:rPr>
          <w:rFonts w:ascii="Arial Narrow" w:hAnsi="Arial Narrow"/>
        </w:rPr>
        <w:t xml:space="preserve"> (δανεισμό από συγγενείς- φίλους, τραπεζικό δανεισμό, εκποίηση περιουσιακών στοιχείων)</w:t>
      </w:r>
      <w:r w:rsidRPr="0091777E">
        <w:rPr>
          <w:rFonts w:ascii="Arial Narrow" w:hAnsi="Arial Narrow"/>
        </w:rPr>
        <w:t xml:space="preserve">.  </w:t>
      </w:r>
    </w:p>
    <w:p w:rsidR="0000414F" w:rsidRPr="0000414F" w:rsidRDefault="0000414F" w:rsidP="0000414F">
      <w:pPr>
        <w:numPr>
          <w:ilvl w:val="0"/>
          <w:numId w:val="2"/>
        </w:numPr>
        <w:jc w:val="both"/>
        <w:rPr>
          <w:rFonts w:ascii="Arial Narrow" w:hAnsi="Arial Narrow"/>
        </w:rPr>
      </w:pPr>
      <w:r w:rsidRPr="0000414F">
        <w:rPr>
          <w:rFonts w:ascii="Arial Narrow" w:hAnsi="Arial Narrow"/>
        </w:rPr>
        <w:t>Το 40,2% των νοικοκυριών, δηλαδή 1,4 εκ. νοικοκυριά έχουν στην οικογένεια ένα τουλάχιστο άτομο σε ανεργία. Από αυτό το ποσοστό μόνο το 9,8% λαμβάνει επίδομα ανεργίας (λιγότερο από 200,000). Περισσότεροι από 1 εκ. πολίτες  έχουν μείνει ακάλυπτοι για τον κίνδυνο της ανεργίας.</w:t>
      </w:r>
    </w:p>
    <w:p w:rsidR="00733B39" w:rsidRDefault="00B22B9F" w:rsidP="00733B39">
      <w:pPr>
        <w:numPr>
          <w:ilvl w:val="0"/>
          <w:numId w:val="2"/>
        </w:numPr>
        <w:jc w:val="both"/>
        <w:rPr>
          <w:rFonts w:ascii="Arial Narrow" w:hAnsi="Arial Narrow"/>
        </w:rPr>
      </w:pPr>
      <w:r>
        <w:rPr>
          <w:rFonts w:ascii="Arial Narrow" w:hAnsi="Arial Narrow"/>
        </w:rPr>
        <w:t xml:space="preserve">Συνολικά, </w:t>
      </w:r>
      <w:r w:rsidR="00BA442E">
        <w:rPr>
          <w:rFonts w:ascii="Arial Narrow" w:hAnsi="Arial Narrow"/>
        </w:rPr>
        <w:t>η συνεισφορά των μισθών</w:t>
      </w:r>
      <w:r>
        <w:rPr>
          <w:rFonts w:ascii="Arial Narrow" w:hAnsi="Arial Narrow"/>
        </w:rPr>
        <w:t>, κοινωνικών επιδομάτων</w:t>
      </w:r>
      <w:r w:rsidR="00BA442E">
        <w:rPr>
          <w:rFonts w:ascii="Arial Narrow" w:hAnsi="Arial Narrow"/>
        </w:rPr>
        <w:t xml:space="preserve"> και των κερδών στο οικογενειακό εισόδημα</w:t>
      </w:r>
      <w:r>
        <w:rPr>
          <w:rFonts w:ascii="Arial Narrow" w:hAnsi="Arial Narrow"/>
        </w:rPr>
        <w:t xml:space="preserve"> μειώνεται κατακόρυφα μέσα στην κρίση</w:t>
      </w:r>
      <w:r w:rsidR="00BA442E">
        <w:rPr>
          <w:rFonts w:ascii="Arial Narrow" w:hAnsi="Arial Narrow"/>
        </w:rPr>
        <w:t xml:space="preserve">. </w:t>
      </w:r>
      <w:r w:rsidR="00EE5B5D">
        <w:rPr>
          <w:rFonts w:ascii="Arial Narrow" w:hAnsi="Arial Narrow"/>
        </w:rPr>
        <w:t>Πράγματι</w:t>
      </w:r>
      <w:r w:rsidR="005E5E03" w:rsidRPr="007072C8">
        <w:rPr>
          <w:rFonts w:ascii="Arial Narrow" w:hAnsi="Arial Narrow"/>
        </w:rPr>
        <w:t xml:space="preserve">, </w:t>
      </w:r>
      <w:r w:rsidR="005E5E03" w:rsidRPr="007072C8">
        <w:rPr>
          <w:rFonts w:ascii="Arial Narrow" w:hAnsi="Arial Narrow"/>
          <w:b/>
        </w:rPr>
        <w:t xml:space="preserve">οι συντάξεις αποτελούν για το </w:t>
      </w:r>
      <w:r w:rsidR="0091777E" w:rsidRPr="0091777E">
        <w:rPr>
          <w:rFonts w:ascii="Arial Narrow" w:hAnsi="Arial Narrow"/>
          <w:b/>
        </w:rPr>
        <w:t>48,6</w:t>
      </w:r>
      <w:r w:rsidR="005E5E03" w:rsidRPr="0091777E">
        <w:rPr>
          <w:rFonts w:ascii="Arial Narrow" w:hAnsi="Arial Narrow"/>
          <w:b/>
        </w:rPr>
        <w:t>%</w:t>
      </w:r>
      <w:r w:rsidR="005E5E03" w:rsidRPr="007072C8">
        <w:rPr>
          <w:rFonts w:ascii="Arial Narrow" w:hAnsi="Arial Narrow"/>
          <w:b/>
        </w:rPr>
        <w:t xml:space="preserve"> των νοικοκυριών την κυριότερη πηγή εισοδήματος</w:t>
      </w:r>
      <w:r w:rsidR="005E5E03" w:rsidRPr="007072C8">
        <w:rPr>
          <w:rFonts w:ascii="Arial Narrow" w:hAnsi="Arial Narrow"/>
        </w:rPr>
        <w:t>, εικόνα απογοητευτική για την</w:t>
      </w:r>
      <w:r w:rsidR="00EE5B5D">
        <w:rPr>
          <w:rFonts w:ascii="Arial Narrow" w:hAnsi="Arial Narrow"/>
        </w:rPr>
        <w:t xml:space="preserve"> παραγωγική δυναμική, αλλά και το σύστημα κοινωνικής προστασίας</w:t>
      </w:r>
      <w:r w:rsidR="0091777E">
        <w:rPr>
          <w:rFonts w:ascii="Arial Narrow" w:hAnsi="Arial Narrow"/>
        </w:rPr>
        <w:t xml:space="preserve"> της χώρας (πίνακας 2)</w:t>
      </w:r>
      <w:r w:rsidR="00EE5B5D">
        <w:rPr>
          <w:rFonts w:ascii="Arial Narrow" w:hAnsi="Arial Narrow"/>
        </w:rPr>
        <w:t>.</w:t>
      </w:r>
    </w:p>
    <w:p w:rsidR="00733B39" w:rsidRPr="00733B39" w:rsidRDefault="00733B39" w:rsidP="00B22B9F">
      <w:pPr>
        <w:jc w:val="both"/>
        <w:rPr>
          <w:rFonts w:ascii="Arial Narrow" w:hAnsi="Arial Narrow"/>
        </w:rPr>
      </w:pPr>
    </w:p>
    <w:p w:rsidR="00733B39" w:rsidRPr="00733B39" w:rsidRDefault="00733B39" w:rsidP="00733B39">
      <w:pPr>
        <w:pStyle w:val="aa"/>
        <w:rPr>
          <w:rFonts w:ascii="Arial Narrow" w:hAnsi="Arial Narrow"/>
          <w:b/>
          <w:u w:val="single"/>
        </w:rPr>
      </w:pPr>
      <w:r w:rsidRPr="00733B39">
        <w:rPr>
          <w:rFonts w:ascii="Arial Narrow" w:hAnsi="Arial Narrow"/>
          <w:b/>
          <w:u w:val="single"/>
        </w:rPr>
        <w:t>Πίνακας 2- Βασική πηγή εισοδήματος</w:t>
      </w:r>
    </w:p>
    <w:p w:rsidR="00733B39" w:rsidRDefault="00733B39" w:rsidP="00733B39">
      <w:pPr>
        <w:ind w:left="720"/>
        <w:jc w:val="both"/>
        <w:rPr>
          <w:rFonts w:ascii="Arial Narrow" w:hAnsi="Arial Narrow"/>
        </w:rPr>
      </w:pPr>
      <w:r>
        <w:rPr>
          <w:rFonts w:ascii="Arial Narrow" w:hAnsi="Arial Narrow"/>
          <w:noProof/>
        </w:rPr>
        <w:drawing>
          <wp:anchor distT="0" distB="0" distL="114300" distR="114300" simplePos="0" relativeHeight="251663872" behindDoc="0" locked="0" layoutInCell="1" allowOverlap="1">
            <wp:simplePos x="0" y="0"/>
            <wp:positionH relativeFrom="column">
              <wp:posOffset>379730</wp:posOffset>
            </wp:positionH>
            <wp:positionV relativeFrom="paragraph">
              <wp:posOffset>167640</wp:posOffset>
            </wp:positionV>
            <wp:extent cx="4962525" cy="2609850"/>
            <wp:effectExtent l="0" t="0" r="0" b="0"/>
            <wp:wrapNone/>
            <wp:docPr id="12" name="Objec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rsidR="005E5E03" w:rsidRDefault="005E5E03" w:rsidP="00B30AB7">
      <w:pPr>
        <w:jc w:val="both"/>
      </w:pPr>
      <w:r>
        <w:tab/>
      </w:r>
      <w:r>
        <w:tab/>
      </w:r>
    </w:p>
    <w:p w:rsidR="00733B39" w:rsidRDefault="00733B39" w:rsidP="00B30AB7">
      <w:pPr>
        <w:jc w:val="both"/>
      </w:pPr>
    </w:p>
    <w:p w:rsidR="00733B39" w:rsidRDefault="00733B39" w:rsidP="00B30AB7">
      <w:pPr>
        <w:jc w:val="both"/>
      </w:pPr>
    </w:p>
    <w:p w:rsidR="00733B39" w:rsidRDefault="00733B39" w:rsidP="00B30AB7">
      <w:pPr>
        <w:jc w:val="both"/>
      </w:pPr>
    </w:p>
    <w:p w:rsidR="00733B39" w:rsidRDefault="00733B39" w:rsidP="00B30AB7">
      <w:pPr>
        <w:jc w:val="both"/>
      </w:pPr>
    </w:p>
    <w:p w:rsidR="00733B39" w:rsidRDefault="00733B39" w:rsidP="00B30AB7">
      <w:pPr>
        <w:jc w:val="both"/>
      </w:pPr>
    </w:p>
    <w:p w:rsidR="005E5E03" w:rsidRDefault="005E5E03" w:rsidP="000D41BC">
      <w:pPr>
        <w:ind w:left="720"/>
        <w:jc w:val="both"/>
        <w:rPr>
          <w:rFonts w:ascii="Arial Narrow" w:hAnsi="Arial Narrow"/>
          <w:b/>
          <w:u w:val="single"/>
        </w:rPr>
      </w:pPr>
    </w:p>
    <w:p w:rsidR="0091777E" w:rsidRDefault="0091777E" w:rsidP="000D41BC">
      <w:pPr>
        <w:ind w:left="720"/>
        <w:jc w:val="both"/>
        <w:rPr>
          <w:rFonts w:ascii="Arial Narrow" w:hAnsi="Arial Narrow"/>
          <w:b/>
          <w:u w:val="single"/>
        </w:rPr>
      </w:pPr>
    </w:p>
    <w:p w:rsidR="0091777E" w:rsidRDefault="0091777E" w:rsidP="000D41BC">
      <w:pPr>
        <w:ind w:left="720"/>
        <w:jc w:val="both"/>
        <w:rPr>
          <w:rFonts w:ascii="Arial Narrow" w:hAnsi="Arial Narrow"/>
          <w:b/>
          <w:u w:val="single"/>
        </w:rPr>
      </w:pPr>
    </w:p>
    <w:p w:rsidR="0091777E" w:rsidRDefault="0091777E" w:rsidP="000D41BC">
      <w:pPr>
        <w:ind w:left="720"/>
        <w:jc w:val="both"/>
        <w:rPr>
          <w:rFonts w:ascii="Arial Narrow" w:hAnsi="Arial Narrow"/>
          <w:b/>
          <w:u w:val="single"/>
        </w:rPr>
      </w:pPr>
    </w:p>
    <w:p w:rsidR="0091777E" w:rsidRDefault="0091777E" w:rsidP="000D41BC">
      <w:pPr>
        <w:ind w:left="720"/>
        <w:jc w:val="both"/>
        <w:rPr>
          <w:rFonts w:ascii="Arial Narrow" w:hAnsi="Arial Narrow"/>
          <w:b/>
          <w:u w:val="single"/>
        </w:rPr>
      </w:pPr>
    </w:p>
    <w:p w:rsidR="0091777E" w:rsidRDefault="0091777E" w:rsidP="000D41BC">
      <w:pPr>
        <w:ind w:left="720"/>
        <w:jc w:val="both"/>
        <w:rPr>
          <w:rFonts w:ascii="Arial Narrow" w:hAnsi="Arial Narrow"/>
          <w:b/>
          <w:u w:val="single"/>
        </w:rPr>
      </w:pPr>
    </w:p>
    <w:p w:rsidR="005E5E03" w:rsidRDefault="005E5E03" w:rsidP="000D41BC">
      <w:pPr>
        <w:ind w:left="720"/>
        <w:jc w:val="both"/>
        <w:rPr>
          <w:rFonts w:ascii="Arial Narrow" w:hAnsi="Arial Narrow"/>
          <w:b/>
          <w:u w:val="single"/>
        </w:rPr>
      </w:pPr>
    </w:p>
    <w:p w:rsidR="00733B39" w:rsidRDefault="00733B39" w:rsidP="000D41BC">
      <w:pPr>
        <w:ind w:left="720"/>
        <w:jc w:val="both"/>
        <w:rPr>
          <w:rFonts w:ascii="Arial Narrow" w:hAnsi="Arial Narrow"/>
          <w:b/>
          <w:u w:val="single"/>
        </w:rPr>
      </w:pPr>
    </w:p>
    <w:p w:rsidR="00733B39" w:rsidRDefault="00733B39" w:rsidP="001755E1">
      <w:pPr>
        <w:jc w:val="both"/>
        <w:rPr>
          <w:rFonts w:ascii="Arial Narrow" w:hAnsi="Arial Narrow"/>
          <w:b/>
          <w:u w:val="single"/>
        </w:rPr>
      </w:pPr>
      <w:r>
        <w:rPr>
          <w:rFonts w:ascii="Arial Narrow" w:hAnsi="Arial Narrow"/>
          <w:b/>
          <w:u w:val="single"/>
        </w:rPr>
        <w:t>ΟΙΚΟΝΟΜΙΚΕΣ ΥΠΟΧΡΕΩΣΕΙΣ ΝΟΙΚΟΚΥΡΙΩΝ (Σημεία 6 έως 7)</w:t>
      </w:r>
    </w:p>
    <w:p w:rsidR="00B22B9F" w:rsidRDefault="00B22B9F" w:rsidP="00B22B9F">
      <w:pPr>
        <w:jc w:val="both"/>
        <w:rPr>
          <w:rFonts w:ascii="Arial Narrow" w:hAnsi="Arial Narrow"/>
          <w:b/>
          <w:u w:val="single"/>
        </w:rPr>
      </w:pPr>
    </w:p>
    <w:p w:rsidR="00B22B9F" w:rsidRPr="00301707" w:rsidRDefault="00B22B9F" w:rsidP="00FA633E">
      <w:pPr>
        <w:numPr>
          <w:ilvl w:val="0"/>
          <w:numId w:val="2"/>
        </w:numPr>
        <w:jc w:val="both"/>
        <w:rPr>
          <w:rFonts w:ascii="Arial Narrow" w:hAnsi="Arial Narrow"/>
        </w:rPr>
      </w:pPr>
      <w:r w:rsidRPr="00301707">
        <w:rPr>
          <w:rFonts w:ascii="Arial Narrow" w:hAnsi="Arial Narrow"/>
        </w:rPr>
        <w:t>Η συσσώρευση των οικονομικών υποχρεώσεων των νοικοκυριών μέσα στο 2013 συνεχίζεται με αμείωτη ένταση. 1 στα 3 νοικοκυριά βρίσκεται στο όριο καθυστέρησης πληρωμών προς το δημόσιο, ταμεία Δ.Ε.Κ.Ο., τράπεζες, δάνεια κ.λ.π, λόγω αδυναμίας (το 34,8% των νοικοκυριών καθυστερεί τις οφειλές για να μπορέσει να αντεπεξέλθει</w:t>
      </w:r>
      <w:r w:rsidR="002C545C" w:rsidRPr="00301707">
        <w:rPr>
          <w:rFonts w:ascii="Arial Narrow" w:hAnsi="Arial Narrow"/>
        </w:rPr>
        <w:t>-Πίνακας 3</w:t>
      </w:r>
      <w:r w:rsidRPr="00301707">
        <w:rPr>
          <w:rFonts w:ascii="Arial Narrow" w:hAnsi="Arial Narrow"/>
        </w:rPr>
        <w:t xml:space="preserve">). </w:t>
      </w:r>
    </w:p>
    <w:p w:rsidR="00301707" w:rsidRPr="00301707" w:rsidRDefault="00301707" w:rsidP="00301707">
      <w:pPr>
        <w:ind w:left="720"/>
        <w:jc w:val="both"/>
        <w:rPr>
          <w:rFonts w:ascii="Arial Narrow" w:hAnsi="Arial Narrow"/>
        </w:rPr>
      </w:pPr>
    </w:p>
    <w:p w:rsidR="00733B39" w:rsidRDefault="00733B39" w:rsidP="00733B39">
      <w:pPr>
        <w:numPr>
          <w:ilvl w:val="0"/>
          <w:numId w:val="2"/>
        </w:numPr>
        <w:jc w:val="both"/>
        <w:rPr>
          <w:rFonts w:ascii="Arial Narrow" w:hAnsi="Arial Narrow"/>
        </w:rPr>
      </w:pPr>
      <w:r w:rsidRPr="00733B39">
        <w:rPr>
          <w:rFonts w:ascii="Arial Narrow" w:hAnsi="Arial Narrow"/>
        </w:rPr>
        <w:t xml:space="preserve">Το 44,3% του πληθυσμού έχει οικονομικές υποχρεώσεις προς τις τράπεζες. 1 στα 10 νοικοκυριά αναγκάστηκαν να ρευστοποιήσουν περιουσιακά στοιχεία για ανταπεξέλθουν στην κρίση. Οι πρόσφατοι νόμοι για τη φορολόγηση ακινήτων, τις κατασχέσεις καταθέσεων και τη μερική άρση των πλειστηριασμών αναμένεται να δημιουργήσουν συνθήκες ασφυξίας στα νοικοκυριά. </w:t>
      </w:r>
    </w:p>
    <w:p w:rsidR="00ED2B0B" w:rsidRDefault="00ED2B0B" w:rsidP="00ED2B0B">
      <w:pPr>
        <w:jc w:val="both"/>
        <w:rPr>
          <w:rFonts w:ascii="Arial Narrow" w:hAnsi="Arial Narrow"/>
        </w:rPr>
      </w:pPr>
    </w:p>
    <w:p w:rsidR="00ED2B0B" w:rsidRDefault="00ED2B0B" w:rsidP="00ED2B0B">
      <w:pPr>
        <w:jc w:val="both"/>
        <w:rPr>
          <w:rFonts w:ascii="Arial Narrow" w:hAnsi="Arial Narrow"/>
        </w:rPr>
      </w:pPr>
    </w:p>
    <w:p w:rsidR="00ED2B0B" w:rsidRPr="00ED2B0B" w:rsidRDefault="00ED2B0B" w:rsidP="00ED2B0B">
      <w:pPr>
        <w:ind w:firstLine="720"/>
        <w:jc w:val="both"/>
        <w:rPr>
          <w:rFonts w:ascii="Arial Narrow" w:hAnsi="Arial Narrow"/>
          <w:b/>
          <w:u w:val="single"/>
        </w:rPr>
      </w:pPr>
      <w:r w:rsidRPr="00ED2B0B">
        <w:rPr>
          <w:rFonts w:ascii="Arial Narrow" w:hAnsi="Arial Narrow"/>
          <w:b/>
          <w:u w:val="single"/>
        </w:rPr>
        <w:t>Π</w:t>
      </w:r>
      <w:r>
        <w:rPr>
          <w:rFonts w:ascii="Arial Narrow" w:hAnsi="Arial Narrow"/>
          <w:b/>
          <w:u w:val="single"/>
        </w:rPr>
        <w:t>ίνακας 3- Κ</w:t>
      </w:r>
      <w:r w:rsidRPr="00ED2B0B">
        <w:rPr>
          <w:rFonts w:ascii="Arial Narrow" w:hAnsi="Arial Narrow"/>
          <w:b/>
          <w:u w:val="single"/>
        </w:rPr>
        <w:t>αθυστερημένες οφειλές</w:t>
      </w:r>
    </w:p>
    <w:p w:rsidR="00ED2B0B" w:rsidRDefault="00ED2B0B" w:rsidP="00ED2B0B">
      <w:pPr>
        <w:jc w:val="both"/>
        <w:rPr>
          <w:rFonts w:ascii="Arial Narrow" w:hAnsi="Arial Narrow"/>
        </w:rPr>
      </w:pPr>
    </w:p>
    <w:p w:rsidR="00ED2B0B" w:rsidRPr="00733B39" w:rsidRDefault="00ED2B0B" w:rsidP="00ED2B0B">
      <w:pPr>
        <w:jc w:val="both"/>
        <w:rPr>
          <w:rFonts w:ascii="Arial Narrow" w:hAnsi="Arial Narrow"/>
        </w:rPr>
      </w:pPr>
      <w:r>
        <w:rPr>
          <w:rFonts w:ascii="Arial Narrow" w:hAnsi="Arial Narrow"/>
          <w:noProof/>
        </w:rPr>
        <w:drawing>
          <wp:anchor distT="0" distB="0" distL="114300" distR="114300" simplePos="0" relativeHeight="251664896" behindDoc="0" locked="0" layoutInCell="1" allowOverlap="1">
            <wp:simplePos x="0" y="0"/>
            <wp:positionH relativeFrom="column">
              <wp:posOffset>332105</wp:posOffset>
            </wp:positionH>
            <wp:positionV relativeFrom="paragraph">
              <wp:posOffset>83185</wp:posOffset>
            </wp:positionV>
            <wp:extent cx="5600700" cy="2371725"/>
            <wp:effectExtent l="0" t="0" r="0" b="0"/>
            <wp:wrapNone/>
            <wp:docPr id="13" name="Objec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rsidR="00733B39" w:rsidRDefault="00733B39" w:rsidP="00733B39">
      <w:pPr>
        <w:ind w:left="720"/>
        <w:jc w:val="both"/>
        <w:rPr>
          <w:rFonts w:ascii="Arial Narrow" w:hAnsi="Arial Narrow"/>
          <w:b/>
          <w:u w:val="single"/>
        </w:rPr>
      </w:pPr>
    </w:p>
    <w:p w:rsidR="00733B39" w:rsidRPr="00733B39" w:rsidRDefault="00733B39" w:rsidP="00733B39">
      <w:pPr>
        <w:ind w:left="720"/>
        <w:jc w:val="both"/>
        <w:rPr>
          <w:rFonts w:ascii="Arial Narrow" w:hAnsi="Arial Narrow"/>
        </w:rPr>
      </w:pPr>
    </w:p>
    <w:p w:rsidR="00733B39" w:rsidRDefault="00733B39" w:rsidP="000D41BC">
      <w:pPr>
        <w:ind w:left="720"/>
        <w:jc w:val="both"/>
        <w:rPr>
          <w:rFonts w:ascii="Arial Narrow" w:hAnsi="Arial Narrow"/>
          <w:b/>
          <w:u w:val="single"/>
        </w:rPr>
      </w:pPr>
    </w:p>
    <w:p w:rsidR="00733B39" w:rsidRDefault="00733B39" w:rsidP="000D41BC">
      <w:pPr>
        <w:ind w:left="720"/>
        <w:jc w:val="both"/>
        <w:rPr>
          <w:rFonts w:ascii="Arial Narrow" w:hAnsi="Arial Narrow"/>
          <w:b/>
          <w:u w:val="single"/>
        </w:rPr>
      </w:pPr>
    </w:p>
    <w:p w:rsidR="00733B39" w:rsidRDefault="00733B39" w:rsidP="000D41BC">
      <w:pPr>
        <w:ind w:left="720"/>
        <w:jc w:val="both"/>
        <w:rPr>
          <w:rFonts w:ascii="Arial Narrow" w:hAnsi="Arial Narrow"/>
          <w:b/>
          <w:u w:val="single"/>
        </w:rPr>
      </w:pPr>
    </w:p>
    <w:p w:rsidR="00733B39" w:rsidRDefault="00733B39" w:rsidP="000D41BC">
      <w:pPr>
        <w:ind w:left="720"/>
        <w:jc w:val="both"/>
        <w:rPr>
          <w:rFonts w:ascii="Arial Narrow" w:hAnsi="Arial Narrow"/>
          <w:b/>
          <w:u w:val="single"/>
        </w:rPr>
      </w:pPr>
    </w:p>
    <w:p w:rsidR="00733B39" w:rsidRDefault="00733B39" w:rsidP="000D41BC">
      <w:pPr>
        <w:ind w:left="720"/>
        <w:jc w:val="both"/>
        <w:rPr>
          <w:rFonts w:ascii="Arial Narrow" w:hAnsi="Arial Narrow"/>
          <w:b/>
          <w:u w:val="single"/>
        </w:rPr>
      </w:pPr>
    </w:p>
    <w:p w:rsidR="00733B39" w:rsidRDefault="00733B39" w:rsidP="000D41BC">
      <w:pPr>
        <w:ind w:left="720"/>
        <w:jc w:val="both"/>
        <w:rPr>
          <w:rFonts w:ascii="Arial Narrow" w:hAnsi="Arial Narrow"/>
          <w:b/>
          <w:u w:val="single"/>
        </w:rPr>
      </w:pPr>
    </w:p>
    <w:p w:rsidR="00733B39" w:rsidRDefault="00733B39" w:rsidP="000D41BC">
      <w:pPr>
        <w:ind w:left="720"/>
        <w:jc w:val="both"/>
        <w:rPr>
          <w:rFonts w:ascii="Arial Narrow" w:hAnsi="Arial Narrow"/>
          <w:b/>
          <w:u w:val="single"/>
        </w:rPr>
      </w:pPr>
    </w:p>
    <w:p w:rsidR="00733B39" w:rsidRDefault="00733B39" w:rsidP="000D41BC">
      <w:pPr>
        <w:ind w:left="720"/>
        <w:jc w:val="both"/>
        <w:rPr>
          <w:rFonts w:ascii="Arial Narrow" w:hAnsi="Arial Narrow"/>
          <w:b/>
          <w:u w:val="single"/>
        </w:rPr>
      </w:pPr>
    </w:p>
    <w:p w:rsidR="00733B39" w:rsidRDefault="00733B39" w:rsidP="000D41BC">
      <w:pPr>
        <w:ind w:left="720"/>
        <w:jc w:val="both"/>
        <w:rPr>
          <w:rFonts w:ascii="Arial Narrow" w:hAnsi="Arial Narrow"/>
          <w:b/>
          <w:u w:val="single"/>
        </w:rPr>
      </w:pPr>
    </w:p>
    <w:p w:rsidR="00733B39" w:rsidRDefault="00733B39" w:rsidP="000D41BC">
      <w:pPr>
        <w:ind w:left="720"/>
        <w:jc w:val="both"/>
        <w:rPr>
          <w:rFonts w:ascii="Arial Narrow" w:hAnsi="Arial Narrow"/>
          <w:b/>
          <w:u w:val="single"/>
        </w:rPr>
      </w:pPr>
    </w:p>
    <w:p w:rsidR="00733B39" w:rsidRDefault="00733B39" w:rsidP="000D41BC">
      <w:pPr>
        <w:ind w:left="720"/>
        <w:jc w:val="both"/>
        <w:rPr>
          <w:rFonts w:ascii="Arial Narrow" w:hAnsi="Arial Narrow"/>
          <w:b/>
          <w:u w:val="single"/>
        </w:rPr>
      </w:pPr>
    </w:p>
    <w:p w:rsidR="00ED2B0B" w:rsidRDefault="00ED2B0B" w:rsidP="000D41BC">
      <w:pPr>
        <w:ind w:left="720"/>
        <w:jc w:val="both"/>
        <w:rPr>
          <w:rFonts w:ascii="Arial Narrow" w:hAnsi="Arial Narrow"/>
          <w:b/>
          <w:u w:val="single"/>
        </w:rPr>
      </w:pPr>
    </w:p>
    <w:p w:rsidR="00ED2B0B" w:rsidRDefault="00ED2B0B" w:rsidP="000D41BC">
      <w:pPr>
        <w:ind w:left="720"/>
        <w:jc w:val="both"/>
        <w:rPr>
          <w:rFonts w:ascii="Arial Narrow" w:hAnsi="Arial Narrow"/>
          <w:b/>
          <w:u w:val="single"/>
        </w:rPr>
      </w:pPr>
    </w:p>
    <w:p w:rsidR="00733B39" w:rsidRDefault="00733B39" w:rsidP="001755E1">
      <w:pPr>
        <w:jc w:val="both"/>
        <w:rPr>
          <w:rFonts w:ascii="Arial Narrow" w:hAnsi="Arial Narrow"/>
          <w:b/>
          <w:u w:val="single"/>
        </w:rPr>
      </w:pPr>
      <w:r>
        <w:rPr>
          <w:rFonts w:ascii="Arial Narrow" w:hAnsi="Arial Narrow"/>
          <w:b/>
          <w:u w:val="single"/>
        </w:rPr>
        <w:t>ΠΡΟΣΔΟΚΙΕΣ- ΚΑΤΑΝΑΛΩΤΙΚΕΣ ΤΑΣΕΙΣ</w:t>
      </w:r>
      <w:r w:rsidR="00B22B9F">
        <w:rPr>
          <w:rFonts w:ascii="Arial Narrow" w:hAnsi="Arial Narrow"/>
          <w:b/>
          <w:u w:val="single"/>
        </w:rPr>
        <w:t>- ΠΟΙΟΤΗΤΑ ΖΩΗΣ</w:t>
      </w:r>
      <w:r w:rsidR="00FA633E">
        <w:rPr>
          <w:rFonts w:ascii="Arial Narrow" w:hAnsi="Arial Narrow"/>
          <w:b/>
          <w:u w:val="single"/>
        </w:rPr>
        <w:t xml:space="preserve"> (σημεία 8 έως 11)</w:t>
      </w:r>
    </w:p>
    <w:p w:rsidR="00733B39" w:rsidRDefault="00733B39" w:rsidP="000D41BC">
      <w:pPr>
        <w:ind w:left="720"/>
        <w:jc w:val="both"/>
        <w:rPr>
          <w:rFonts w:ascii="Arial Narrow" w:hAnsi="Arial Narrow"/>
          <w:b/>
          <w:u w:val="single"/>
        </w:rPr>
      </w:pPr>
    </w:p>
    <w:p w:rsidR="00A650AD" w:rsidRPr="00FA633E" w:rsidRDefault="00A650AD" w:rsidP="00A650AD">
      <w:pPr>
        <w:pStyle w:val="aa"/>
        <w:numPr>
          <w:ilvl w:val="0"/>
          <w:numId w:val="2"/>
        </w:numPr>
        <w:jc w:val="both"/>
        <w:rPr>
          <w:b/>
          <w:color w:val="FF0000"/>
        </w:rPr>
      </w:pPr>
      <w:r w:rsidRPr="00FA633E">
        <w:rPr>
          <w:rFonts w:ascii="Arial Narrow" w:hAnsi="Arial Narrow"/>
          <w:b/>
        </w:rPr>
        <w:t>Το 41,7% των νοικοκυριών έχει αρνητικές προσδοκίες ως προς την δυνατότητά του να καλύψει βασικές υποχρεώσεις το επόμενο έτος</w:t>
      </w:r>
      <w:r w:rsidR="002C545C" w:rsidRPr="00FA633E">
        <w:rPr>
          <w:rFonts w:ascii="Arial Narrow" w:hAnsi="Arial Narrow"/>
          <w:b/>
        </w:rPr>
        <w:t xml:space="preserve"> (Πίνακας 4)</w:t>
      </w:r>
      <w:r w:rsidRPr="00FA633E">
        <w:rPr>
          <w:rFonts w:ascii="Arial Narrow" w:hAnsi="Arial Narrow"/>
          <w:b/>
        </w:rPr>
        <w:t xml:space="preserve">. </w:t>
      </w:r>
      <w:r w:rsidR="00E50D78" w:rsidRPr="00932455">
        <w:rPr>
          <w:rFonts w:ascii="Arial Narrow" w:hAnsi="Arial Narrow"/>
          <w:b/>
        </w:rPr>
        <w:t>Το 44% θεωρεί ότι δεν θα μπορέσει να ανταποκριθεί στις φορολογικές υποχρεώσεις.</w:t>
      </w:r>
      <w:r w:rsidR="00E50D78">
        <w:rPr>
          <w:rFonts w:ascii="Arial Narrow" w:hAnsi="Arial Narrow"/>
          <w:b/>
        </w:rPr>
        <w:t xml:space="preserve"> </w:t>
      </w:r>
      <w:r>
        <w:rPr>
          <w:rFonts w:ascii="Arial Narrow" w:hAnsi="Arial Narrow"/>
        </w:rPr>
        <w:t xml:space="preserve">Εκτιμάται </w:t>
      </w:r>
      <w:r w:rsidRPr="00C8476F">
        <w:rPr>
          <w:rFonts w:ascii="Arial Narrow" w:hAnsi="Arial Narrow"/>
        </w:rPr>
        <w:t>ότι</w:t>
      </w:r>
      <w:r>
        <w:rPr>
          <w:rFonts w:ascii="Arial Narrow" w:hAnsi="Arial Narrow"/>
        </w:rPr>
        <w:t xml:space="preserve"> η εντεινόμενη ανεργία,</w:t>
      </w:r>
      <w:r w:rsidRPr="00C8476F">
        <w:rPr>
          <w:rFonts w:ascii="Arial Narrow" w:hAnsi="Arial Narrow"/>
        </w:rPr>
        <w:t xml:space="preserve"> οι περαιτέρω μειώσεις στις κοινωνικές μεταβιβάσεις και τις φοροαπαλλαγές</w:t>
      </w:r>
      <w:r>
        <w:rPr>
          <w:rFonts w:ascii="Arial Narrow" w:hAnsi="Arial Narrow"/>
        </w:rPr>
        <w:t>, καθώς και οι νέες φορολογικές επιβαρύνσεις</w:t>
      </w:r>
      <w:r w:rsidRPr="00C8476F">
        <w:rPr>
          <w:rFonts w:ascii="Arial Narrow" w:hAnsi="Arial Narrow"/>
        </w:rPr>
        <w:t xml:space="preserve"> θα επιτείνουν το πρόβλημα</w:t>
      </w:r>
      <w:r>
        <w:rPr>
          <w:rFonts w:ascii="Arial Narrow" w:hAnsi="Arial Narrow"/>
        </w:rPr>
        <w:t xml:space="preserve"> των νοικοκυριών και πιθανότατα θα οδηγήσουν σε αποκλίσεις τους φορολογικούς στόχους.</w:t>
      </w:r>
    </w:p>
    <w:p w:rsidR="00733B39" w:rsidRDefault="00733B39" w:rsidP="00FA633E">
      <w:pPr>
        <w:jc w:val="both"/>
        <w:rPr>
          <w:rFonts w:ascii="Arial Narrow" w:hAnsi="Arial Narrow"/>
          <w:b/>
          <w:u w:val="single"/>
        </w:rPr>
      </w:pPr>
    </w:p>
    <w:p w:rsidR="005E5E03" w:rsidRPr="000D41BC" w:rsidRDefault="002C545C" w:rsidP="000D41BC">
      <w:pPr>
        <w:ind w:left="720"/>
        <w:jc w:val="both"/>
        <w:rPr>
          <w:rFonts w:ascii="Arial Narrow" w:hAnsi="Arial Narrow"/>
          <w:b/>
          <w:u w:val="single"/>
        </w:rPr>
      </w:pPr>
      <w:r>
        <w:rPr>
          <w:rFonts w:ascii="Arial Narrow" w:hAnsi="Arial Narrow"/>
          <w:b/>
          <w:u w:val="single"/>
        </w:rPr>
        <w:t>Πίνακας 4</w:t>
      </w:r>
      <w:r w:rsidR="005E5E03" w:rsidRPr="000D41BC">
        <w:rPr>
          <w:rFonts w:ascii="Arial Narrow" w:hAnsi="Arial Narrow"/>
          <w:b/>
          <w:u w:val="single"/>
        </w:rPr>
        <w:t xml:space="preserve">- </w:t>
      </w:r>
      <w:r w:rsidR="00FA633E">
        <w:rPr>
          <w:rFonts w:ascii="Arial Narrow" w:hAnsi="Arial Narrow"/>
          <w:b/>
          <w:u w:val="single"/>
        </w:rPr>
        <w:t>Προσδοκία για την κ</w:t>
      </w:r>
      <w:r w:rsidR="005E5E03" w:rsidRPr="000D41BC">
        <w:rPr>
          <w:rFonts w:ascii="Arial Narrow" w:hAnsi="Arial Narrow"/>
          <w:b/>
          <w:u w:val="single"/>
        </w:rPr>
        <w:t xml:space="preserve">άλυψη </w:t>
      </w:r>
      <w:r w:rsidR="00FA633E">
        <w:rPr>
          <w:rFonts w:ascii="Arial Narrow" w:hAnsi="Arial Narrow"/>
          <w:b/>
          <w:u w:val="single"/>
        </w:rPr>
        <w:t xml:space="preserve">των </w:t>
      </w:r>
      <w:r w:rsidR="005E5E03" w:rsidRPr="000D41BC">
        <w:rPr>
          <w:rFonts w:ascii="Arial Narrow" w:hAnsi="Arial Narrow"/>
          <w:b/>
          <w:u w:val="single"/>
        </w:rPr>
        <w:t>υποχρεώσεων έτους</w:t>
      </w:r>
      <w:r w:rsidR="00FA633E">
        <w:rPr>
          <w:rFonts w:ascii="Arial Narrow" w:hAnsi="Arial Narrow"/>
          <w:b/>
          <w:u w:val="single"/>
        </w:rPr>
        <w:t xml:space="preserve"> 2014</w:t>
      </w:r>
    </w:p>
    <w:p w:rsidR="005E5E03" w:rsidRDefault="005E5E03" w:rsidP="00B30AB7">
      <w:pPr>
        <w:jc w:val="both"/>
      </w:pPr>
    </w:p>
    <w:p w:rsidR="005E5E03" w:rsidRDefault="00FA633E" w:rsidP="00B30AB7">
      <w:pPr>
        <w:jc w:val="both"/>
      </w:pPr>
      <w:r>
        <w:rPr>
          <w:noProof/>
        </w:rPr>
        <w:drawing>
          <wp:anchor distT="0" distB="0" distL="114300" distR="114300" simplePos="0" relativeHeight="251665920" behindDoc="0" locked="0" layoutInCell="1" allowOverlap="1">
            <wp:simplePos x="0" y="0"/>
            <wp:positionH relativeFrom="column">
              <wp:posOffset>160655</wp:posOffset>
            </wp:positionH>
            <wp:positionV relativeFrom="paragraph">
              <wp:posOffset>133985</wp:posOffset>
            </wp:positionV>
            <wp:extent cx="5391150" cy="2193875"/>
            <wp:effectExtent l="0" t="0" r="0" b="0"/>
            <wp:wrapNone/>
            <wp:docPr id="14" name="Objec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rsidR="005E5E03" w:rsidRDefault="005E5E03" w:rsidP="00B30AB7">
      <w:pPr>
        <w:jc w:val="both"/>
      </w:pPr>
    </w:p>
    <w:p w:rsidR="005E5E03" w:rsidRDefault="005E5E03" w:rsidP="00B30AB7">
      <w:pPr>
        <w:jc w:val="both"/>
      </w:pPr>
    </w:p>
    <w:p w:rsidR="005E5E03" w:rsidRDefault="005E5E03" w:rsidP="00B30AB7">
      <w:pPr>
        <w:jc w:val="both"/>
      </w:pPr>
    </w:p>
    <w:p w:rsidR="005E5E03" w:rsidRDefault="005E5E03" w:rsidP="00B30AB7">
      <w:pPr>
        <w:jc w:val="both"/>
      </w:pPr>
    </w:p>
    <w:p w:rsidR="005E5E03" w:rsidRDefault="005E5E03" w:rsidP="00B30AB7">
      <w:pPr>
        <w:jc w:val="both"/>
      </w:pPr>
    </w:p>
    <w:p w:rsidR="005E5E03" w:rsidRDefault="005E5E03" w:rsidP="00B30AB7">
      <w:pPr>
        <w:jc w:val="both"/>
      </w:pPr>
    </w:p>
    <w:p w:rsidR="005E5E03" w:rsidRDefault="005E5E03" w:rsidP="00B30AB7">
      <w:pPr>
        <w:jc w:val="both"/>
      </w:pPr>
    </w:p>
    <w:p w:rsidR="005E5E03" w:rsidRDefault="005E5E03" w:rsidP="00B30AB7">
      <w:pPr>
        <w:jc w:val="both"/>
      </w:pPr>
    </w:p>
    <w:p w:rsidR="00FA633E" w:rsidRDefault="00FA633E" w:rsidP="00B30AB7">
      <w:pPr>
        <w:jc w:val="both"/>
      </w:pPr>
    </w:p>
    <w:p w:rsidR="00FA633E" w:rsidRDefault="00FA633E" w:rsidP="00B30AB7">
      <w:pPr>
        <w:jc w:val="both"/>
      </w:pPr>
    </w:p>
    <w:p w:rsidR="00FA633E" w:rsidRPr="00814943" w:rsidRDefault="00FA633E" w:rsidP="00FA633E">
      <w:pPr>
        <w:numPr>
          <w:ilvl w:val="0"/>
          <w:numId w:val="2"/>
        </w:numPr>
        <w:jc w:val="both"/>
        <w:rPr>
          <w:rFonts w:ascii="Arial Narrow" w:hAnsi="Arial Narrow"/>
        </w:rPr>
      </w:pPr>
      <w:r w:rsidRPr="00814943">
        <w:rPr>
          <w:rFonts w:ascii="Arial Narrow" w:hAnsi="Arial Narrow"/>
        </w:rPr>
        <w:t xml:space="preserve">Η αγορά συνεχίζει να </w:t>
      </w:r>
      <w:r w:rsidRPr="00814943">
        <w:rPr>
          <w:rFonts w:ascii="Arial Narrow" w:hAnsi="Arial Narrow"/>
          <w:b/>
        </w:rPr>
        <w:t>βρίσκεται σε μια παρατεταμένη ετήσια χειμερία νάρκη</w:t>
      </w:r>
      <w:r w:rsidRPr="00814943">
        <w:rPr>
          <w:rFonts w:ascii="Arial Narrow" w:hAnsi="Arial Narrow"/>
        </w:rPr>
        <w:t xml:space="preserve">», δεδομένου ότι το 75,5% (από 70% στην αντίστοιχη περσινή έρευνα εισοδήματος) των νοικοκυριών αναμένει τις εκπτώσεις για να αγοράσει βασικά αγαθά. Μάλιστα, παρά τη σημαντική αποκλιμάκωση του πληθωρισμού, </w:t>
      </w:r>
      <w:r w:rsidRPr="00814943">
        <w:rPr>
          <w:rFonts w:ascii="Arial Narrow" w:hAnsi="Arial Narrow"/>
          <w:b/>
        </w:rPr>
        <w:t>το 73,2% του</w:t>
      </w:r>
      <w:r w:rsidRPr="00814943">
        <w:rPr>
          <w:rFonts w:ascii="Arial Narrow" w:hAnsi="Arial Narrow"/>
        </w:rPr>
        <w:t xml:space="preserve"> </w:t>
      </w:r>
      <w:r w:rsidRPr="00814943">
        <w:rPr>
          <w:rFonts w:ascii="Arial Narrow" w:hAnsi="Arial Narrow"/>
          <w:b/>
        </w:rPr>
        <w:t>πληθυσμού δηλώνει ότι κατά το τελευταίο έτος οι τιμές των αγαθών που αγοράζει αυξήθηκαν</w:t>
      </w:r>
      <w:r w:rsidRPr="00814943">
        <w:rPr>
          <w:rFonts w:ascii="Arial Narrow" w:hAnsi="Arial Narrow"/>
        </w:rPr>
        <w:t>, γεγον</w:t>
      </w:r>
      <w:r w:rsidR="00814943" w:rsidRPr="00814943">
        <w:rPr>
          <w:rFonts w:ascii="Arial Narrow" w:hAnsi="Arial Narrow"/>
        </w:rPr>
        <w:t>ός που υποδηλώνει ότι τα νοικοκυριά αντιλαμβάνονται τη μεγάλη μείωση του πραγματικού εισοδήματος ως παράμετρο που αυξάνει τις σχετικές τιμές σε σχέση με το παρελθόν.</w:t>
      </w:r>
    </w:p>
    <w:p w:rsidR="00FA633E" w:rsidRPr="00814943" w:rsidRDefault="00FA633E" w:rsidP="00FA633E">
      <w:pPr>
        <w:jc w:val="both"/>
        <w:rPr>
          <w:rFonts w:ascii="Arial Narrow" w:hAnsi="Arial Narrow"/>
        </w:rPr>
      </w:pPr>
    </w:p>
    <w:p w:rsidR="00814943" w:rsidRDefault="00FA633E" w:rsidP="001755E1">
      <w:pPr>
        <w:numPr>
          <w:ilvl w:val="0"/>
          <w:numId w:val="2"/>
        </w:numPr>
        <w:jc w:val="both"/>
        <w:rPr>
          <w:rFonts w:ascii="Arial Narrow" w:hAnsi="Arial Narrow"/>
        </w:rPr>
      </w:pPr>
      <w:r w:rsidRPr="00814943">
        <w:rPr>
          <w:rFonts w:ascii="Arial Narrow" w:hAnsi="Arial Narrow"/>
        </w:rPr>
        <w:t xml:space="preserve">Δραματικές εμφανίζονται οι περικοπές στην κατανάλωση λόγω της συρρίκνωσης των εισοδημάτων – </w:t>
      </w:r>
      <w:r w:rsidRPr="00814943">
        <w:rPr>
          <w:rFonts w:ascii="Arial Narrow" w:hAnsi="Arial Narrow"/>
          <w:b/>
        </w:rPr>
        <w:t>Το 63,7% των νοικοκυριών έχει κάνει περικοπές στις δαπάνες ειδών διατροφής, ενώ το 90,3%, περιόρισε τις δαπάνες για ένδυση – υπόδηση και περίπου το 90% έχει περιορίσει τις εξόδους σε εστιατόρια, ταβέρνες, μπαρ, σινεμά.</w:t>
      </w:r>
      <w:r w:rsidRPr="00814943">
        <w:rPr>
          <w:rFonts w:ascii="Arial Narrow" w:hAnsi="Arial Narrow"/>
        </w:rPr>
        <w:t xml:space="preserve"> Άνω του 75% των νοικοκυριών έχει κάνει περικοπές στις δαπάνες για θέρμανση και μετακινήσεις, γεγονός που συνδέεται με τη διατήρηση του υψηλού </w:t>
      </w:r>
      <w:r w:rsidR="00814943">
        <w:rPr>
          <w:rFonts w:ascii="Arial Narrow" w:hAnsi="Arial Narrow"/>
        </w:rPr>
        <w:t>και αναποτελεσματ</w:t>
      </w:r>
      <w:r w:rsidRPr="00814943">
        <w:rPr>
          <w:rFonts w:ascii="Arial Narrow" w:hAnsi="Arial Narrow"/>
        </w:rPr>
        <w:t>ικού</w:t>
      </w:r>
      <w:r w:rsidR="00814943">
        <w:rPr>
          <w:rFonts w:ascii="Arial Narrow" w:hAnsi="Arial Narrow"/>
        </w:rPr>
        <w:t xml:space="preserve"> ως προς τις συνέπειες</w:t>
      </w:r>
      <w:r w:rsidRPr="00814943">
        <w:rPr>
          <w:rFonts w:ascii="Arial Narrow" w:hAnsi="Arial Narrow"/>
        </w:rPr>
        <w:t xml:space="preserve"> φόρου στην κατανάλωση πετρελαίου θέρμανσης (Πίνακας 5)</w:t>
      </w:r>
      <w:r w:rsidR="001755E1">
        <w:rPr>
          <w:rFonts w:ascii="Arial Narrow" w:hAnsi="Arial Narrow"/>
        </w:rPr>
        <w:t>.</w:t>
      </w:r>
    </w:p>
    <w:p w:rsidR="001755E1" w:rsidRDefault="001755E1" w:rsidP="001755E1">
      <w:pPr>
        <w:pStyle w:val="aa"/>
        <w:rPr>
          <w:rFonts w:ascii="Arial Narrow" w:hAnsi="Arial Narrow"/>
        </w:rPr>
      </w:pPr>
    </w:p>
    <w:p w:rsidR="001755E1" w:rsidRPr="001755E1" w:rsidRDefault="001755E1" w:rsidP="001755E1">
      <w:pPr>
        <w:ind w:left="720"/>
        <w:jc w:val="both"/>
        <w:rPr>
          <w:rFonts w:ascii="Arial Narrow" w:hAnsi="Arial Narrow"/>
          <w:b/>
          <w:u w:val="single"/>
        </w:rPr>
      </w:pPr>
      <w:r w:rsidRPr="001755E1">
        <w:rPr>
          <w:rFonts w:ascii="Arial Narrow" w:hAnsi="Arial Narrow"/>
          <w:b/>
          <w:u w:val="single"/>
        </w:rPr>
        <w:t>Πίνακας 5- Καταναλωτική συμπεριφορά (μείωση δαπάνης)</w:t>
      </w:r>
    </w:p>
    <w:p w:rsidR="00814943" w:rsidRDefault="001755E1" w:rsidP="00FA633E">
      <w:pPr>
        <w:pStyle w:val="aa"/>
        <w:jc w:val="both"/>
        <w:rPr>
          <w:b/>
          <w:color w:val="FF0000"/>
        </w:rPr>
      </w:pPr>
      <w:r>
        <w:rPr>
          <w:b/>
          <w:noProof/>
          <w:color w:val="FF0000"/>
        </w:rPr>
        <w:drawing>
          <wp:anchor distT="0" distB="0" distL="114300" distR="114300" simplePos="0" relativeHeight="251666944" behindDoc="0" locked="0" layoutInCell="1" allowOverlap="1">
            <wp:simplePos x="0" y="0"/>
            <wp:positionH relativeFrom="column">
              <wp:posOffset>-58420</wp:posOffset>
            </wp:positionH>
            <wp:positionV relativeFrom="paragraph">
              <wp:posOffset>62865</wp:posOffset>
            </wp:positionV>
            <wp:extent cx="5867400" cy="3295650"/>
            <wp:effectExtent l="0" t="0" r="0" b="0"/>
            <wp:wrapNone/>
            <wp:docPr id="15" name="Objec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rsidR="00814943" w:rsidRDefault="00814943" w:rsidP="00FA633E">
      <w:pPr>
        <w:pStyle w:val="aa"/>
        <w:jc w:val="both"/>
        <w:rPr>
          <w:b/>
          <w:color w:val="FF0000"/>
        </w:rPr>
      </w:pPr>
    </w:p>
    <w:p w:rsidR="00814943" w:rsidRDefault="00814943" w:rsidP="00FA633E">
      <w:pPr>
        <w:pStyle w:val="aa"/>
        <w:jc w:val="both"/>
        <w:rPr>
          <w:b/>
          <w:color w:val="FF0000"/>
        </w:rPr>
      </w:pPr>
    </w:p>
    <w:p w:rsidR="00814943" w:rsidRDefault="00814943" w:rsidP="00FA633E">
      <w:pPr>
        <w:pStyle w:val="aa"/>
        <w:jc w:val="both"/>
        <w:rPr>
          <w:b/>
          <w:color w:val="FF0000"/>
        </w:rPr>
      </w:pPr>
    </w:p>
    <w:p w:rsidR="00814943" w:rsidRDefault="00814943" w:rsidP="00FA633E">
      <w:pPr>
        <w:pStyle w:val="aa"/>
        <w:jc w:val="both"/>
        <w:rPr>
          <w:b/>
          <w:color w:val="FF0000"/>
        </w:rPr>
      </w:pPr>
    </w:p>
    <w:p w:rsidR="00814943" w:rsidRDefault="00814943" w:rsidP="00FA633E">
      <w:pPr>
        <w:pStyle w:val="aa"/>
        <w:jc w:val="both"/>
        <w:rPr>
          <w:b/>
          <w:color w:val="FF0000"/>
        </w:rPr>
      </w:pPr>
    </w:p>
    <w:p w:rsidR="00814943" w:rsidRDefault="00814943" w:rsidP="00FA633E">
      <w:pPr>
        <w:pStyle w:val="aa"/>
        <w:jc w:val="both"/>
        <w:rPr>
          <w:b/>
          <w:color w:val="FF0000"/>
        </w:rPr>
      </w:pPr>
    </w:p>
    <w:p w:rsidR="00814943" w:rsidRDefault="00814943" w:rsidP="00FA633E">
      <w:pPr>
        <w:pStyle w:val="aa"/>
        <w:jc w:val="both"/>
        <w:rPr>
          <w:b/>
          <w:color w:val="FF0000"/>
        </w:rPr>
      </w:pPr>
    </w:p>
    <w:p w:rsidR="00814943" w:rsidRDefault="00814943" w:rsidP="00FA633E">
      <w:pPr>
        <w:pStyle w:val="aa"/>
        <w:jc w:val="both"/>
        <w:rPr>
          <w:b/>
          <w:color w:val="FF0000"/>
        </w:rPr>
      </w:pPr>
    </w:p>
    <w:p w:rsidR="00814943" w:rsidRDefault="00814943" w:rsidP="00FA633E">
      <w:pPr>
        <w:pStyle w:val="aa"/>
        <w:jc w:val="both"/>
        <w:rPr>
          <w:b/>
          <w:color w:val="FF0000"/>
        </w:rPr>
      </w:pPr>
    </w:p>
    <w:p w:rsidR="00814943" w:rsidRDefault="00814943" w:rsidP="00FA633E">
      <w:pPr>
        <w:pStyle w:val="aa"/>
        <w:jc w:val="both"/>
        <w:rPr>
          <w:b/>
          <w:color w:val="FF0000"/>
        </w:rPr>
      </w:pPr>
    </w:p>
    <w:p w:rsidR="00814943" w:rsidRDefault="00814943" w:rsidP="00FA633E">
      <w:pPr>
        <w:pStyle w:val="aa"/>
        <w:jc w:val="both"/>
        <w:rPr>
          <w:b/>
          <w:color w:val="FF0000"/>
        </w:rPr>
      </w:pPr>
    </w:p>
    <w:p w:rsidR="00814943" w:rsidRDefault="00814943" w:rsidP="00FA633E">
      <w:pPr>
        <w:pStyle w:val="aa"/>
        <w:jc w:val="both"/>
        <w:rPr>
          <w:b/>
          <w:color w:val="FF0000"/>
        </w:rPr>
      </w:pPr>
    </w:p>
    <w:p w:rsidR="00814943" w:rsidRDefault="00814943" w:rsidP="00FA633E">
      <w:pPr>
        <w:pStyle w:val="aa"/>
        <w:jc w:val="both"/>
        <w:rPr>
          <w:b/>
          <w:color w:val="FF0000"/>
        </w:rPr>
      </w:pPr>
    </w:p>
    <w:p w:rsidR="00814943" w:rsidRDefault="00814943" w:rsidP="00FA633E">
      <w:pPr>
        <w:pStyle w:val="aa"/>
        <w:jc w:val="both"/>
        <w:rPr>
          <w:b/>
          <w:color w:val="FF0000"/>
        </w:rPr>
      </w:pPr>
    </w:p>
    <w:p w:rsidR="00814943" w:rsidRDefault="00814943" w:rsidP="00FA633E">
      <w:pPr>
        <w:pStyle w:val="aa"/>
        <w:jc w:val="both"/>
        <w:rPr>
          <w:b/>
          <w:color w:val="FF0000"/>
        </w:rPr>
      </w:pPr>
    </w:p>
    <w:p w:rsidR="00814943" w:rsidRDefault="00814943" w:rsidP="00FA633E">
      <w:pPr>
        <w:pStyle w:val="aa"/>
        <w:jc w:val="both"/>
        <w:rPr>
          <w:b/>
          <w:color w:val="FF0000"/>
        </w:rPr>
      </w:pPr>
    </w:p>
    <w:p w:rsidR="001755E1" w:rsidRPr="001755E1" w:rsidRDefault="001755E1" w:rsidP="001755E1">
      <w:pPr>
        <w:jc w:val="both"/>
        <w:rPr>
          <w:rFonts w:ascii="Arial Narrow" w:hAnsi="Arial Narrow"/>
          <w:b/>
        </w:rPr>
      </w:pPr>
    </w:p>
    <w:p w:rsidR="00FA633E" w:rsidRPr="00FA633E" w:rsidRDefault="00FA633E" w:rsidP="00FA633E">
      <w:pPr>
        <w:pStyle w:val="aa"/>
        <w:numPr>
          <w:ilvl w:val="0"/>
          <w:numId w:val="2"/>
        </w:numPr>
        <w:jc w:val="both"/>
        <w:rPr>
          <w:rFonts w:ascii="Arial Narrow" w:hAnsi="Arial Narrow"/>
          <w:b/>
        </w:rPr>
      </w:pPr>
      <w:r w:rsidRPr="00A650AD">
        <w:rPr>
          <w:rFonts w:ascii="Arial Narrow" w:hAnsi="Arial Narrow"/>
        </w:rPr>
        <w:t xml:space="preserve">Από την έρευνα προκύπτει σημαντική υποβάθμιση της ποιότητας ζωής των νοικοκυριών. </w:t>
      </w:r>
      <w:r w:rsidR="001755E1">
        <w:rPr>
          <w:rFonts w:ascii="Arial Narrow" w:hAnsi="Arial Narrow"/>
          <w:b/>
        </w:rPr>
        <w:t>Τ</w:t>
      </w:r>
      <w:r w:rsidR="001755E1" w:rsidRPr="00FA633E">
        <w:rPr>
          <w:rFonts w:ascii="Arial Narrow" w:hAnsi="Arial Narrow"/>
          <w:b/>
        </w:rPr>
        <w:t>ο 36,5% του πληθυσμού δηλώνει ότι αγοράζει προϊόντα χαμηλότερης ποιότητας. Οξυμένο είναι το πρόβλημα στις πολυ</w:t>
      </w:r>
      <w:r w:rsidR="001755E1">
        <w:rPr>
          <w:rFonts w:ascii="Arial Narrow" w:hAnsi="Arial Narrow"/>
          <w:b/>
        </w:rPr>
        <w:t xml:space="preserve">μελείς οικογένειες (άνω των </w:t>
      </w:r>
      <w:r w:rsidR="001755E1" w:rsidRPr="00FA633E">
        <w:rPr>
          <w:rFonts w:ascii="Arial Narrow" w:hAnsi="Arial Narrow"/>
          <w:b/>
        </w:rPr>
        <w:t>5 ατόμων το ποσοστό ανέρχεται στο 44,7%) και στις χαμηλές εισοδηματικά κατηγορίες</w:t>
      </w:r>
      <w:r w:rsidR="001755E1">
        <w:rPr>
          <w:rFonts w:ascii="Arial Narrow" w:hAnsi="Arial Narrow"/>
          <w:b/>
        </w:rPr>
        <w:t xml:space="preserve">. Επίσης, </w:t>
      </w:r>
      <w:r w:rsidRPr="00A650AD">
        <w:rPr>
          <w:rFonts w:ascii="Arial Narrow" w:hAnsi="Arial Narrow"/>
        </w:rPr>
        <w:t>Μεγάλο μέρος των μη εξυπηρετούμενων υποχρεώσεων</w:t>
      </w:r>
      <w:r>
        <w:rPr>
          <w:rFonts w:ascii="Arial Narrow" w:hAnsi="Arial Narrow"/>
        </w:rPr>
        <w:t xml:space="preserve"> (22% περίπου</w:t>
      </w:r>
      <w:r w:rsidRPr="00A650AD">
        <w:rPr>
          <w:rFonts w:ascii="Arial Narrow" w:hAnsi="Arial Narrow"/>
        </w:rPr>
        <w:t>)</w:t>
      </w:r>
      <w:r>
        <w:rPr>
          <w:rFonts w:ascii="Arial Narrow" w:hAnsi="Arial Narrow"/>
        </w:rPr>
        <w:t xml:space="preserve"> αφορά</w:t>
      </w:r>
      <w:r w:rsidRPr="00A650AD">
        <w:rPr>
          <w:rFonts w:ascii="Arial Narrow" w:hAnsi="Arial Narrow"/>
        </w:rPr>
        <w:t xml:space="preserve"> τις πάγιες ανάγκες του νοικοκυριού (συντήρηση, θέρμανση</w:t>
      </w:r>
      <w:r>
        <w:rPr>
          <w:rFonts w:ascii="Arial Narrow" w:hAnsi="Arial Narrow"/>
        </w:rPr>
        <w:t>, στέγαση κλπ</w:t>
      </w:r>
      <w:r w:rsidRPr="00A650AD">
        <w:rPr>
          <w:rFonts w:ascii="Arial Narrow" w:hAnsi="Arial Narrow"/>
        </w:rPr>
        <w:t>).</w:t>
      </w:r>
    </w:p>
    <w:p w:rsidR="001755E1" w:rsidRDefault="001755E1" w:rsidP="001755E1">
      <w:pPr>
        <w:jc w:val="both"/>
        <w:rPr>
          <w:rFonts w:ascii="Arial Narrow" w:hAnsi="Arial Narrow"/>
          <w:b/>
          <w:u w:val="single"/>
        </w:rPr>
      </w:pPr>
    </w:p>
    <w:p w:rsidR="00814943" w:rsidRPr="000B6DF9" w:rsidRDefault="00814943" w:rsidP="00814943">
      <w:pPr>
        <w:ind w:firstLine="720"/>
        <w:jc w:val="both"/>
        <w:rPr>
          <w:rFonts w:ascii="Arial Narrow" w:hAnsi="Arial Narrow"/>
          <w:b/>
          <w:u w:val="single"/>
        </w:rPr>
      </w:pPr>
      <w:r w:rsidRPr="000B6DF9">
        <w:rPr>
          <w:rFonts w:ascii="Arial Narrow" w:hAnsi="Arial Narrow"/>
          <w:b/>
          <w:u w:val="single"/>
        </w:rPr>
        <w:t>Πίνακας 6- Ποιότητα αγαθών μέσα στην κρίση</w:t>
      </w:r>
    </w:p>
    <w:p w:rsidR="005E5E03" w:rsidRDefault="001755E1" w:rsidP="00B30AB7">
      <w:pPr>
        <w:jc w:val="center"/>
        <w:rPr>
          <w:b/>
        </w:rPr>
      </w:pPr>
      <w:r>
        <w:rPr>
          <w:b/>
          <w:noProof/>
        </w:rPr>
        <w:drawing>
          <wp:anchor distT="0" distB="0" distL="114300" distR="114300" simplePos="0" relativeHeight="251667968" behindDoc="0" locked="0" layoutInCell="1" allowOverlap="1">
            <wp:simplePos x="0" y="0"/>
            <wp:positionH relativeFrom="column">
              <wp:posOffset>370205</wp:posOffset>
            </wp:positionH>
            <wp:positionV relativeFrom="paragraph">
              <wp:posOffset>84455</wp:posOffset>
            </wp:positionV>
            <wp:extent cx="4619625" cy="2466183"/>
            <wp:effectExtent l="0" t="0" r="0" b="0"/>
            <wp:wrapNone/>
            <wp:docPr id="16" name="Objec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rsidR="005E5E03" w:rsidRDefault="005E5E03" w:rsidP="00B30AB7">
      <w:pPr>
        <w:jc w:val="center"/>
        <w:rPr>
          <w:b/>
        </w:rPr>
      </w:pPr>
    </w:p>
    <w:p w:rsidR="005E5E03" w:rsidRDefault="005E5E03" w:rsidP="00B30AB7">
      <w:pPr>
        <w:jc w:val="center"/>
        <w:rPr>
          <w:b/>
        </w:rPr>
      </w:pPr>
    </w:p>
    <w:p w:rsidR="005E5E03" w:rsidRPr="006C45D6" w:rsidRDefault="005E5E03" w:rsidP="002B5626">
      <w:pPr>
        <w:rPr>
          <w:b/>
        </w:rPr>
      </w:pPr>
    </w:p>
    <w:p w:rsidR="005E5E03" w:rsidRDefault="005E5E03" w:rsidP="00B30AB7">
      <w:pPr>
        <w:jc w:val="center"/>
        <w:rPr>
          <w:b/>
        </w:rPr>
      </w:pPr>
    </w:p>
    <w:p w:rsidR="005E5E03" w:rsidRDefault="005E5E03" w:rsidP="00B30AB7">
      <w:pPr>
        <w:jc w:val="center"/>
        <w:rPr>
          <w:b/>
        </w:rPr>
      </w:pPr>
    </w:p>
    <w:p w:rsidR="005E5E03" w:rsidRPr="00210C41" w:rsidRDefault="005E5E03" w:rsidP="00210C41">
      <w:pPr>
        <w:ind w:left="720"/>
        <w:jc w:val="both"/>
        <w:rPr>
          <w:rFonts w:ascii="Arial Narrow" w:hAnsi="Arial Narrow"/>
          <w:b/>
          <w:u w:val="single"/>
        </w:rPr>
      </w:pPr>
    </w:p>
    <w:p w:rsidR="005E5E03" w:rsidRDefault="005E5E03" w:rsidP="000B6DF9">
      <w:pPr>
        <w:jc w:val="center"/>
        <w:rPr>
          <w:b/>
        </w:rPr>
      </w:pPr>
    </w:p>
    <w:p w:rsidR="005E5E03" w:rsidRDefault="005E5E03" w:rsidP="000B6DF9">
      <w:pPr>
        <w:jc w:val="center"/>
        <w:rPr>
          <w:b/>
        </w:rPr>
      </w:pPr>
    </w:p>
    <w:p w:rsidR="005E5E03" w:rsidRDefault="005E5E03" w:rsidP="000B6DF9">
      <w:pPr>
        <w:jc w:val="center"/>
        <w:rPr>
          <w:b/>
        </w:rPr>
      </w:pPr>
    </w:p>
    <w:p w:rsidR="005E5E03" w:rsidRDefault="005E5E03" w:rsidP="000B6DF9">
      <w:pPr>
        <w:jc w:val="center"/>
        <w:rPr>
          <w:b/>
        </w:rPr>
      </w:pPr>
    </w:p>
    <w:p w:rsidR="005E5E03" w:rsidRDefault="005E5E03" w:rsidP="000B6DF9">
      <w:pPr>
        <w:jc w:val="center"/>
        <w:rPr>
          <w:b/>
        </w:rPr>
      </w:pPr>
    </w:p>
    <w:p w:rsidR="005F2D28" w:rsidRPr="00573646" w:rsidRDefault="005F2D28" w:rsidP="00E50D78">
      <w:pPr>
        <w:jc w:val="both"/>
        <w:rPr>
          <w:rFonts w:ascii="Arial Narrow" w:hAnsi="Arial Narrow"/>
          <w:b/>
          <w:u w:val="single"/>
        </w:rPr>
      </w:pPr>
    </w:p>
    <w:p w:rsidR="005E5E03" w:rsidRDefault="00E50D78" w:rsidP="00E50D78">
      <w:pPr>
        <w:jc w:val="both"/>
        <w:rPr>
          <w:rFonts w:ascii="Arial Narrow" w:hAnsi="Arial Narrow"/>
          <w:b/>
          <w:u w:val="single"/>
        </w:rPr>
      </w:pPr>
      <w:r w:rsidRPr="00E50D78">
        <w:rPr>
          <w:rFonts w:ascii="Arial Narrow" w:hAnsi="Arial Narrow"/>
          <w:b/>
          <w:u w:val="single"/>
        </w:rPr>
        <w:t>ΕΙΔΙΚΑ ΘΕΜΑΤΑ</w:t>
      </w:r>
      <w:r w:rsidR="005B6E42">
        <w:rPr>
          <w:rFonts w:ascii="Arial Narrow" w:hAnsi="Arial Narrow"/>
          <w:b/>
          <w:u w:val="single"/>
        </w:rPr>
        <w:t xml:space="preserve"> (12 έως 14)</w:t>
      </w:r>
    </w:p>
    <w:p w:rsidR="00E50D78" w:rsidRDefault="00E50D78" w:rsidP="00E50D78">
      <w:pPr>
        <w:jc w:val="both"/>
        <w:rPr>
          <w:rFonts w:ascii="Arial Narrow" w:hAnsi="Arial Narrow"/>
          <w:b/>
          <w:u w:val="single"/>
        </w:rPr>
      </w:pPr>
    </w:p>
    <w:p w:rsidR="00E50D78" w:rsidRPr="00E50D78" w:rsidRDefault="005B6E42" w:rsidP="00E50D78">
      <w:pPr>
        <w:jc w:val="both"/>
        <w:rPr>
          <w:rFonts w:ascii="Arial Narrow" w:hAnsi="Arial Narrow"/>
          <w:b/>
          <w:u w:val="single"/>
        </w:rPr>
      </w:pPr>
      <w:r>
        <w:rPr>
          <w:rFonts w:ascii="Arial Narrow" w:hAnsi="Arial Narrow"/>
          <w:b/>
          <w:u w:val="single"/>
        </w:rPr>
        <w:t xml:space="preserve">Ι) </w:t>
      </w:r>
      <w:r w:rsidR="00E50D78">
        <w:rPr>
          <w:rFonts w:ascii="Arial Narrow" w:hAnsi="Arial Narrow"/>
          <w:b/>
          <w:u w:val="single"/>
        </w:rPr>
        <w:t>Στέγαση- πλειστηριασμοί- φόρος ακινήτων</w:t>
      </w:r>
    </w:p>
    <w:p w:rsidR="005E5E03" w:rsidRDefault="005E5E03" w:rsidP="000B6DF9">
      <w:pPr>
        <w:jc w:val="center"/>
        <w:rPr>
          <w:b/>
        </w:rPr>
      </w:pPr>
    </w:p>
    <w:p w:rsidR="00E50D78" w:rsidRDefault="00E50D78" w:rsidP="00E50D78">
      <w:pPr>
        <w:pStyle w:val="aa"/>
        <w:numPr>
          <w:ilvl w:val="0"/>
          <w:numId w:val="10"/>
        </w:numPr>
        <w:jc w:val="both"/>
        <w:rPr>
          <w:rFonts w:ascii="Arial Narrow" w:hAnsi="Arial Narrow"/>
        </w:rPr>
      </w:pPr>
      <w:r w:rsidRPr="00E50D78">
        <w:rPr>
          <w:rFonts w:ascii="Arial Narrow" w:hAnsi="Arial Narrow"/>
        </w:rPr>
        <w:t>Από την έρευνα επιβεβαιώνεται το υψηλό ποσοστό κατοχής ακίνητης περιουσίας από τα ελληνικά νοικοκυριά. Το 86,7% του πλ</w:t>
      </w:r>
      <w:r>
        <w:rPr>
          <w:rFonts w:ascii="Arial Narrow" w:hAnsi="Arial Narrow"/>
        </w:rPr>
        <w:t xml:space="preserve">ηθυσμού </w:t>
      </w:r>
      <w:r w:rsidR="005B6E42">
        <w:rPr>
          <w:rFonts w:ascii="Arial Narrow" w:hAnsi="Arial Narrow"/>
        </w:rPr>
        <w:t>έχει στην κατοχή του</w:t>
      </w:r>
      <w:r>
        <w:rPr>
          <w:rFonts w:ascii="Arial Narrow" w:hAnsi="Arial Narrow"/>
        </w:rPr>
        <w:t xml:space="preserve"> κάποιο ακίνητο.</w:t>
      </w:r>
    </w:p>
    <w:p w:rsidR="00E50D78" w:rsidRPr="00E50D78" w:rsidRDefault="00E50D78" w:rsidP="00E50D78">
      <w:pPr>
        <w:ind w:left="360"/>
        <w:jc w:val="both"/>
        <w:rPr>
          <w:rFonts w:ascii="Arial Narrow" w:hAnsi="Arial Narrow"/>
        </w:rPr>
      </w:pPr>
    </w:p>
    <w:p w:rsidR="00E50D78" w:rsidRPr="00E50D78" w:rsidRDefault="00E50D78" w:rsidP="00E50D78">
      <w:pPr>
        <w:pStyle w:val="aa"/>
        <w:numPr>
          <w:ilvl w:val="0"/>
          <w:numId w:val="10"/>
        </w:numPr>
        <w:jc w:val="both"/>
        <w:rPr>
          <w:rFonts w:ascii="Arial Narrow" w:hAnsi="Arial Narrow"/>
        </w:rPr>
      </w:pPr>
      <w:r w:rsidRPr="00E50D78">
        <w:rPr>
          <w:rFonts w:ascii="Arial Narrow" w:hAnsi="Arial Narrow"/>
        </w:rPr>
        <w:t>Το 28,1% των νοικοκυριών που διαμένει σε ιδιόκτητο σπίτι έχει στεγαστικό δάνειο. Αυτό σημαίνει ότι περίπου 1εκ. νοικοκυριά έχουν δανειακά βάρη στο ακίνητο που διαμένουν.</w:t>
      </w:r>
      <w:r>
        <w:rPr>
          <w:rFonts w:ascii="Arial Narrow" w:hAnsi="Arial Narrow"/>
        </w:rPr>
        <w:t xml:space="preserve"> </w:t>
      </w:r>
      <w:r w:rsidRPr="005B6E42">
        <w:rPr>
          <w:rFonts w:ascii="Arial Narrow" w:hAnsi="Arial Narrow"/>
        </w:rPr>
        <w:t>Από τα 1 εκ. νοικοκυριά που έχουν στεγαστικό δάνειο, 168,000 νοικοκυριά (16,8%) έχει καθυστερημένες οφειλές σε μόνιμη βάση και 220.000 νοικοκυριά (22%) τα αποπληρώνει μεν αλλά με συχνές καθυστερήσεις δε. Τούτο επιβεβαιώνεται και από τα πρόσφατα στοιχεία της ΤτΕ όπου καταγράφεται μια αύξηση των μη εξυπηρετούμενων δανείων σε ποσοστό πάνω από 30%. Αν λάβουμε υπόψη και τα επιχειρηματικά δάνε</w:t>
      </w:r>
      <w:r w:rsidR="005B6E42">
        <w:rPr>
          <w:rFonts w:ascii="Arial Narrow" w:hAnsi="Arial Narrow"/>
        </w:rPr>
        <w:t>ια τα οποία έχουν εμπράγματες εξ</w:t>
      </w:r>
      <w:r w:rsidRPr="005B6E42">
        <w:rPr>
          <w:rFonts w:ascii="Arial Narrow" w:hAnsi="Arial Narrow"/>
        </w:rPr>
        <w:t>ασφαλίσεις (με προσημείωση προσωπικής περιουσίας), τότε το πρόβλημα γίνεται οξύτερο.</w:t>
      </w:r>
    </w:p>
    <w:p w:rsidR="00E50D78" w:rsidRDefault="00E50D78" w:rsidP="00E50D78">
      <w:pPr>
        <w:pStyle w:val="aa"/>
        <w:jc w:val="both"/>
        <w:rPr>
          <w:rFonts w:ascii="Arial Narrow" w:hAnsi="Arial Narrow"/>
        </w:rPr>
      </w:pPr>
    </w:p>
    <w:p w:rsidR="00E50D78" w:rsidRDefault="00E50D78" w:rsidP="00E50D78">
      <w:pPr>
        <w:pStyle w:val="aa"/>
        <w:numPr>
          <w:ilvl w:val="0"/>
          <w:numId w:val="10"/>
        </w:numPr>
        <w:jc w:val="both"/>
        <w:rPr>
          <w:rFonts w:ascii="Arial Narrow" w:hAnsi="Arial Narrow"/>
        </w:rPr>
      </w:pPr>
      <w:r w:rsidRPr="00E50D78">
        <w:rPr>
          <w:rFonts w:ascii="Arial Narrow" w:hAnsi="Arial Narrow"/>
        </w:rPr>
        <w:t>1 στα 3 νοικοκυριά φοβάται ότι θα χάσει το σπίτι του εξ αιτίας τόσο των συσσωρευμένων υποχρεώσεων όσο και των επιπρόσθετων επιβαρύνσεων (δανειακών, φορολογικών και άλλων). Η ανασφάλεια αυτή δημιουργεί ένα φαύλο κύκλο αποεπένδυσης και κατάρρευσης των αξιών των ακινήτων</w:t>
      </w:r>
      <w:r>
        <w:rPr>
          <w:rFonts w:ascii="Arial Narrow" w:hAnsi="Arial Narrow"/>
        </w:rPr>
        <w:t>, ενώ επηρεάζει και τις προσδοκώμενες αξίες</w:t>
      </w:r>
      <w:r w:rsidRPr="00E50D78">
        <w:rPr>
          <w:rFonts w:ascii="Arial Narrow" w:hAnsi="Arial Narrow"/>
        </w:rPr>
        <w:t>.</w:t>
      </w:r>
    </w:p>
    <w:p w:rsidR="005B6E42" w:rsidRPr="00573646" w:rsidRDefault="005B6E42" w:rsidP="005B6E42">
      <w:pPr>
        <w:jc w:val="both"/>
        <w:rPr>
          <w:rFonts w:ascii="Arial Narrow" w:hAnsi="Arial Narrow"/>
        </w:rPr>
      </w:pPr>
    </w:p>
    <w:p w:rsidR="005B6E42" w:rsidRDefault="005B6E42" w:rsidP="005B6E42">
      <w:pPr>
        <w:ind w:left="720"/>
        <w:jc w:val="both"/>
        <w:rPr>
          <w:rFonts w:ascii="Arial Narrow" w:hAnsi="Arial Narrow"/>
          <w:b/>
          <w:u w:val="single"/>
        </w:rPr>
      </w:pPr>
      <w:r>
        <w:rPr>
          <w:rFonts w:ascii="Arial Narrow" w:hAnsi="Arial Narrow"/>
          <w:b/>
          <w:u w:val="single"/>
        </w:rPr>
        <w:t>Πίνακας 7</w:t>
      </w:r>
      <w:r w:rsidRPr="004A3B06">
        <w:rPr>
          <w:rFonts w:ascii="Arial Narrow" w:hAnsi="Arial Narrow"/>
          <w:b/>
          <w:u w:val="single"/>
        </w:rPr>
        <w:t xml:space="preserve"> </w:t>
      </w:r>
      <w:r w:rsidRPr="000B6DF9">
        <w:rPr>
          <w:rFonts w:ascii="Arial Narrow" w:hAnsi="Arial Narrow"/>
          <w:b/>
          <w:u w:val="single"/>
        </w:rPr>
        <w:t xml:space="preserve">- </w:t>
      </w:r>
      <w:r>
        <w:rPr>
          <w:rFonts w:ascii="Arial Narrow" w:hAnsi="Arial Narrow"/>
          <w:b/>
          <w:u w:val="single"/>
        </w:rPr>
        <w:t>Δείκτης ανησυχίας απώλειας ακινήτου</w:t>
      </w:r>
    </w:p>
    <w:p w:rsidR="005B6E42" w:rsidRDefault="005B6E42" w:rsidP="005B6E42">
      <w:pPr>
        <w:jc w:val="both"/>
        <w:rPr>
          <w:rFonts w:ascii="Arial Narrow" w:hAnsi="Arial Narrow"/>
        </w:rPr>
      </w:pPr>
    </w:p>
    <w:p w:rsidR="005B6E42" w:rsidRDefault="005B6E42" w:rsidP="005B6E42">
      <w:pPr>
        <w:jc w:val="both"/>
        <w:rPr>
          <w:rFonts w:ascii="Arial Narrow" w:hAnsi="Arial Narrow"/>
        </w:rPr>
      </w:pPr>
    </w:p>
    <w:p w:rsidR="005B6E42" w:rsidRDefault="005B6E42" w:rsidP="005B6E42">
      <w:pPr>
        <w:jc w:val="both"/>
        <w:rPr>
          <w:rFonts w:ascii="Arial Narrow" w:hAnsi="Arial Narrow"/>
        </w:rPr>
      </w:pPr>
      <w:r w:rsidRPr="005B6E42">
        <w:rPr>
          <w:noProof/>
        </w:rPr>
        <w:drawing>
          <wp:anchor distT="0" distB="0" distL="114300" distR="114300" simplePos="0" relativeHeight="251670016" behindDoc="0" locked="0" layoutInCell="1" allowOverlap="1">
            <wp:simplePos x="0" y="0"/>
            <wp:positionH relativeFrom="column">
              <wp:posOffset>0</wp:posOffset>
            </wp:positionH>
            <wp:positionV relativeFrom="paragraph">
              <wp:posOffset>0</wp:posOffset>
            </wp:positionV>
            <wp:extent cx="5482590" cy="2170430"/>
            <wp:effectExtent l="0" t="0" r="0" b="0"/>
            <wp:wrapNone/>
            <wp:docPr id="17"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srcRect/>
                    <a:stretch>
                      <a:fillRect/>
                    </a:stretch>
                  </pic:blipFill>
                  <pic:spPr bwMode="auto">
                    <a:xfrm>
                      <a:off x="0" y="0"/>
                      <a:ext cx="5482590" cy="2170430"/>
                    </a:xfrm>
                    <a:prstGeom prst="rect">
                      <a:avLst/>
                    </a:prstGeom>
                    <a:noFill/>
                    <a:ln w="9525">
                      <a:noFill/>
                      <a:miter lim="800000"/>
                      <a:headEnd/>
                      <a:tailEnd/>
                    </a:ln>
                  </pic:spPr>
                </pic:pic>
              </a:graphicData>
            </a:graphic>
          </wp:anchor>
        </w:drawing>
      </w:r>
    </w:p>
    <w:p w:rsidR="005B6E42" w:rsidRDefault="005B6E42" w:rsidP="005B6E42">
      <w:pPr>
        <w:jc w:val="both"/>
        <w:rPr>
          <w:rFonts w:ascii="Arial Narrow" w:hAnsi="Arial Narrow"/>
        </w:rPr>
      </w:pPr>
    </w:p>
    <w:p w:rsidR="005B6E42" w:rsidRDefault="005B6E42" w:rsidP="005B6E42">
      <w:pPr>
        <w:jc w:val="both"/>
        <w:rPr>
          <w:rFonts w:ascii="Arial Narrow" w:hAnsi="Arial Narrow"/>
        </w:rPr>
      </w:pPr>
    </w:p>
    <w:p w:rsidR="005B6E42" w:rsidRDefault="005B6E42" w:rsidP="005B6E42">
      <w:pPr>
        <w:jc w:val="both"/>
        <w:rPr>
          <w:rFonts w:ascii="Arial Narrow" w:hAnsi="Arial Narrow"/>
        </w:rPr>
      </w:pPr>
    </w:p>
    <w:p w:rsidR="005B6E42" w:rsidRDefault="005B6E42" w:rsidP="005B6E42">
      <w:pPr>
        <w:jc w:val="both"/>
        <w:rPr>
          <w:rFonts w:ascii="Arial Narrow" w:hAnsi="Arial Narrow"/>
        </w:rPr>
      </w:pPr>
    </w:p>
    <w:p w:rsidR="005B6E42" w:rsidRDefault="005B6E42" w:rsidP="005B6E42">
      <w:pPr>
        <w:jc w:val="both"/>
        <w:rPr>
          <w:rFonts w:ascii="Arial Narrow" w:hAnsi="Arial Narrow"/>
        </w:rPr>
      </w:pPr>
    </w:p>
    <w:p w:rsidR="005B6E42" w:rsidRDefault="005B6E42" w:rsidP="005B6E42">
      <w:pPr>
        <w:jc w:val="both"/>
        <w:rPr>
          <w:rFonts w:ascii="Arial Narrow" w:hAnsi="Arial Narrow"/>
        </w:rPr>
      </w:pPr>
    </w:p>
    <w:p w:rsidR="005B6E42" w:rsidRDefault="005B6E42" w:rsidP="005B6E42">
      <w:pPr>
        <w:jc w:val="both"/>
        <w:rPr>
          <w:rFonts w:ascii="Arial Narrow" w:hAnsi="Arial Narrow"/>
        </w:rPr>
      </w:pPr>
    </w:p>
    <w:p w:rsidR="005B6E42" w:rsidRDefault="005B6E42" w:rsidP="005B6E42">
      <w:pPr>
        <w:jc w:val="both"/>
        <w:rPr>
          <w:rFonts w:ascii="Arial Narrow" w:hAnsi="Arial Narrow"/>
        </w:rPr>
      </w:pPr>
    </w:p>
    <w:p w:rsidR="005B6E42" w:rsidRDefault="005B6E42" w:rsidP="005B6E42">
      <w:pPr>
        <w:jc w:val="both"/>
        <w:rPr>
          <w:rFonts w:ascii="Arial Narrow" w:hAnsi="Arial Narrow"/>
        </w:rPr>
      </w:pPr>
    </w:p>
    <w:p w:rsidR="005B6E42" w:rsidRDefault="005B6E42" w:rsidP="005B6E42">
      <w:pPr>
        <w:jc w:val="both"/>
        <w:rPr>
          <w:rFonts w:ascii="Arial Narrow" w:hAnsi="Arial Narrow"/>
        </w:rPr>
      </w:pPr>
    </w:p>
    <w:p w:rsidR="00E50D78" w:rsidRPr="005B6E42" w:rsidRDefault="00E50D78" w:rsidP="005B6E42">
      <w:pPr>
        <w:rPr>
          <w:rFonts w:ascii="Arial Narrow" w:hAnsi="Arial Narrow"/>
        </w:rPr>
      </w:pPr>
    </w:p>
    <w:p w:rsidR="00E50D78" w:rsidRDefault="00E50D78" w:rsidP="00E50D78">
      <w:pPr>
        <w:pStyle w:val="aa"/>
        <w:numPr>
          <w:ilvl w:val="0"/>
          <w:numId w:val="10"/>
        </w:numPr>
        <w:jc w:val="both"/>
        <w:rPr>
          <w:rFonts w:ascii="Arial Narrow" w:hAnsi="Arial Narrow"/>
        </w:rPr>
      </w:pPr>
      <w:r w:rsidRPr="005B6E42">
        <w:rPr>
          <w:rFonts w:ascii="Arial Narrow" w:hAnsi="Arial Narrow"/>
        </w:rPr>
        <w:t>Φέτος, πάνω από το 45% των νοικοκυριών κλήθηκε να πληρώσει φόρο ακινήτων πάνω από 500 ευρώ</w:t>
      </w:r>
      <w:r w:rsidR="005B6E42" w:rsidRPr="005B6E42">
        <w:rPr>
          <w:rFonts w:ascii="Arial Narrow" w:hAnsi="Arial Narrow"/>
        </w:rPr>
        <w:t xml:space="preserve"> (Πίνακας 8)</w:t>
      </w:r>
      <w:r w:rsidRPr="005B6E42">
        <w:rPr>
          <w:rFonts w:ascii="Arial Narrow" w:hAnsi="Arial Narrow"/>
        </w:rPr>
        <w:t>. Αν συνυπολογίσουμε την υπερφορολόγηση των εισοδημάτων και τη μεγάλη μείωση των εισοδημάτων συνάγεται ότι 1 στα 2 νοικοκυριά επιβαρύνθηκε με φόρο κατοχής ακινήτου αξίας τουλάχιστον ενός μισθού, ο οποίος προφανώς αποσπάστηκε από την πραγματική οικονομία.</w:t>
      </w:r>
    </w:p>
    <w:p w:rsidR="00E50D78" w:rsidRDefault="00E50D78" w:rsidP="00E50D78">
      <w:pPr>
        <w:pStyle w:val="aa"/>
        <w:jc w:val="both"/>
        <w:rPr>
          <w:rFonts w:ascii="Arial Narrow" w:hAnsi="Arial Narrow"/>
        </w:rPr>
      </w:pPr>
    </w:p>
    <w:p w:rsidR="00E50D78" w:rsidRPr="005B6E42" w:rsidRDefault="00E50D78" w:rsidP="005B6E42">
      <w:pPr>
        <w:jc w:val="both"/>
        <w:rPr>
          <w:rFonts w:ascii="Arial Narrow" w:hAnsi="Arial Narrow"/>
        </w:rPr>
      </w:pPr>
    </w:p>
    <w:p w:rsidR="005B6E42" w:rsidRPr="000B6DF9" w:rsidRDefault="005B6E42" w:rsidP="005B6E42">
      <w:pPr>
        <w:ind w:left="720"/>
        <w:jc w:val="both"/>
        <w:rPr>
          <w:rFonts w:ascii="Arial Narrow" w:hAnsi="Arial Narrow"/>
          <w:b/>
          <w:u w:val="single"/>
        </w:rPr>
      </w:pPr>
      <w:r>
        <w:rPr>
          <w:rFonts w:ascii="Arial Narrow" w:hAnsi="Arial Narrow"/>
          <w:b/>
          <w:u w:val="single"/>
        </w:rPr>
        <w:t>Πίνακας 8</w:t>
      </w:r>
      <w:r w:rsidRPr="00715724">
        <w:rPr>
          <w:rFonts w:ascii="Arial Narrow" w:hAnsi="Arial Narrow"/>
          <w:b/>
          <w:u w:val="single"/>
        </w:rPr>
        <w:t xml:space="preserve"> </w:t>
      </w:r>
      <w:r w:rsidRPr="000B6DF9">
        <w:rPr>
          <w:rFonts w:ascii="Arial Narrow" w:hAnsi="Arial Narrow"/>
          <w:b/>
          <w:u w:val="single"/>
        </w:rPr>
        <w:t xml:space="preserve">- </w:t>
      </w:r>
      <w:r>
        <w:rPr>
          <w:rFonts w:ascii="Arial Narrow" w:hAnsi="Arial Narrow"/>
          <w:b/>
          <w:u w:val="single"/>
        </w:rPr>
        <w:t>Φόροι που καταβλήθηκαν το 2013 για ακίνητη περιουσία</w:t>
      </w:r>
    </w:p>
    <w:p w:rsidR="00E50D78" w:rsidRDefault="005B6E42" w:rsidP="00E50D78">
      <w:pPr>
        <w:pStyle w:val="aa"/>
        <w:jc w:val="both"/>
        <w:rPr>
          <w:rFonts w:ascii="Arial Narrow" w:hAnsi="Arial Narrow"/>
        </w:rPr>
      </w:pPr>
      <w:r w:rsidRPr="005B6E42">
        <w:rPr>
          <w:noProof/>
        </w:rPr>
        <w:drawing>
          <wp:anchor distT="0" distB="0" distL="114300" distR="114300" simplePos="0" relativeHeight="251672064" behindDoc="0" locked="0" layoutInCell="1" allowOverlap="1">
            <wp:simplePos x="0" y="0"/>
            <wp:positionH relativeFrom="column">
              <wp:posOffset>-1270</wp:posOffset>
            </wp:positionH>
            <wp:positionV relativeFrom="paragraph">
              <wp:posOffset>-2540</wp:posOffset>
            </wp:positionV>
            <wp:extent cx="5486400" cy="1989914"/>
            <wp:effectExtent l="0" t="0" r="0" b="0"/>
            <wp:wrapNone/>
            <wp:docPr id="18"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srcRect/>
                    <a:stretch>
                      <a:fillRect/>
                    </a:stretch>
                  </pic:blipFill>
                  <pic:spPr bwMode="auto">
                    <a:xfrm>
                      <a:off x="0" y="0"/>
                      <a:ext cx="5489768" cy="1991136"/>
                    </a:xfrm>
                    <a:prstGeom prst="rect">
                      <a:avLst/>
                    </a:prstGeom>
                    <a:noFill/>
                    <a:ln w="9525">
                      <a:noFill/>
                      <a:miter lim="800000"/>
                      <a:headEnd/>
                      <a:tailEnd/>
                    </a:ln>
                  </pic:spPr>
                </pic:pic>
              </a:graphicData>
            </a:graphic>
          </wp:anchor>
        </w:drawing>
      </w:r>
    </w:p>
    <w:p w:rsidR="00E50D78" w:rsidRDefault="00E50D78" w:rsidP="00E50D78">
      <w:pPr>
        <w:pStyle w:val="aa"/>
        <w:jc w:val="both"/>
        <w:rPr>
          <w:rFonts w:ascii="Arial Narrow" w:hAnsi="Arial Narrow"/>
        </w:rPr>
      </w:pPr>
    </w:p>
    <w:p w:rsidR="00E50D78" w:rsidRDefault="00E50D78" w:rsidP="00E50D78">
      <w:pPr>
        <w:pStyle w:val="aa"/>
        <w:jc w:val="both"/>
        <w:rPr>
          <w:rFonts w:ascii="Arial Narrow" w:hAnsi="Arial Narrow"/>
        </w:rPr>
      </w:pPr>
    </w:p>
    <w:p w:rsidR="005B6E42" w:rsidRDefault="005B6E42" w:rsidP="00E50D78">
      <w:pPr>
        <w:pStyle w:val="aa"/>
        <w:jc w:val="both"/>
        <w:rPr>
          <w:rFonts w:ascii="Arial Narrow" w:hAnsi="Arial Narrow"/>
        </w:rPr>
      </w:pPr>
    </w:p>
    <w:p w:rsidR="005B6E42" w:rsidRDefault="005B6E42" w:rsidP="00E50D78">
      <w:pPr>
        <w:pStyle w:val="aa"/>
        <w:jc w:val="both"/>
        <w:rPr>
          <w:rFonts w:ascii="Arial Narrow" w:hAnsi="Arial Narrow"/>
        </w:rPr>
      </w:pPr>
    </w:p>
    <w:p w:rsidR="005B6E42" w:rsidRDefault="005B6E42" w:rsidP="00E50D78">
      <w:pPr>
        <w:pStyle w:val="aa"/>
        <w:jc w:val="both"/>
        <w:rPr>
          <w:rFonts w:ascii="Arial Narrow" w:hAnsi="Arial Narrow"/>
        </w:rPr>
      </w:pPr>
    </w:p>
    <w:p w:rsidR="005B6E42" w:rsidRDefault="005B6E42" w:rsidP="00E50D78">
      <w:pPr>
        <w:pStyle w:val="aa"/>
        <w:jc w:val="both"/>
        <w:rPr>
          <w:rFonts w:ascii="Arial Narrow" w:hAnsi="Arial Narrow"/>
        </w:rPr>
      </w:pPr>
    </w:p>
    <w:p w:rsidR="005B6E42" w:rsidRDefault="005B6E42" w:rsidP="00E50D78">
      <w:pPr>
        <w:pStyle w:val="aa"/>
        <w:jc w:val="both"/>
        <w:rPr>
          <w:rFonts w:ascii="Arial Narrow" w:hAnsi="Arial Narrow"/>
        </w:rPr>
      </w:pPr>
    </w:p>
    <w:p w:rsidR="00E50D78" w:rsidRDefault="00E50D78" w:rsidP="00E50D78">
      <w:pPr>
        <w:jc w:val="both"/>
        <w:rPr>
          <w:rFonts w:ascii="Arial Narrow" w:hAnsi="Arial Narrow"/>
        </w:rPr>
      </w:pPr>
    </w:p>
    <w:p w:rsidR="005B6E42" w:rsidRDefault="005B6E42" w:rsidP="00E50D78">
      <w:pPr>
        <w:jc w:val="both"/>
        <w:rPr>
          <w:rFonts w:ascii="Arial Narrow" w:hAnsi="Arial Narrow"/>
          <w:b/>
          <w:u w:val="single"/>
        </w:rPr>
      </w:pPr>
    </w:p>
    <w:p w:rsidR="005B6E42" w:rsidRDefault="005B6E42" w:rsidP="00E50D78">
      <w:pPr>
        <w:jc w:val="both"/>
        <w:rPr>
          <w:rFonts w:ascii="Arial Narrow" w:hAnsi="Arial Narrow"/>
          <w:b/>
          <w:u w:val="single"/>
        </w:rPr>
      </w:pPr>
    </w:p>
    <w:p w:rsidR="00045DD6" w:rsidRDefault="00045DD6" w:rsidP="00E50D78">
      <w:pPr>
        <w:jc w:val="both"/>
        <w:rPr>
          <w:rFonts w:ascii="Arial Narrow" w:hAnsi="Arial Narrow"/>
          <w:b/>
          <w:u w:val="single"/>
        </w:rPr>
      </w:pPr>
    </w:p>
    <w:p w:rsidR="00E50D78" w:rsidRPr="00E50D78" w:rsidRDefault="005B6E42" w:rsidP="00E50D78">
      <w:pPr>
        <w:jc w:val="both"/>
        <w:rPr>
          <w:rFonts w:ascii="Arial Narrow" w:hAnsi="Arial Narrow"/>
          <w:b/>
          <w:u w:val="single"/>
        </w:rPr>
      </w:pPr>
      <w:r>
        <w:rPr>
          <w:rFonts w:ascii="Arial Narrow" w:hAnsi="Arial Narrow"/>
          <w:b/>
          <w:u w:val="single"/>
        </w:rPr>
        <w:t xml:space="preserve">ΙΙ) </w:t>
      </w:r>
      <w:r w:rsidR="00E50D78" w:rsidRPr="00E50D78">
        <w:rPr>
          <w:rFonts w:ascii="Arial Narrow" w:hAnsi="Arial Narrow"/>
          <w:b/>
          <w:u w:val="single"/>
        </w:rPr>
        <w:t>Υγεία- Ασφαλιστική κάλυψη</w:t>
      </w:r>
    </w:p>
    <w:p w:rsidR="00E50D78" w:rsidRPr="00E50D78" w:rsidRDefault="00E50D78" w:rsidP="00E50D78">
      <w:pPr>
        <w:jc w:val="both"/>
        <w:rPr>
          <w:rFonts w:ascii="Arial Narrow" w:hAnsi="Arial Narrow"/>
        </w:rPr>
      </w:pPr>
    </w:p>
    <w:p w:rsidR="00D87EE8" w:rsidRDefault="00D87EE8" w:rsidP="00E50D78">
      <w:pPr>
        <w:pStyle w:val="aa"/>
        <w:numPr>
          <w:ilvl w:val="0"/>
          <w:numId w:val="10"/>
        </w:numPr>
        <w:jc w:val="both"/>
        <w:rPr>
          <w:rFonts w:ascii="Arial Narrow" w:hAnsi="Arial Narrow"/>
        </w:rPr>
      </w:pPr>
      <w:r>
        <w:rPr>
          <w:rFonts w:ascii="Arial Narrow" w:hAnsi="Arial Narrow"/>
        </w:rPr>
        <w:t>Σύμφωνα με τα στοιχεία της έρευνας, από</w:t>
      </w:r>
      <w:r w:rsidR="005A1617">
        <w:rPr>
          <w:rFonts w:ascii="Arial Narrow" w:hAnsi="Arial Narrow"/>
        </w:rPr>
        <w:t xml:space="preserve"> το σύνολο</w:t>
      </w:r>
      <w:r>
        <w:rPr>
          <w:rFonts w:ascii="Arial Narrow" w:hAnsi="Arial Narrow"/>
        </w:rPr>
        <w:t xml:space="preserve"> </w:t>
      </w:r>
      <w:r w:rsidR="005A1617">
        <w:rPr>
          <w:rFonts w:ascii="Arial Narrow" w:hAnsi="Arial Narrow"/>
        </w:rPr>
        <w:t>των</w:t>
      </w:r>
      <w:r>
        <w:rPr>
          <w:rFonts w:ascii="Arial Narrow" w:hAnsi="Arial Narrow"/>
        </w:rPr>
        <w:t xml:space="preserve"> χρ</w:t>
      </w:r>
      <w:r w:rsidR="005A1617">
        <w:rPr>
          <w:rFonts w:ascii="Arial Narrow" w:hAnsi="Arial Narrow"/>
        </w:rPr>
        <w:t>ηστών</w:t>
      </w:r>
      <w:r>
        <w:rPr>
          <w:rFonts w:ascii="Arial Narrow" w:hAnsi="Arial Narrow"/>
        </w:rPr>
        <w:t xml:space="preserve"> υπηρεσιών υγείας το 2013, 2 στους 3 χρησιμοποίησαν τις υφιστάμενες δημόσιες δομές υγείας για την ιατροφαρμακευτική τους περίθαλψη (ΕΣΥ και ΕΟΠΥΥ)</w:t>
      </w:r>
      <w:r w:rsidR="005A1617">
        <w:rPr>
          <w:rFonts w:ascii="Arial Narrow" w:hAnsi="Arial Narrow"/>
        </w:rPr>
        <w:t>.</w:t>
      </w:r>
    </w:p>
    <w:p w:rsidR="005E5E03" w:rsidRPr="0000414F" w:rsidRDefault="00E50D78" w:rsidP="00A70CFC">
      <w:pPr>
        <w:pStyle w:val="aa"/>
        <w:numPr>
          <w:ilvl w:val="0"/>
          <w:numId w:val="10"/>
        </w:numPr>
        <w:jc w:val="both"/>
        <w:rPr>
          <w:rFonts w:ascii="Arial Narrow" w:hAnsi="Arial Narrow"/>
        </w:rPr>
      </w:pPr>
      <w:r w:rsidRPr="00E50D78">
        <w:rPr>
          <w:rFonts w:ascii="Arial Narrow" w:hAnsi="Arial Narrow"/>
        </w:rPr>
        <w:t>Θετικό στοιχείο είναι η διατήρηση της εμπιστοσύνης που έχουν τα νοικοκυριά στο δημόσιο σύστημα υγείας, καθώς το 55,8% θα έδειχνε περισσότερη εμπιστοσύνη στο δημόσιο νοσοκομείο για την αντιμετώπιση κάποιου σοβαρού προβλήματος, έναντι 34,2% που θα προτιμούσε το ιδιωτικό</w:t>
      </w:r>
      <w:r w:rsidR="005A1617">
        <w:rPr>
          <w:rFonts w:ascii="Arial Narrow" w:hAnsi="Arial Narrow"/>
        </w:rPr>
        <w:t xml:space="preserve"> (πίνακας 9)</w:t>
      </w:r>
      <w:r w:rsidRPr="00E50D78">
        <w:rPr>
          <w:rFonts w:ascii="Arial Narrow" w:hAnsi="Arial Narrow"/>
        </w:rPr>
        <w:t>. Οι πολιτικές υγείας που ασκούνται θα πρέπει να λαμβάνουν υπόψη τους το συγκεκριμένο δεδομένο, καθώς είναι πολύ πιθανό οι χρήστες των δημόσιων υπηρεσιών υγείας να αλλάξουν προτιμήσεις αν δεν εξομαλυνθεί διοικητικά και πολιτικά η κατάσταση στα δημόσια νοσοκομεία.</w:t>
      </w:r>
    </w:p>
    <w:p w:rsidR="005E5E03" w:rsidRPr="005A1617" w:rsidRDefault="005A1617" w:rsidP="005A1617">
      <w:pPr>
        <w:rPr>
          <w:rFonts w:ascii="Arial Narrow" w:hAnsi="Arial Narrow"/>
          <w:b/>
          <w:u w:val="single"/>
        </w:rPr>
      </w:pPr>
      <w:r w:rsidRPr="005A1617">
        <w:rPr>
          <w:rFonts w:ascii="Arial Narrow" w:hAnsi="Arial Narrow"/>
          <w:b/>
          <w:u w:val="single"/>
        </w:rPr>
        <w:t>Πίνακας 9- Εμπιστοσύνη στο δημόσιο σύστημα υγείας</w:t>
      </w:r>
    </w:p>
    <w:p w:rsidR="005E5E03" w:rsidRDefault="005A1617" w:rsidP="000B6DF9">
      <w:pPr>
        <w:jc w:val="center"/>
        <w:rPr>
          <w:b/>
        </w:rPr>
      </w:pPr>
      <w:r>
        <w:rPr>
          <w:b/>
          <w:noProof/>
        </w:rPr>
        <w:drawing>
          <wp:anchor distT="0" distB="0" distL="114300" distR="114300" simplePos="0" relativeHeight="251673088" behindDoc="0" locked="0" layoutInCell="1" allowOverlap="1">
            <wp:simplePos x="0" y="0"/>
            <wp:positionH relativeFrom="column">
              <wp:posOffset>370206</wp:posOffset>
            </wp:positionH>
            <wp:positionV relativeFrom="paragraph">
              <wp:posOffset>3175</wp:posOffset>
            </wp:positionV>
            <wp:extent cx="5238750" cy="2393920"/>
            <wp:effectExtent l="0" t="0" r="0" b="0"/>
            <wp:wrapNone/>
            <wp:docPr id="19" name="Objec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p>
    <w:p w:rsidR="005E5E03" w:rsidRDefault="005E5E03" w:rsidP="00FC3918">
      <w:pPr>
        <w:ind w:left="720"/>
        <w:jc w:val="both"/>
        <w:rPr>
          <w:rFonts w:ascii="Arial Narrow" w:hAnsi="Arial Narrow"/>
        </w:rPr>
      </w:pPr>
    </w:p>
    <w:p w:rsidR="005E5E03" w:rsidRDefault="005E5E03" w:rsidP="00210C41">
      <w:pPr>
        <w:ind w:left="720"/>
        <w:jc w:val="both"/>
        <w:rPr>
          <w:rFonts w:ascii="Arial Narrow" w:hAnsi="Arial Narrow"/>
        </w:rPr>
      </w:pPr>
    </w:p>
    <w:p w:rsidR="005E5E03" w:rsidRDefault="005E5E03" w:rsidP="00210C41">
      <w:pPr>
        <w:ind w:left="720"/>
        <w:jc w:val="both"/>
        <w:rPr>
          <w:rFonts w:ascii="Arial Narrow" w:hAnsi="Arial Narrow"/>
          <w:b/>
          <w:u w:val="single"/>
        </w:rPr>
      </w:pPr>
    </w:p>
    <w:p w:rsidR="005E5E03" w:rsidRDefault="005E5E03" w:rsidP="00210C41">
      <w:pPr>
        <w:ind w:left="720"/>
        <w:jc w:val="both"/>
        <w:rPr>
          <w:rFonts w:ascii="Arial Narrow" w:hAnsi="Arial Narrow"/>
          <w:b/>
          <w:u w:val="single"/>
        </w:rPr>
      </w:pPr>
    </w:p>
    <w:p w:rsidR="005E5E03" w:rsidRDefault="005E5E03" w:rsidP="00210C41">
      <w:pPr>
        <w:ind w:left="720"/>
        <w:jc w:val="both"/>
        <w:rPr>
          <w:rFonts w:ascii="Arial Narrow" w:hAnsi="Arial Narrow"/>
          <w:b/>
          <w:u w:val="single"/>
        </w:rPr>
      </w:pPr>
    </w:p>
    <w:p w:rsidR="005E5E03" w:rsidRDefault="005E5E03" w:rsidP="00210C41">
      <w:pPr>
        <w:ind w:left="720"/>
        <w:jc w:val="both"/>
        <w:rPr>
          <w:rFonts w:ascii="Arial Narrow" w:hAnsi="Arial Narrow"/>
          <w:b/>
          <w:u w:val="single"/>
        </w:rPr>
      </w:pPr>
    </w:p>
    <w:p w:rsidR="005E5E03" w:rsidRDefault="005E5E03" w:rsidP="00210C41">
      <w:pPr>
        <w:ind w:left="720"/>
        <w:jc w:val="both"/>
        <w:rPr>
          <w:rFonts w:ascii="Arial Narrow" w:hAnsi="Arial Narrow"/>
          <w:b/>
          <w:u w:val="single"/>
        </w:rPr>
      </w:pPr>
    </w:p>
    <w:p w:rsidR="005E5E03" w:rsidRDefault="005E5E03" w:rsidP="00210C41">
      <w:pPr>
        <w:ind w:left="720"/>
        <w:jc w:val="both"/>
        <w:rPr>
          <w:rFonts w:ascii="Arial Narrow" w:hAnsi="Arial Narrow"/>
          <w:b/>
          <w:u w:val="single"/>
        </w:rPr>
      </w:pPr>
    </w:p>
    <w:p w:rsidR="005E5E03" w:rsidRDefault="005E5E03" w:rsidP="00210C41">
      <w:pPr>
        <w:jc w:val="both"/>
        <w:rPr>
          <w:rFonts w:ascii="Arial Narrow" w:hAnsi="Arial Narrow"/>
        </w:rPr>
      </w:pPr>
    </w:p>
    <w:p w:rsidR="005E5E03" w:rsidRDefault="005E5E03" w:rsidP="00210C41">
      <w:pPr>
        <w:ind w:left="720"/>
        <w:jc w:val="both"/>
        <w:rPr>
          <w:rFonts w:ascii="Arial Narrow" w:hAnsi="Arial Narrow"/>
        </w:rPr>
      </w:pPr>
    </w:p>
    <w:p w:rsidR="005E5E03" w:rsidRDefault="005E5E03" w:rsidP="00210C41">
      <w:pPr>
        <w:ind w:left="720"/>
        <w:jc w:val="both"/>
        <w:rPr>
          <w:rFonts w:ascii="Arial Narrow" w:hAnsi="Arial Narrow"/>
        </w:rPr>
      </w:pPr>
    </w:p>
    <w:p w:rsidR="005E5E03" w:rsidRDefault="005E5E03" w:rsidP="00210C41">
      <w:pPr>
        <w:ind w:left="720"/>
        <w:jc w:val="both"/>
        <w:rPr>
          <w:rFonts w:ascii="Arial Narrow" w:hAnsi="Arial Narrow"/>
        </w:rPr>
      </w:pPr>
    </w:p>
    <w:p w:rsidR="005E5E03" w:rsidRPr="00C40DD8" w:rsidRDefault="005A1617" w:rsidP="0000414F">
      <w:pPr>
        <w:jc w:val="both"/>
        <w:rPr>
          <w:rFonts w:ascii="Arial Narrow" w:hAnsi="Arial Narrow"/>
          <w:b/>
          <w:u w:val="single"/>
        </w:rPr>
      </w:pPr>
      <w:r w:rsidRPr="00C40DD8">
        <w:rPr>
          <w:rFonts w:ascii="Arial Narrow" w:hAnsi="Arial Narrow"/>
          <w:b/>
          <w:u w:val="single"/>
        </w:rPr>
        <w:t>ΣΥΜΠΕΡΑΣΜΑΤΑ</w:t>
      </w:r>
    </w:p>
    <w:p w:rsidR="00C40DD8" w:rsidRDefault="00C40DD8" w:rsidP="00C40DD8">
      <w:pPr>
        <w:pStyle w:val="Web"/>
        <w:spacing w:before="0" w:beforeAutospacing="0" w:after="0" w:afterAutospacing="0"/>
        <w:jc w:val="both"/>
        <w:rPr>
          <w:rFonts w:ascii="Arial Narrow" w:hAnsi="Arial Narrow"/>
          <w:u w:val="single"/>
        </w:rPr>
      </w:pPr>
    </w:p>
    <w:p w:rsidR="005A1617" w:rsidRPr="005F2D28" w:rsidRDefault="00573646" w:rsidP="00C40DD8">
      <w:pPr>
        <w:pStyle w:val="Web"/>
        <w:spacing w:before="0" w:beforeAutospacing="0" w:after="0" w:afterAutospacing="0"/>
        <w:jc w:val="both"/>
        <w:rPr>
          <w:rFonts w:ascii="Arial Narrow" w:hAnsi="Arial Narrow"/>
        </w:rPr>
      </w:pPr>
      <w:r>
        <w:rPr>
          <w:rFonts w:ascii="Arial Narrow" w:hAnsi="Arial Narrow"/>
        </w:rPr>
        <w:t>Από τ</w:t>
      </w:r>
      <w:r w:rsidR="005A1617" w:rsidRPr="005A1617">
        <w:rPr>
          <w:rFonts w:ascii="Arial Narrow" w:hAnsi="Arial Narrow"/>
        </w:rPr>
        <w:t>α αποτε</w:t>
      </w:r>
      <w:r w:rsidR="00A70CFC">
        <w:rPr>
          <w:rFonts w:ascii="Arial Narrow" w:hAnsi="Arial Narrow"/>
        </w:rPr>
        <w:t>λέσματα της έρευνας εισοδήματος</w:t>
      </w:r>
      <w:r w:rsidR="005A1617" w:rsidRPr="005A1617">
        <w:rPr>
          <w:rFonts w:ascii="Arial Narrow" w:hAnsi="Arial Narrow"/>
        </w:rPr>
        <w:t xml:space="preserve"> 2013 του ΙΜΕ-ΓΣΕΒΕΕ προκύπτει με σαφήνεια μια τάση υποβάθμισης των καταναλωτικών συνηθειών, του  επιπέδου διαβίωσης και της ποιότητας ζωής </w:t>
      </w:r>
      <w:r w:rsidR="005A1617">
        <w:rPr>
          <w:rFonts w:ascii="Arial Narrow" w:hAnsi="Arial Narrow"/>
        </w:rPr>
        <w:t>των</w:t>
      </w:r>
      <w:r w:rsidR="005A1617" w:rsidRPr="005A1617">
        <w:rPr>
          <w:rFonts w:ascii="Arial Narrow" w:hAnsi="Arial Narrow"/>
        </w:rPr>
        <w:t xml:space="preserve"> </w:t>
      </w:r>
      <w:r w:rsidR="005A1617">
        <w:rPr>
          <w:rFonts w:ascii="Arial Narrow" w:hAnsi="Arial Narrow"/>
        </w:rPr>
        <w:t>νοικοκ</w:t>
      </w:r>
      <w:r w:rsidR="005A1617" w:rsidRPr="005A1617">
        <w:rPr>
          <w:rFonts w:ascii="Arial Narrow" w:hAnsi="Arial Narrow"/>
        </w:rPr>
        <w:t xml:space="preserve">υριών, και αναδεικνύεται παράλληλα η αυξανόμενη ανασφάλεια που έχουν τα νοικοκυριά για τη δυνατότητά τους να αντεπεξέλθουν στις οικονομικές υποχρεώσεις τους αλλά και να συντηρήσουν τα περιουσιακά τους στοιχεία. </w:t>
      </w:r>
    </w:p>
    <w:p w:rsidR="00C40DD8" w:rsidRDefault="00C40DD8" w:rsidP="00C40DD8">
      <w:pPr>
        <w:pStyle w:val="Web"/>
        <w:spacing w:before="0" w:beforeAutospacing="0" w:after="0" w:afterAutospacing="0"/>
        <w:jc w:val="both"/>
        <w:rPr>
          <w:rFonts w:ascii="Arial Narrow" w:hAnsi="Arial Narrow"/>
        </w:rPr>
      </w:pPr>
    </w:p>
    <w:p w:rsidR="005A1617" w:rsidRPr="005F2D28" w:rsidRDefault="005A1617" w:rsidP="00C40DD8">
      <w:pPr>
        <w:pStyle w:val="Web"/>
        <w:spacing w:before="0" w:beforeAutospacing="0" w:after="0" w:afterAutospacing="0"/>
        <w:jc w:val="both"/>
        <w:rPr>
          <w:rFonts w:ascii="Arial Narrow" w:hAnsi="Arial Narrow"/>
        </w:rPr>
      </w:pPr>
      <w:r>
        <w:rPr>
          <w:rFonts w:ascii="Arial Narrow" w:hAnsi="Arial Narrow"/>
        </w:rPr>
        <w:t xml:space="preserve">Επιβεβαιώνονται για άλλη μια φορά οι θέσεις της ΓΣΕΒΕΕ </w:t>
      </w:r>
      <w:r w:rsidRPr="002237D2">
        <w:rPr>
          <w:rFonts w:ascii="Arial Narrow" w:hAnsi="Arial Narrow"/>
        </w:rPr>
        <w:t xml:space="preserve">όσον αφορά τις συνέπειες της </w:t>
      </w:r>
      <w:r>
        <w:rPr>
          <w:rFonts w:ascii="Arial Narrow" w:hAnsi="Arial Narrow"/>
        </w:rPr>
        <w:t xml:space="preserve">σκληρής </w:t>
      </w:r>
      <w:r w:rsidRPr="002237D2">
        <w:rPr>
          <w:rFonts w:ascii="Arial Narrow" w:hAnsi="Arial Narrow"/>
        </w:rPr>
        <w:t>περιοριστικής πολιτικής</w:t>
      </w:r>
      <w:r>
        <w:rPr>
          <w:rFonts w:ascii="Arial Narrow" w:hAnsi="Arial Narrow"/>
        </w:rPr>
        <w:t xml:space="preserve"> και της διαδικασίας εσωτερικής υποτίμησης</w:t>
      </w:r>
      <w:r w:rsidRPr="002237D2">
        <w:rPr>
          <w:rFonts w:ascii="Arial Narrow" w:hAnsi="Arial Narrow"/>
        </w:rPr>
        <w:t xml:space="preserve"> που εφαρμόζεται, και που προκαλεί </w:t>
      </w:r>
      <w:r w:rsidRPr="002237D2">
        <w:rPr>
          <w:rFonts w:ascii="Arial Narrow" w:hAnsi="Arial Narrow"/>
          <w:b/>
        </w:rPr>
        <w:t>αλυσιδωτές επιπτώσεις</w:t>
      </w:r>
      <w:r w:rsidRPr="002237D2">
        <w:rPr>
          <w:rFonts w:ascii="Arial Narrow" w:hAnsi="Arial Narrow"/>
        </w:rPr>
        <w:t xml:space="preserve"> στη παραγωγή, τη</w:t>
      </w:r>
      <w:r>
        <w:rPr>
          <w:rFonts w:ascii="Arial Narrow" w:hAnsi="Arial Narrow"/>
        </w:rPr>
        <w:t>ν</w:t>
      </w:r>
      <w:r w:rsidRPr="002237D2">
        <w:rPr>
          <w:rFonts w:ascii="Arial Narrow" w:hAnsi="Arial Narrow"/>
        </w:rPr>
        <w:t xml:space="preserve"> κατανάλωση, τη</w:t>
      </w:r>
      <w:r>
        <w:rPr>
          <w:rFonts w:ascii="Arial Narrow" w:hAnsi="Arial Narrow"/>
        </w:rPr>
        <w:t xml:space="preserve">ν επιχειρηματική δραστηριότητα, και </w:t>
      </w:r>
      <w:r w:rsidRPr="002237D2">
        <w:rPr>
          <w:rFonts w:ascii="Arial Narrow" w:hAnsi="Arial Narrow"/>
        </w:rPr>
        <w:t>την απασχόληση.</w:t>
      </w:r>
      <w:r>
        <w:rPr>
          <w:rFonts w:ascii="Arial Narrow" w:hAnsi="Arial Narrow"/>
        </w:rPr>
        <w:t xml:space="preserve">  Μάλιστα, οι πρόσφατες ρυθμίσεις για την κτηματαγορά θα επιβαρύνουν περαιτέρω το επενδυτικό προφίλ των περιουσιακών στοιχείων του δημοσίου και θα επιδράσουν αρνητικά στα έσοδα από ιδιωτικοποιήσεις. </w:t>
      </w:r>
    </w:p>
    <w:p w:rsidR="00C40DD8" w:rsidRDefault="00C40DD8" w:rsidP="00C40DD8">
      <w:pPr>
        <w:pStyle w:val="Web"/>
        <w:spacing w:before="0" w:beforeAutospacing="0" w:after="0" w:afterAutospacing="0"/>
        <w:jc w:val="both"/>
        <w:rPr>
          <w:rFonts w:ascii="Arial Narrow" w:hAnsi="Arial Narrow"/>
        </w:rPr>
      </w:pPr>
    </w:p>
    <w:p w:rsidR="005E5E03" w:rsidRPr="005F2D28" w:rsidRDefault="005A1617" w:rsidP="00C40DD8">
      <w:pPr>
        <w:pStyle w:val="Web"/>
        <w:spacing w:before="0" w:beforeAutospacing="0" w:after="0" w:afterAutospacing="0"/>
        <w:jc w:val="both"/>
        <w:rPr>
          <w:rFonts w:ascii="Arial Narrow" w:hAnsi="Arial Narrow"/>
        </w:rPr>
      </w:pPr>
      <w:r w:rsidRPr="00812A73">
        <w:rPr>
          <w:rFonts w:ascii="Arial Narrow" w:hAnsi="Arial Narrow"/>
        </w:rPr>
        <w:t>Τα στοιχεία αποτυπώνουν με το πιο παραστατικό τρόπο ότι τα ελληνικά νοικοκυριά, όχι μόνο αντιμετωπίζουν ήδη μεγάλες δυσκολίες, αλλά και ότι δεν θα αντέξουν σε επιπλέον επιβαρύνσεις</w:t>
      </w:r>
      <w:r>
        <w:rPr>
          <w:rFonts w:ascii="Arial Narrow" w:hAnsi="Arial Narrow"/>
        </w:rPr>
        <w:t xml:space="preserve">. </w:t>
      </w:r>
      <w:r w:rsidRPr="005A1617">
        <w:rPr>
          <w:rFonts w:ascii="Arial Narrow" w:hAnsi="Arial Narrow"/>
        </w:rPr>
        <w:t>Οι νομοθετικές ρυθμίσεις για τη μερική άρση των πλειστηριασμών, το φόρο ακινήτων και τις κατασχέσεις καταθέσεων έχουν τροφοδοτήσει ένα διαλυτικό κύμα ανασφάλειας που τροφοδοτεί εκ νέου την ύφεση, την αποφυγή ρίσκου και επενδυτικών πρωτοβουλιών, ενώ συντηρείται με αυτόν τον τρόπο το υψηλότατο επίπεδο ανεργίας</w:t>
      </w:r>
      <w:r>
        <w:rPr>
          <w:rFonts w:ascii="Arial Narrow" w:hAnsi="Arial Narrow"/>
          <w:b/>
        </w:rPr>
        <w:t xml:space="preserve">. </w:t>
      </w:r>
    </w:p>
    <w:p w:rsidR="00C40DD8" w:rsidRDefault="00C40DD8" w:rsidP="00C41D0F">
      <w:pPr>
        <w:jc w:val="both"/>
        <w:rPr>
          <w:rFonts w:ascii="Arial Narrow" w:hAnsi="Arial Narrow"/>
        </w:rPr>
      </w:pPr>
    </w:p>
    <w:p w:rsidR="005E5E03" w:rsidRPr="00812A73" w:rsidRDefault="005A1617" w:rsidP="00C41D0F">
      <w:pPr>
        <w:jc w:val="both"/>
        <w:rPr>
          <w:rFonts w:ascii="Arial Narrow" w:hAnsi="Arial Narrow"/>
        </w:rPr>
      </w:pPr>
      <w:r>
        <w:rPr>
          <w:rFonts w:ascii="Arial Narrow" w:hAnsi="Arial Narrow"/>
        </w:rPr>
        <w:t>Σήμερα είναι επιτακτική, όσο ποτέ άλλοτε η προώθηση οικονομικών πολιτικών που θα τονώσουν την οικονομία</w:t>
      </w:r>
      <w:r w:rsidR="00A70CFC">
        <w:rPr>
          <w:rFonts w:ascii="Arial Narrow" w:hAnsi="Arial Narrow"/>
        </w:rPr>
        <w:t xml:space="preserve"> και το εισόδημα των νοικοκυριών</w:t>
      </w:r>
      <w:r>
        <w:rPr>
          <w:rFonts w:ascii="Arial Narrow" w:hAnsi="Arial Narrow"/>
        </w:rPr>
        <w:t>,</w:t>
      </w:r>
      <w:r w:rsidR="00A70CFC">
        <w:rPr>
          <w:rFonts w:ascii="Arial Narrow" w:hAnsi="Arial Narrow"/>
        </w:rPr>
        <w:t xml:space="preserve"> όπως είναι η χρηματοδότηση δράσεων για τις μικρομεσαίες επιχειρήσεις και η</w:t>
      </w:r>
      <w:r>
        <w:rPr>
          <w:rFonts w:ascii="Arial Narrow" w:hAnsi="Arial Narrow"/>
        </w:rPr>
        <w:t xml:space="preserve"> πολιτική ενίσχυσης της υποκατάστασης ζήτησης που καλύπτεται </w:t>
      </w:r>
      <w:r w:rsidR="00A70CFC">
        <w:rPr>
          <w:rFonts w:ascii="Arial Narrow" w:hAnsi="Arial Narrow"/>
        </w:rPr>
        <w:t xml:space="preserve">σήμερα </w:t>
      </w:r>
      <w:r>
        <w:rPr>
          <w:rFonts w:ascii="Arial Narrow" w:hAnsi="Arial Narrow"/>
        </w:rPr>
        <w:t>με εισαγωγές</w:t>
      </w:r>
      <w:r w:rsidR="00A70CFC">
        <w:rPr>
          <w:rFonts w:ascii="Arial Narrow" w:hAnsi="Arial Narrow"/>
        </w:rPr>
        <w:t xml:space="preserve">. Η φορολογική δικαιοσύνη, η μείωση της ανεργίας και η συνακόλουθη άμβλυνση της οικονομικής ανασφάλειας πρέπει να αποτελέσουν προτεραιότητες της οικονομικής πολιτικής, μετά από μια μακρά περίοδο αυστηρής και αναποτελεσματικής λιτότητας και περιορισμού της λειτουργίας των οικονομικών θεσμών.  </w:t>
      </w:r>
    </w:p>
    <w:p w:rsidR="005F2D28" w:rsidRPr="00573646" w:rsidRDefault="005F2D28" w:rsidP="00301707">
      <w:pPr>
        <w:jc w:val="center"/>
        <w:rPr>
          <w:rFonts w:ascii="Arial Narrow" w:hAnsi="Arial Narrow"/>
        </w:rPr>
      </w:pPr>
    </w:p>
    <w:p w:rsidR="005F2D28" w:rsidRPr="009D364A" w:rsidRDefault="005E5E03" w:rsidP="00C40DD8">
      <w:pPr>
        <w:jc w:val="center"/>
        <w:rPr>
          <w:rFonts w:ascii="Arial Narrow" w:hAnsi="Arial Narrow"/>
        </w:rPr>
      </w:pPr>
      <w:r>
        <w:rPr>
          <w:rFonts w:ascii="Arial Narrow" w:hAnsi="Arial Narrow"/>
        </w:rPr>
        <w:t>Ο Πρόεδρος του Δ.Σ.</w:t>
      </w:r>
    </w:p>
    <w:p w:rsidR="005E5E03" w:rsidRPr="00700817" w:rsidRDefault="005A1617" w:rsidP="00700817">
      <w:pPr>
        <w:jc w:val="center"/>
        <w:rPr>
          <w:rFonts w:ascii="Arial Narrow" w:hAnsi="Arial Narrow"/>
        </w:rPr>
      </w:pPr>
      <w:r>
        <w:rPr>
          <w:rFonts w:ascii="Arial Narrow" w:hAnsi="Arial Narrow"/>
        </w:rPr>
        <w:t>Γιώργος Καββαθάς</w:t>
      </w:r>
    </w:p>
    <w:sectPr w:rsidR="005E5E03" w:rsidRPr="00700817" w:rsidSect="009B1197">
      <w:footerReference w:type="even" r:id="rId20"/>
      <w:footerReference w:type="default" r:id="rId21"/>
      <w:pgSz w:w="11906" w:h="16838"/>
      <w:pgMar w:top="510" w:right="924" w:bottom="675" w:left="902" w:header="709" w:footer="930"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73DD" w:rsidRDefault="00F273DD">
      <w:r>
        <w:separator/>
      </w:r>
    </w:p>
  </w:endnote>
  <w:endnote w:type="continuationSeparator" w:id="1">
    <w:p w:rsidR="00F273DD" w:rsidRDefault="00F273DD">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506020202030204"/>
    <w:charset w:val="A1"/>
    <w:family w:val="swiss"/>
    <w:pitch w:val="variable"/>
    <w:sig w:usb0="00000287" w:usb1="00000800"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 w:name="Baskerville">
    <w:altName w:val="Courier New"/>
    <w:charset w:val="00"/>
    <w:family w:val="auto"/>
    <w:pitch w:val="variable"/>
    <w:sig w:usb0="03000000" w:usb1="00000000" w:usb2="00000000" w:usb3="00000000" w:csb0="00000001" w:csb1="00000000"/>
  </w:font>
  <w:font w:name="Tahoma">
    <w:panose1 w:val="020B0604030504040204"/>
    <w:charset w:val="A1"/>
    <w:family w:val="swiss"/>
    <w:pitch w:val="variable"/>
    <w:sig w:usb0="61002A87" w:usb1="80000000" w:usb2="00000008" w:usb3="00000000" w:csb0="000101FF" w:csb1="00000000"/>
  </w:font>
  <w:font w:name="Trebuchet MS">
    <w:panose1 w:val="020B0603020202020204"/>
    <w:charset w:val="A1"/>
    <w:family w:val="swiss"/>
    <w:pitch w:val="variable"/>
    <w:sig w:usb0="00000287" w:usb1="00000000" w:usb2="00000000" w:usb3="00000000" w:csb0="0000009F" w:csb1="00000000"/>
  </w:font>
  <w:font w:name="Century Gothic">
    <w:panose1 w:val="020B0502020202020204"/>
    <w:charset w:val="A1"/>
    <w:family w:val="swiss"/>
    <w:pitch w:val="variable"/>
    <w:sig w:usb0="00000287" w:usb1="00000000" w:usb2="00000000" w:usb3="00000000" w:csb0="0000009F" w:csb1="00000000"/>
  </w:font>
  <w:font w:name="Calibri">
    <w:panose1 w:val="020F0502020204030204"/>
    <w:charset w:val="A1"/>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617" w:rsidRDefault="003F044E" w:rsidP="006C6D36">
    <w:pPr>
      <w:pStyle w:val="a5"/>
      <w:framePr w:wrap="around" w:vAnchor="text" w:hAnchor="margin" w:xAlign="right" w:y="1"/>
      <w:rPr>
        <w:rStyle w:val="a9"/>
      </w:rPr>
    </w:pPr>
    <w:r>
      <w:rPr>
        <w:rStyle w:val="a9"/>
      </w:rPr>
      <w:fldChar w:fldCharType="begin"/>
    </w:r>
    <w:r w:rsidR="005A1617">
      <w:rPr>
        <w:rStyle w:val="a9"/>
      </w:rPr>
      <w:instrText xml:space="preserve">PAGE  </w:instrText>
    </w:r>
    <w:r>
      <w:rPr>
        <w:rStyle w:val="a9"/>
      </w:rPr>
      <w:fldChar w:fldCharType="end"/>
    </w:r>
  </w:p>
  <w:p w:rsidR="005A1617" w:rsidRDefault="005A1617" w:rsidP="000978F2">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617" w:rsidRDefault="003F044E" w:rsidP="006C6D36">
    <w:pPr>
      <w:pStyle w:val="a5"/>
      <w:framePr w:wrap="around" w:vAnchor="text" w:hAnchor="margin" w:xAlign="right" w:y="1"/>
      <w:rPr>
        <w:rStyle w:val="a9"/>
      </w:rPr>
    </w:pPr>
    <w:r>
      <w:rPr>
        <w:rStyle w:val="a9"/>
      </w:rPr>
      <w:fldChar w:fldCharType="begin"/>
    </w:r>
    <w:r w:rsidR="005A1617">
      <w:rPr>
        <w:rStyle w:val="a9"/>
      </w:rPr>
      <w:instrText xml:space="preserve">PAGE  </w:instrText>
    </w:r>
    <w:r>
      <w:rPr>
        <w:rStyle w:val="a9"/>
      </w:rPr>
      <w:fldChar w:fldCharType="separate"/>
    </w:r>
    <w:r w:rsidR="00742A44">
      <w:rPr>
        <w:rStyle w:val="a9"/>
        <w:noProof/>
      </w:rPr>
      <w:t>5</w:t>
    </w:r>
    <w:r>
      <w:rPr>
        <w:rStyle w:val="a9"/>
      </w:rPr>
      <w:fldChar w:fldCharType="end"/>
    </w:r>
  </w:p>
  <w:p w:rsidR="005A1617" w:rsidRDefault="005A1617" w:rsidP="0084174B">
    <w:pPr>
      <w:pStyle w:val="a5"/>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73DD" w:rsidRDefault="00F273DD">
      <w:r>
        <w:separator/>
      </w:r>
    </w:p>
  </w:footnote>
  <w:footnote w:type="continuationSeparator" w:id="1">
    <w:p w:rsidR="00F273DD" w:rsidRDefault="00F273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930DD"/>
    <w:multiLevelType w:val="hybridMultilevel"/>
    <w:tmpl w:val="1AE88DFA"/>
    <w:lvl w:ilvl="0" w:tplc="9F0C1814">
      <w:start w:val="4"/>
      <w:numFmt w:val="bullet"/>
      <w:lvlText w:val="-"/>
      <w:lvlJc w:val="left"/>
      <w:pPr>
        <w:ind w:left="720" w:hanging="360"/>
      </w:pPr>
      <w:rPr>
        <w:rFonts w:ascii="Arial Narrow" w:eastAsia="Times New Roman" w:hAnsi="Arial Narrow"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EA616EF"/>
    <w:multiLevelType w:val="hybridMultilevel"/>
    <w:tmpl w:val="323804C6"/>
    <w:lvl w:ilvl="0" w:tplc="61B4D402">
      <w:start w:val="1"/>
      <w:numFmt w:val="decimal"/>
      <w:lvlText w:val="%1)"/>
      <w:lvlJc w:val="left"/>
      <w:pPr>
        <w:ind w:left="360" w:hanging="360"/>
      </w:pPr>
      <w:rPr>
        <w:rFonts w:ascii="Times New Roman" w:eastAsia="Times New Roman" w:hAnsi="Times New Roman" w:cs="Times New Roman"/>
        <w:color w:val="auto"/>
      </w:rPr>
    </w:lvl>
    <w:lvl w:ilvl="1" w:tplc="04080019" w:tentative="1">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2">
    <w:nsid w:val="1EF42DDC"/>
    <w:multiLevelType w:val="hybridMultilevel"/>
    <w:tmpl w:val="2B0CB20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nsid w:val="20661AE2"/>
    <w:multiLevelType w:val="hybridMultilevel"/>
    <w:tmpl w:val="3D622AC4"/>
    <w:lvl w:ilvl="0" w:tplc="0408000F">
      <w:start w:val="1"/>
      <w:numFmt w:val="decimal"/>
      <w:lvlText w:val="%1."/>
      <w:lvlJc w:val="left"/>
      <w:pPr>
        <w:tabs>
          <w:tab w:val="num" w:pos="360"/>
        </w:tabs>
        <w:ind w:left="360" w:hanging="360"/>
      </w:pPr>
      <w:rPr>
        <w:rFonts w:cs="Times New Roman"/>
      </w:rPr>
    </w:lvl>
    <w:lvl w:ilvl="1" w:tplc="0408000F">
      <w:start w:val="1"/>
      <w:numFmt w:val="decimal"/>
      <w:lvlText w:val="%2."/>
      <w:lvlJc w:val="left"/>
      <w:pPr>
        <w:tabs>
          <w:tab w:val="num" w:pos="360"/>
        </w:tabs>
        <w:ind w:left="360" w:hanging="360"/>
      </w:pPr>
      <w:rPr>
        <w:rFonts w:cs="Times New Roman"/>
      </w:rPr>
    </w:lvl>
    <w:lvl w:ilvl="2" w:tplc="0408001B" w:tentative="1">
      <w:start w:val="1"/>
      <w:numFmt w:val="lowerRoman"/>
      <w:lvlText w:val="%3."/>
      <w:lvlJc w:val="right"/>
      <w:pPr>
        <w:tabs>
          <w:tab w:val="num" w:pos="1800"/>
        </w:tabs>
        <w:ind w:left="1800" w:hanging="180"/>
      </w:pPr>
      <w:rPr>
        <w:rFonts w:cs="Times New Roman"/>
      </w:rPr>
    </w:lvl>
    <w:lvl w:ilvl="3" w:tplc="0408000F" w:tentative="1">
      <w:start w:val="1"/>
      <w:numFmt w:val="decimal"/>
      <w:lvlText w:val="%4."/>
      <w:lvlJc w:val="left"/>
      <w:pPr>
        <w:tabs>
          <w:tab w:val="num" w:pos="2520"/>
        </w:tabs>
        <w:ind w:left="2520" w:hanging="360"/>
      </w:pPr>
      <w:rPr>
        <w:rFonts w:cs="Times New Roman"/>
      </w:rPr>
    </w:lvl>
    <w:lvl w:ilvl="4" w:tplc="04080019" w:tentative="1">
      <w:start w:val="1"/>
      <w:numFmt w:val="lowerLetter"/>
      <w:lvlText w:val="%5."/>
      <w:lvlJc w:val="left"/>
      <w:pPr>
        <w:tabs>
          <w:tab w:val="num" w:pos="3240"/>
        </w:tabs>
        <w:ind w:left="3240" w:hanging="360"/>
      </w:pPr>
      <w:rPr>
        <w:rFonts w:cs="Times New Roman"/>
      </w:rPr>
    </w:lvl>
    <w:lvl w:ilvl="5" w:tplc="0408001B" w:tentative="1">
      <w:start w:val="1"/>
      <w:numFmt w:val="lowerRoman"/>
      <w:lvlText w:val="%6."/>
      <w:lvlJc w:val="right"/>
      <w:pPr>
        <w:tabs>
          <w:tab w:val="num" w:pos="3960"/>
        </w:tabs>
        <w:ind w:left="3960" w:hanging="180"/>
      </w:pPr>
      <w:rPr>
        <w:rFonts w:cs="Times New Roman"/>
      </w:rPr>
    </w:lvl>
    <w:lvl w:ilvl="6" w:tplc="0408000F" w:tentative="1">
      <w:start w:val="1"/>
      <w:numFmt w:val="decimal"/>
      <w:lvlText w:val="%7."/>
      <w:lvlJc w:val="left"/>
      <w:pPr>
        <w:tabs>
          <w:tab w:val="num" w:pos="4680"/>
        </w:tabs>
        <w:ind w:left="4680" w:hanging="360"/>
      </w:pPr>
      <w:rPr>
        <w:rFonts w:cs="Times New Roman"/>
      </w:rPr>
    </w:lvl>
    <w:lvl w:ilvl="7" w:tplc="04080019" w:tentative="1">
      <w:start w:val="1"/>
      <w:numFmt w:val="lowerLetter"/>
      <w:lvlText w:val="%8."/>
      <w:lvlJc w:val="left"/>
      <w:pPr>
        <w:tabs>
          <w:tab w:val="num" w:pos="5400"/>
        </w:tabs>
        <w:ind w:left="5400" w:hanging="360"/>
      </w:pPr>
      <w:rPr>
        <w:rFonts w:cs="Times New Roman"/>
      </w:rPr>
    </w:lvl>
    <w:lvl w:ilvl="8" w:tplc="0408001B" w:tentative="1">
      <w:start w:val="1"/>
      <w:numFmt w:val="lowerRoman"/>
      <w:lvlText w:val="%9."/>
      <w:lvlJc w:val="right"/>
      <w:pPr>
        <w:tabs>
          <w:tab w:val="num" w:pos="6120"/>
        </w:tabs>
        <w:ind w:left="6120" w:hanging="180"/>
      </w:pPr>
      <w:rPr>
        <w:rFonts w:cs="Times New Roman"/>
      </w:rPr>
    </w:lvl>
  </w:abstractNum>
  <w:abstractNum w:abstractNumId="4">
    <w:nsid w:val="288418F0"/>
    <w:multiLevelType w:val="hybridMultilevel"/>
    <w:tmpl w:val="A860E7BE"/>
    <w:lvl w:ilvl="0" w:tplc="F02433B0">
      <w:start w:val="1"/>
      <w:numFmt w:val="bullet"/>
      <w:lvlText w:val=""/>
      <w:lvlJc w:val="left"/>
      <w:pPr>
        <w:tabs>
          <w:tab w:val="num" w:pos="720"/>
        </w:tabs>
        <w:ind w:left="720" w:hanging="360"/>
      </w:pPr>
      <w:rPr>
        <w:rFonts w:ascii="Symbol" w:hAnsi="Symbol" w:hint="default"/>
        <w:color w:val="000000"/>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2D36275E"/>
    <w:multiLevelType w:val="hybridMultilevel"/>
    <w:tmpl w:val="04385B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4EE72FB9"/>
    <w:multiLevelType w:val="hybridMultilevel"/>
    <w:tmpl w:val="4DF63868"/>
    <w:lvl w:ilvl="0" w:tplc="61B4D402">
      <w:start w:val="1"/>
      <w:numFmt w:val="decimal"/>
      <w:lvlText w:val="%1)"/>
      <w:lvlJc w:val="left"/>
      <w:pPr>
        <w:ind w:left="360" w:hanging="360"/>
      </w:pPr>
      <w:rPr>
        <w:rFonts w:ascii="Times New Roman" w:eastAsia="Times New Roman" w:hAnsi="Times New Roman" w:cs="Times New Roman"/>
        <w:color w:val="auto"/>
      </w:rPr>
    </w:lvl>
    <w:lvl w:ilvl="1" w:tplc="04080019" w:tentative="1">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7">
    <w:nsid w:val="64711F94"/>
    <w:multiLevelType w:val="hybridMultilevel"/>
    <w:tmpl w:val="5DC013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731657D6"/>
    <w:multiLevelType w:val="hybridMultilevel"/>
    <w:tmpl w:val="DEFE74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7E3F79F3"/>
    <w:multiLevelType w:val="hybridMultilevel"/>
    <w:tmpl w:val="546AD3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 w:numId="6">
    <w:abstractNumId w:val="8"/>
  </w:num>
  <w:num w:numId="7">
    <w:abstractNumId w:val="7"/>
  </w:num>
  <w:num w:numId="8">
    <w:abstractNumId w:val="5"/>
  </w:num>
  <w:num w:numId="9">
    <w:abstractNumId w:val="6"/>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footnotePr>
    <w:footnote w:id="0"/>
    <w:footnote w:id="1"/>
  </w:footnotePr>
  <w:endnotePr>
    <w:endnote w:id="0"/>
    <w:endnote w:id="1"/>
  </w:endnotePr>
  <w:compat/>
  <w:rsids>
    <w:rsidRoot w:val="0039288D"/>
    <w:rsid w:val="0000414F"/>
    <w:rsid w:val="00004427"/>
    <w:rsid w:val="00011F15"/>
    <w:rsid w:val="00014BB6"/>
    <w:rsid w:val="00016D49"/>
    <w:rsid w:val="00024A50"/>
    <w:rsid w:val="0003277D"/>
    <w:rsid w:val="00045DD6"/>
    <w:rsid w:val="00074CF9"/>
    <w:rsid w:val="00083D03"/>
    <w:rsid w:val="000861D6"/>
    <w:rsid w:val="000978F2"/>
    <w:rsid w:val="000A65AC"/>
    <w:rsid w:val="000B6DF9"/>
    <w:rsid w:val="000C2465"/>
    <w:rsid w:val="000D41BC"/>
    <w:rsid w:val="00127847"/>
    <w:rsid w:val="00146033"/>
    <w:rsid w:val="001755E1"/>
    <w:rsid w:val="00187BC3"/>
    <w:rsid w:val="001A7964"/>
    <w:rsid w:val="001C1EF6"/>
    <w:rsid w:val="001D79E2"/>
    <w:rsid w:val="00210C41"/>
    <w:rsid w:val="00210E9B"/>
    <w:rsid w:val="00220CB1"/>
    <w:rsid w:val="00221F6F"/>
    <w:rsid w:val="002237D2"/>
    <w:rsid w:val="00224B82"/>
    <w:rsid w:val="00227C11"/>
    <w:rsid w:val="00227F1D"/>
    <w:rsid w:val="002416D9"/>
    <w:rsid w:val="00256B2E"/>
    <w:rsid w:val="00266E6E"/>
    <w:rsid w:val="002767A5"/>
    <w:rsid w:val="0028031A"/>
    <w:rsid w:val="002A3A89"/>
    <w:rsid w:val="002B29A2"/>
    <w:rsid w:val="002B3B28"/>
    <w:rsid w:val="002B5626"/>
    <w:rsid w:val="002B6141"/>
    <w:rsid w:val="002C545C"/>
    <w:rsid w:val="002D2B0A"/>
    <w:rsid w:val="002E7972"/>
    <w:rsid w:val="002F1977"/>
    <w:rsid w:val="00301707"/>
    <w:rsid w:val="00307B7A"/>
    <w:rsid w:val="00340434"/>
    <w:rsid w:val="00347C7D"/>
    <w:rsid w:val="00350E7D"/>
    <w:rsid w:val="003603F1"/>
    <w:rsid w:val="00360AB4"/>
    <w:rsid w:val="0036187A"/>
    <w:rsid w:val="00377740"/>
    <w:rsid w:val="0038239C"/>
    <w:rsid w:val="00390908"/>
    <w:rsid w:val="0039288D"/>
    <w:rsid w:val="003954BC"/>
    <w:rsid w:val="003A5289"/>
    <w:rsid w:val="003A6B6C"/>
    <w:rsid w:val="003B3210"/>
    <w:rsid w:val="003F044E"/>
    <w:rsid w:val="004254E1"/>
    <w:rsid w:val="004331E9"/>
    <w:rsid w:val="00436A77"/>
    <w:rsid w:val="0044120A"/>
    <w:rsid w:val="00443695"/>
    <w:rsid w:val="00454C67"/>
    <w:rsid w:val="004D1799"/>
    <w:rsid w:val="00506EB6"/>
    <w:rsid w:val="00520647"/>
    <w:rsid w:val="0052090A"/>
    <w:rsid w:val="00567DF0"/>
    <w:rsid w:val="00573646"/>
    <w:rsid w:val="00593DC2"/>
    <w:rsid w:val="005A0A6A"/>
    <w:rsid w:val="005A0AD0"/>
    <w:rsid w:val="005A1617"/>
    <w:rsid w:val="005B6E42"/>
    <w:rsid w:val="005D2197"/>
    <w:rsid w:val="005E5E03"/>
    <w:rsid w:val="005E7187"/>
    <w:rsid w:val="005F2D28"/>
    <w:rsid w:val="00614236"/>
    <w:rsid w:val="006216D7"/>
    <w:rsid w:val="00653592"/>
    <w:rsid w:val="00666FB3"/>
    <w:rsid w:val="00674C11"/>
    <w:rsid w:val="006C45D6"/>
    <w:rsid w:val="006C6D36"/>
    <w:rsid w:val="006E2919"/>
    <w:rsid w:val="006F1E37"/>
    <w:rsid w:val="006F23E0"/>
    <w:rsid w:val="006F77D9"/>
    <w:rsid w:val="00700817"/>
    <w:rsid w:val="007072C8"/>
    <w:rsid w:val="00712704"/>
    <w:rsid w:val="007245C5"/>
    <w:rsid w:val="0073395D"/>
    <w:rsid w:val="00733B39"/>
    <w:rsid w:val="0074291E"/>
    <w:rsid w:val="00742A44"/>
    <w:rsid w:val="00746BEC"/>
    <w:rsid w:val="00790E5F"/>
    <w:rsid w:val="00793410"/>
    <w:rsid w:val="007A3E37"/>
    <w:rsid w:val="007B2EE3"/>
    <w:rsid w:val="007B3E56"/>
    <w:rsid w:val="007B50DF"/>
    <w:rsid w:val="007C0260"/>
    <w:rsid w:val="007D36CC"/>
    <w:rsid w:val="007E0A16"/>
    <w:rsid w:val="007E5C9F"/>
    <w:rsid w:val="00805973"/>
    <w:rsid w:val="00812A73"/>
    <w:rsid w:val="00814943"/>
    <w:rsid w:val="00836994"/>
    <w:rsid w:val="0084174B"/>
    <w:rsid w:val="00847C88"/>
    <w:rsid w:val="00866E2C"/>
    <w:rsid w:val="00883FEC"/>
    <w:rsid w:val="00885862"/>
    <w:rsid w:val="00895BED"/>
    <w:rsid w:val="008B6AA5"/>
    <w:rsid w:val="008D70CA"/>
    <w:rsid w:val="008F4D7C"/>
    <w:rsid w:val="00901E57"/>
    <w:rsid w:val="00906D19"/>
    <w:rsid w:val="0091777E"/>
    <w:rsid w:val="0092191F"/>
    <w:rsid w:val="00932455"/>
    <w:rsid w:val="00932722"/>
    <w:rsid w:val="00934C4C"/>
    <w:rsid w:val="00944606"/>
    <w:rsid w:val="00945F05"/>
    <w:rsid w:val="00965F20"/>
    <w:rsid w:val="00970C0F"/>
    <w:rsid w:val="009768B4"/>
    <w:rsid w:val="00981EE8"/>
    <w:rsid w:val="009B1197"/>
    <w:rsid w:val="009C1013"/>
    <w:rsid w:val="009D364A"/>
    <w:rsid w:val="009E4A3B"/>
    <w:rsid w:val="00A00281"/>
    <w:rsid w:val="00A16EC8"/>
    <w:rsid w:val="00A37372"/>
    <w:rsid w:val="00A6106D"/>
    <w:rsid w:val="00A650AD"/>
    <w:rsid w:val="00A70CFC"/>
    <w:rsid w:val="00A71C41"/>
    <w:rsid w:val="00A81106"/>
    <w:rsid w:val="00A82D41"/>
    <w:rsid w:val="00A8555C"/>
    <w:rsid w:val="00A96B02"/>
    <w:rsid w:val="00AA1052"/>
    <w:rsid w:val="00AB6FF7"/>
    <w:rsid w:val="00AC5547"/>
    <w:rsid w:val="00AC6614"/>
    <w:rsid w:val="00AD209E"/>
    <w:rsid w:val="00AE088F"/>
    <w:rsid w:val="00AE6C30"/>
    <w:rsid w:val="00AF3511"/>
    <w:rsid w:val="00B0522A"/>
    <w:rsid w:val="00B22B9F"/>
    <w:rsid w:val="00B30AB7"/>
    <w:rsid w:val="00B31972"/>
    <w:rsid w:val="00B422CE"/>
    <w:rsid w:val="00B56FFD"/>
    <w:rsid w:val="00B87D17"/>
    <w:rsid w:val="00B90A1B"/>
    <w:rsid w:val="00BA442E"/>
    <w:rsid w:val="00BA5563"/>
    <w:rsid w:val="00C3252F"/>
    <w:rsid w:val="00C40DD8"/>
    <w:rsid w:val="00C41D0F"/>
    <w:rsid w:val="00C456EC"/>
    <w:rsid w:val="00C46E10"/>
    <w:rsid w:val="00C525ED"/>
    <w:rsid w:val="00C8476F"/>
    <w:rsid w:val="00CA7680"/>
    <w:rsid w:val="00CF160D"/>
    <w:rsid w:val="00CF3FB3"/>
    <w:rsid w:val="00D059D4"/>
    <w:rsid w:val="00D16629"/>
    <w:rsid w:val="00D22E66"/>
    <w:rsid w:val="00D57A9E"/>
    <w:rsid w:val="00D77A5A"/>
    <w:rsid w:val="00D87EE8"/>
    <w:rsid w:val="00DA18B0"/>
    <w:rsid w:val="00DB521B"/>
    <w:rsid w:val="00DC245A"/>
    <w:rsid w:val="00DE0A0D"/>
    <w:rsid w:val="00DF4596"/>
    <w:rsid w:val="00E07CEC"/>
    <w:rsid w:val="00E50D78"/>
    <w:rsid w:val="00E5604C"/>
    <w:rsid w:val="00E67212"/>
    <w:rsid w:val="00E9356C"/>
    <w:rsid w:val="00E96F43"/>
    <w:rsid w:val="00EA0343"/>
    <w:rsid w:val="00EA371E"/>
    <w:rsid w:val="00EA426B"/>
    <w:rsid w:val="00EB7083"/>
    <w:rsid w:val="00EB7728"/>
    <w:rsid w:val="00ED2B0B"/>
    <w:rsid w:val="00EE5B5D"/>
    <w:rsid w:val="00EF1803"/>
    <w:rsid w:val="00EF7535"/>
    <w:rsid w:val="00F12B06"/>
    <w:rsid w:val="00F16DFE"/>
    <w:rsid w:val="00F16EC8"/>
    <w:rsid w:val="00F222DB"/>
    <w:rsid w:val="00F273DD"/>
    <w:rsid w:val="00F329E5"/>
    <w:rsid w:val="00F360E8"/>
    <w:rsid w:val="00F4533F"/>
    <w:rsid w:val="00F52ADD"/>
    <w:rsid w:val="00F7329A"/>
    <w:rsid w:val="00FA457E"/>
    <w:rsid w:val="00FA633E"/>
    <w:rsid w:val="00FB03C4"/>
    <w:rsid w:val="00FC3918"/>
    <w:rsid w:val="00FE52E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18B0"/>
    <w:rPr>
      <w:sz w:val="24"/>
      <w:szCs w:val="24"/>
    </w:rPr>
  </w:style>
  <w:style w:type="paragraph" w:styleId="2">
    <w:name w:val="heading 2"/>
    <w:basedOn w:val="a"/>
    <w:next w:val="a"/>
    <w:link w:val="2Char"/>
    <w:uiPriority w:val="99"/>
    <w:qFormat/>
    <w:rsid w:val="00DA18B0"/>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9"/>
    <w:semiHidden/>
    <w:locked/>
    <w:rsid w:val="00024A50"/>
    <w:rPr>
      <w:rFonts w:ascii="Cambria" w:hAnsi="Cambria" w:cs="Times New Roman"/>
      <w:b/>
      <w:bCs/>
      <w:i/>
      <w:iCs/>
      <w:sz w:val="28"/>
      <w:szCs w:val="28"/>
    </w:rPr>
  </w:style>
  <w:style w:type="character" w:styleId="-">
    <w:name w:val="Hyperlink"/>
    <w:basedOn w:val="a0"/>
    <w:uiPriority w:val="99"/>
    <w:rsid w:val="00DA18B0"/>
    <w:rPr>
      <w:rFonts w:cs="Times New Roman"/>
      <w:color w:val="0000FF"/>
      <w:u w:val="single"/>
    </w:rPr>
  </w:style>
  <w:style w:type="paragraph" w:styleId="Web">
    <w:name w:val="Normal (Web)"/>
    <w:basedOn w:val="a"/>
    <w:uiPriority w:val="99"/>
    <w:rsid w:val="00DA18B0"/>
    <w:pPr>
      <w:spacing w:before="100" w:beforeAutospacing="1" w:after="100" w:afterAutospacing="1"/>
    </w:pPr>
  </w:style>
  <w:style w:type="paragraph" w:customStyle="1" w:styleId="HeadingLead-in">
    <w:name w:val="Heading Lead-in"/>
    <w:next w:val="2"/>
    <w:uiPriority w:val="99"/>
    <w:rsid w:val="00DA18B0"/>
    <w:pPr>
      <w:keepNext/>
      <w:spacing w:before="280"/>
    </w:pPr>
    <w:rPr>
      <w:rFonts w:ascii="Baskerville" w:hAnsi="Baskerville"/>
      <w:color w:val="B00000"/>
      <w:u w:color="B00000"/>
      <w:lang w:val="en-US" w:eastAsia="en-IE"/>
    </w:rPr>
  </w:style>
  <w:style w:type="paragraph" w:styleId="a3">
    <w:name w:val="Balloon Text"/>
    <w:basedOn w:val="a"/>
    <w:link w:val="Char"/>
    <w:uiPriority w:val="99"/>
    <w:semiHidden/>
    <w:rsid w:val="00127847"/>
    <w:rPr>
      <w:rFonts w:ascii="Tahoma" w:hAnsi="Tahoma" w:cs="Tahoma"/>
      <w:sz w:val="16"/>
      <w:szCs w:val="16"/>
    </w:rPr>
  </w:style>
  <w:style w:type="character" w:customStyle="1" w:styleId="Char">
    <w:name w:val="Κείμενο πλαισίου Char"/>
    <w:basedOn w:val="a0"/>
    <w:link w:val="a3"/>
    <w:uiPriority w:val="99"/>
    <w:semiHidden/>
    <w:locked/>
    <w:rsid w:val="00024A50"/>
    <w:rPr>
      <w:rFonts w:cs="Times New Roman"/>
      <w:sz w:val="2"/>
    </w:rPr>
  </w:style>
  <w:style w:type="paragraph" w:styleId="a4">
    <w:name w:val="header"/>
    <w:basedOn w:val="a"/>
    <w:link w:val="Char0"/>
    <w:uiPriority w:val="99"/>
    <w:rsid w:val="00B56FFD"/>
    <w:pPr>
      <w:tabs>
        <w:tab w:val="center" w:pos="4153"/>
        <w:tab w:val="right" w:pos="8306"/>
      </w:tabs>
    </w:pPr>
  </w:style>
  <w:style w:type="character" w:customStyle="1" w:styleId="Char0">
    <w:name w:val="Κεφαλίδα Char"/>
    <w:basedOn w:val="a0"/>
    <w:link w:val="a4"/>
    <w:uiPriority w:val="99"/>
    <w:semiHidden/>
    <w:locked/>
    <w:rsid w:val="00024A50"/>
    <w:rPr>
      <w:rFonts w:cs="Times New Roman"/>
      <w:sz w:val="24"/>
      <w:szCs w:val="24"/>
    </w:rPr>
  </w:style>
  <w:style w:type="paragraph" w:styleId="a5">
    <w:name w:val="footer"/>
    <w:basedOn w:val="a"/>
    <w:link w:val="Char1"/>
    <w:uiPriority w:val="99"/>
    <w:rsid w:val="00B56FFD"/>
    <w:pPr>
      <w:tabs>
        <w:tab w:val="center" w:pos="4153"/>
        <w:tab w:val="right" w:pos="8306"/>
      </w:tabs>
    </w:pPr>
  </w:style>
  <w:style w:type="character" w:customStyle="1" w:styleId="Char1">
    <w:name w:val="Υποσέλιδο Char"/>
    <w:basedOn w:val="a0"/>
    <w:link w:val="a5"/>
    <w:uiPriority w:val="99"/>
    <w:semiHidden/>
    <w:locked/>
    <w:rsid w:val="00024A50"/>
    <w:rPr>
      <w:rFonts w:cs="Times New Roman"/>
      <w:sz w:val="24"/>
      <w:szCs w:val="24"/>
    </w:rPr>
  </w:style>
  <w:style w:type="table" w:styleId="a6">
    <w:name w:val="Table Grid"/>
    <w:basedOn w:val="a1"/>
    <w:uiPriority w:val="99"/>
    <w:rsid w:val="00C41D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note text"/>
    <w:basedOn w:val="a"/>
    <w:link w:val="Char2"/>
    <w:uiPriority w:val="99"/>
    <w:semiHidden/>
    <w:rsid w:val="00C41D0F"/>
    <w:rPr>
      <w:sz w:val="20"/>
      <w:szCs w:val="20"/>
    </w:rPr>
  </w:style>
  <w:style w:type="character" w:customStyle="1" w:styleId="Char2">
    <w:name w:val="Κείμενο υποσημείωσης Char"/>
    <w:basedOn w:val="a0"/>
    <w:link w:val="a7"/>
    <w:uiPriority w:val="99"/>
    <w:semiHidden/>
    <w:locked/>
    <w:rsid w:val="00024A50"/>
    <w:rPr>
      <w:rFonts w:cs="Times New Roman"/>
      <w:sz w:val="20"/>
      <w:szCs w:val="20"/>
    </w:rPr>
  </w:style>
  <w:style w:type="character" w:styleId="a8">
    <w:name w:val="footnote reference"/>
    <w:basedOn w:val="a0"/>
    <w:uiPriority w:val="99"/>
    <w:semiHidden/>
    <w:rsid w:val="00C41D0F"/>
    <w:rPr>
      <w:rFonts w:cs="Times New Roman"/>
      <w:vertAlign w:val="superscript"/>
    </w:rPr>
  </w:style>
  <w:style w:type="character" w:styleId="a9">
    <w:name w:val="page number"/>
    <w:basedOn w:val="a0"/>
    <w:uiPriority w:val="99"/>
    <w:rsid w:val="000978F2"/>
    <w:rPr>
      <w:rFonts w:cs="Times New Roman"/>
    </w:rPr>
  </w:style>
  <w:style w:type="paragraph" w:styleId="aa">
    <w:name w:val="List Paragraph"/>
    <w:basedOn w:val="a"/>
    <w:uiPriority w:val="99"/>
    <w:qFormat/>
    <w:rsid w:val="002B3B28"/>
    <w:pPr>
      <w:ind w:left="720"/>
    </w:pPr>
  </w:style>
</w:styles>
</file>

<file path=word/webSettings.xml><?xml version="1.0" encoding="utf-8"?>
<w:webSettings xmlns:r="http://schemas.openxmlformats.org/officeDocument/2006/relationships" xmlns:w="http://schemas.openxmlformats.org/wordprocessingml/2006/main">
  <w:divs>
    <w:div w:id="246621891">
      <w:marLeft w:val="0"/>
      <w:marRight w:val="0"/>
      <w:marTop w:val="0"/>
      <w:marBottom w:val="0"/>
      <w:divBdr>
        <w:top w:val="none" w:sz="0" w:space="0" w:color="auto"/>
        <w:left w:val="none" w:sz="0" w:space="0" w:color="auto"/>
        <w:bottom w:val="none" w:sz="0" w:space="0" w:color="auto"/>
        <w:right w:val="none" w:sz="0" w:space="0" w:color="auto"/>
      </w:divBdr>
    </w:div>
    <w:div w:id="246621892">
      <w:marLeft w:val="0"/>
      <w:marRight w:val="0"/>
      <w:marTop w:val="0"/>
      <w:marBottom w:val="0"/>
      <w:divBdr>
        <w:top w:val="none" w:sz="0" w:space="0" w:color="auto"/>
        <w:left w:val="none" w:sz="0" w:space="0" w:color="auto"/>
        <w:bottom w:val="none" w:sz="0" w:space="0" w:color="auto"/>
        <w:right w:val="none" w:sz="0" w:space="0" w:color="auto"/>
      </w:divBdr>
    </w:div>
    <w:div w:id="246621893">
      <w:marLeft w:val="0"/>
      <w:marRight w:val="0"/>
      <w:marTop w:val="0"/>
      <w:marBottom w:val="0"/>
      <w:divBdr>
        <w:top w:val="none" w:sz="0" w:space="0" w:color="auto"/>
        <w:left w:val="none" w:sz="0" w:space="0" w:color="auto"/>
        <w:bottom w:val="none" w:sz="0" w:space="0" w:color="auto"/>
        <w:right w:val="none" w:sz="0" w:space="0" w:color="auto"/>
      </w:divBdr>
    </w:div>
    <w:div w:id="246621894">
      <w:marLeft w:val="0"/>
      <w:marRight w:val="0"/>
      <w:marTop w:val="0"/>
      <w:marBottom w:val="0"/>
      <w:divBdr>
        <w:top w:val="none" w:sz="0" w:space="0" w:color="auto"/>
        <w:left w:val="none" w:sz="0" w:space="0" w:color="auto"/>
        <w:bottom w:val="none" w:sz="0" w:space="0" w:color="auto"/>
        <w:right w:val="none" w:sz="0" w:space="0" w:color="auto"/>
      </w:divBdr>
    </w:div>
    <w:div w:id="24662189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megsevee.gr" TargetMode="External"/><Relationship Id="rId13" Type="http://schemas.openxmlformats.org/officeDocument/2006/relationships/chart" Target="charts/chart3.xml"/><Relationship Id="rId18" Type="http://schemas.openxmlformats.org/officeDocument/2006/relationships/image" Target="media/image4.emf"/><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chart" Target="charts/chart2.xml"/><Relationship Id="rId17" Type="http://schemas.openxmlformats.org/officeDocument/2006/relationships/image" Target="media/image3.emf"/><Relationship Id="rId2" Type="http://schemas.openxmlformats.org/officeDocument/2006/relationships/styles" Target="styles.xml"/><Relationship Id="rId16" Type="http://schemas.openxmlformats.org/officeDocument/2006/relationships/chart" Target="charts/chart6.xm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chart" Target="charts/chart5.xm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chart" Target="charts/chart7.xml"/><Relationship Id="rId4" Type="http://schemas.openxmlformats.org/officeDocument/2006/relationships/webSettings" Target="webSettings.xml"/><Relationship Id="rId9" Type="http://schemas.openxmlformats.org/officeDocument/2006/relationships/hyperlink" Target="mailto:info@imegsevee.gr" TargetMode="External"/><Relationship Id="rId14" Type="http://schemas.openxmlformats.org/officeDocument/2006/relationships/chart" Target="charts/chart4.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_________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_________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_________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_____________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______________Microsoft_Office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______________Microsoft_Office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______________Microsoft_Office_Excel7.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l-GR"/>
  <c:chart>
    <c:view3D>
      <c:perspective val="0"/>
    </c:view3D>
    <c:plotArea>
      <c:layout>
        <c:manualLayout>
          <c:layoutTarget val="inner"/>
          <c:xMode val="edge"/>
          <c:yMode val="edge"/>
          <c:x val="0.10626415094339657"/>
          <c:y val="0"/>
          <c:w val="0.7378480719701318"/>
          <c:h val="1"/>
        </c:manualLayout>
      </c:layout>
      <c:pie3DChart>
        <c:varyColors val="1"/>
        <c:ser>
          <c:idx val="0"/>
          <c:order val="0"/>
          <c:spPr>
            <a:solidFill>
              <a:schemeClr val="accent1"/>
            </a:solidFill>
            <a:ln w="11809">
              <a:solidFill>
                <a:schemeClr val="tx1"/>
              </a:solidFill>
              <a:prstDash val="solid"/>
            </a:ln>
          </c:spPr>
          <c:explosion val="2"/>
          <c:dPt>
            <c:idx val="0"/>
            <c:explosion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w="9525" cap="flat" cmpd="sng" algn="ctr">
                <a:solidFill>
                  <a:schemeClr val="accent2">
                    <a:shade val="95000"/>
                    <a:satMod val="105000"/>
                  </a:schemeClr>
                </a:solidFill>
                <a:prstDash val="solid"/>
              </a:ln>
              <a:effectLst>
                <a:outerShdw blurRad="40000" dist="23000" dir="5400000" rotWithShape="0">
                  <a:srgbClr val="000000">
                    <a:alpha val="35000"/>
                  </a:srgbClr>
                </a:outerShdw>
              </a:effectLst>
            </c:spPr>
          </c:dPt>
          <c:dPt>
            <c:idx val="1"/>
            <c:explosion val="9"/>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w="9525" cap="flat" cmpd="sng" algn="ctr">
                <a:solidFill>
                  <a:schemeClr val="accent3">
                    <a:shade val="95000"/>
                    <a:satMod val="105000"/>
                  </a:schemeClr>
                </a:solidFill>
                <a:prstDash val="solid"/>
              </a:ln>
              <a:effectLst>
                <a:outerShdw blurRad="40000" dist="23000" dir="5400000" rotWithShape="0">
                  <a:srgbClr val="000000">
                    <a:alpha val="35000"/>
                  </a:srgbClr>
                </a:outerShdw>
              </a:effectLst>
            </c:spPr>
          </c:dPt>
          <c:dPt>
            <c:idx val="2"/>
            <c:explosion val="9"/>
            <c:spPr>
              <a:solidFill>
                <a:srgbClr val="00B050"/>
              </a:solidFill>
              <a:ln w="9525" cap="flat" cmpd="sng" algn="ctr">
                <a:solidFill>
                  <a:srgbClr val="00B050"/>
                </a:solidFill>
                <a:prstDash val="solid"/>
              </a:ln>
              <a:effectLst>
                <a:outerShdw blurRad="40000" dist="23000" dir="5400000" rotWithShape="0">
                  <a:srgbClr val="000000">
                    <a:alpha val="35000"/>
                  </a:srgbClr>
                </a:outerShdw>
              </a:effectLst>
            </c:spPr>
          </c:dPt>
          <c:dLbls>
            <c:dLbl>
              <c:idx val="0"/>
              <c:layout>
                <c:manualLayout>
                  <c:x val="-3.024167625434376E-2"/>
                  <c:y val="6.089307931850399E-2"/>
                </c:manualLayout>
              </c:layout>
              <c:dLblPos val="bestFit"/>
              <c:showCatName val="1"/>
              <c:showPercent val="1"/>
            </c:dLbl>
            <c:dLbl>
              <c:idx val="1"/>
              <c:layout>
                <c:manualLayout>
                  <c:x val="-5.9680149896357716E-3"/>
                  <c:y val="-1.4649498508004217E-2"/>
                </c:manualLayout>
              </c:layout>
              <c:dLblPos val="bestFit"/>
              <c:showCatName val="1"/>
              <c:showPercent val="1"/>
            </c:dLbl>
            <c:dLbl>
              <c:idx val="2"/>
              <c:layout>
                <c:manualLayout>
                  <c:x val="-5.7267915781573329E-3"/>
                  <c:y val="-7.9875371632238512E-2"/>
                </c:manualLayout>
              </c:layout>
              <c:dLblPos val="bestFit"/>
              <c:showCatName val="1"/>
              <c:showPercent val="1"/>
            </c:dLbl>
            <c:dLbl>
              <c:idx val="3"/>
              <c:layout>
                <c:manualLayout>
                  <c:x val="3.9357480157493185E-2"/>
                  <c:y val="-2.7682492615609487E-2"/>
                </c:manualLayout>
              </c:layout>
              <c:dLblPos val="bestFit"/>
              <c:showCatName val="1"/>
              <c:showPercent val="1"/>
            </c:dLbl>
            <c:dLbl>
              <c:idx val="4"/>
              <c:layout>
                <c:manualLayout>
                  <c:x val="2.43683074325566E-2"/>
                  <c:y val="-5.3411779252542993E-2"/>
                </c:manualLayout>
              </c:layout>
              <c:dLblPos val="bestFit"/>
              <c:showCatName val="1"/>
              <c:showPercent val="1"/>
            </c:dLbl>
            <c:dLbl>
              <c:idx val="5"/>
              <c:layout>
                <c:manualLayout>
                  <c:x val="1.4990104591287832E-2"/>
                  <c:y val="-5.5974121573469295E-2"/>
                </c:manualLayout>
              </c:layout>
              <c:dLblPos val="bestFit"/>
              <c:showCatName val="1"/>
              <c:showPercent val="1"/>
            </c:dLbl>
            <c:numFmt formatCode="0.0%" sourceLinked="0"/>
            <c:spPr>
              <a:noFill/>
              <a:ln w="23617">
                <a:noFill/>
              </a:ln>
            </c:spPr>
            <c:txPr>
              <a:bodyPr/>
              <a:lstStyle/>
              <a:p>
                <a:pPr>
                  <a:defRPr sz="700" b="1" i="0" u="none" strike="noStrike" baseline="0">
                    <a:solidFill>
                      <a:srgbClr val="000000"/>
                    </a:solidFill>
                    <a:latin typeface="Tahoma"/>
                    <a:ea typeface="Tahoma"/>
                    <a:cs typeface="Tahoma"/>
                  </a:defRPr>
                </a:pPr>
                <a:endParaRPr lang="el-GR"/>
              </a:p>
            </c:txPr>
            <c:showCatName val="1"/>
            <c:showPercent val="1"/>
          </c:dLbls>
          <c:cat>
            <c:strRef>
              <c:f>Sheet1!$B$1:$E$1</c:f>
              <c:strCache>
                <c:ptCount val="4"/>
                <c:pt idx="0">
                  <c:v>Έχει μειωθεί</c:v>
                </c:pt>
                <c:pt idx="1">
                  <c:v>Έχει παραμείνει αμετάβλητο</c:v>
                </c:pt>
                <c:pt idx="2">
                  <c:v>Έχει αυξηθεί</c:v>
                </c:pt>
                <c:pt idx="3">
                  <c:v>ΔΑ</c:v>
                </c:pt>
              </c:strCache>
            </c:strRef>
          </c:cat>
          <c:val>
            <c:numRef>
              <c:f>Sheet1!$B$2:$E$2</c:f>
              <c:numCache>
                <c:formatCode>General</c:formatCode>
                <c:ptCount val="4"/>
                <c:pt idx="0">
                  <c:v>94.7</c:v>
                </c:pt>
                <c:pt idx="1">
                  <c:v>5</c:v>
                </c:pt>
                <c:pt idx="2">
                  <c:v>0.30000000000000032</c:v>
                </c:pt>
                <c:pt idx="3">
                  <c:v>0.1</c:v>
                </c:pt>
              </c:numCache>
            </c:numRef>
          </c:val>
        </c:ser>
        <c:dLbls>
          <c:showCatName val="1"/>
          <c:showPercent val="1"/>
        </c:dLbls>
      </c:pie3DChart>
      <c:spPr>
        <a:noFill/>
        <a:ln w="25400">
          <a:noFill/>
        </a:ln>
      </c:spPr>
    </c:plotArea>
    <c:plotVisOnly val="1"/>
    <c:dispBlanksAs val="zero"/>
  </c:chart>
  <c:spPr>
    <a:noFill/>
    <a:ln>
      <a:noFill/>
    </a:ln>
  </c:spPr>
  <c:txPr>
    <a:bodyPr/>
    <a:lstStyle/>
    <a:p>
      <a:pPr>
        <a:defRPr sz="1370" b="1" i="0" u="none" strike="noStrike" baseline="0">
          <a:solidFill>
            <a:srgbClr val="000000"/>
          </a:solidFill>
          <a:latin typeface="Times New Roman"/>
          <a:ea typeface="Times New Roman"/>
          <a:cs typeface="Times New Roman"/>
        </a:defRPr>
      </a:pPr>
      <a:endParaRPr lang="el-GR"/>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l-GR"/>
  <c:chart>
    <c:autoTitleDeleted val="1"/>
    <c:view3D>
      <c:hPercent val="144"/>
      <c:depthPercent val="60"/>
      <c:rAngAx val="1"/>
    </c:view3D>
    <c:floor>
      <c:spPr>
        <a:solidFill>
          <a:srgbClr val="C0C0C0"/>
        </a:solidFill>
        <a:ln w="3175">
          <a:solidFill>
            <a:srgbClr val="000000"/>
          </a:solidFill>
          <a:prstDash val="solid"/>
        </a:ln>
      </c:spPr>
    </c:floor>
    <c:sideWall>
      <c:spPr>
        <a:noFill/>
        <a:ln w="25400">
          <a:noFill/>
        </a:ln>
      </c:spPr>
    </c:sideWall>
    <c:backWall>
      <c:spPr>
        <a:noFill/>
        <a:ln w="25400">
          <a:noFill/>
        </a:ln>
      </c:spPr>
    </c:backWall>
    <c:plotArea>
      <c:layout>
        <c:manualLayout>
          <c:layoutTarget val="inner"/>
          <c:xMode val="edge"/>
          <c:yMode val="edge"/>
          <c:x val="0.39396072600751597"/>
          <c:y val="4.6756584118592424E-2"/>
          <c:w val="0.57328397534123121"/>
          <c:h val="0.92116492793358773"/>
        </c:manualLayout>
      </c:layout>
      <c:bar3DChart>
        <c:barDir val="bar"/>
        <c:grouping val="stacked"/>
        <c:ser>
          <c:idx val="1"/>
          <c:order val="0"/>
          <c:tx>
            <c:strRef>
              <c:f>Sheet1!$A$2</c:f>
              <c:strCache>
                <c:ptCount val="1"/>
              </c:strCache>
            </c:strRef>
          </c:tx>
          <c:spPr>
            <a:gradFill rotWithShape="0">
              <a:gsLst>
                <a:gs pos="0">
                  <a:srgbClr val="008080"/>
                </a:gs>
                <a:gs pos="100000">
                  <a:srgbClr val="008080">
                    <a:gamma/>
                    <a:tint val="54902"/>
                    <a:invGamma/>
                  </a:srgbClr>
                </a:gs>
              </a:gsLst>
              <a:lin ang="2700000" scaled="1"/>
            </a:gradFill>
            <a:ln w="25402">
              <a:noFill/>
            </a:ln>
          </c:spPr>
          <c:dLbls>
            <c:dLbl>
              <c:idx val="0"/>
              <c:layout>
                <c:manualLayout>
                  <c:x val="0.26353223188141944"/>
                  <c:y val="1.8788625790332317E-2"/>
                </c:manualLayout>
              </c:layout>
              <c:showVal val="1"/>
            </c:dLbl>
            <c:dLbl>
              <c:idx val="1"/>
              <c:layout>
                <c:manualLayout>
                  <c:x val="0.20916056013229598"/>
                  <c:y val="1.4542402147121265E-4"/>
                </c:manualLayout>
              </c:layout>
              <c:showVal val="1"/>
            </c:dLbl>
            <c:dLbl>
              <c:idx val="2"/>
              <c:layout>
                <c:manualLayout>
                  <c:x val="0.10160787705005082"/>
                  <c:y val="-1.0702997601949997E-4"/>
                </c:manualLayout>
              </c:layout>
              <c:showVal val="1"/>
            </c:dLbl>
            <c:dLbl>
              <c:idx val="3"/>
              <c:layout>
                <c:manualLayout>
                  <c:x val="6.1750084707619703E-2"/>
                  <c:y val="1.3324837555056667E-3"/>
                </c:manualLayout>
              </c:layout>
              <c:showVal val="1"/>
            </c:dLbl>
            <c:dLbl>
              <c:idx val="4"/>
              <c:layout>
                <c:manualLayout>
                  <c:x val="6.3527376996950519E-2"/>
                  <c:y val="6.0675740459408423E-3"/>
                </c:manualLayout>
              </c:layout>
              <c:showVal val="1"/>
            </c:dLbl>
            <c:dLbl>
              <c:idx val="5"/>
              <c:layout>
                <c:manualLayout>
                  <c:x val="4.9077824809471239E-2"/>
                  <c:y val="-1.0884448912646446E-2"/>
                </c:manualLayout>
              </c:layout>
              <c:showVal val="1"/>
            </c:dLbl>
            <c:dLbl>
              <c:idx val="6"/>
              <c:layout>
                <c:manualLayout>
                  <c:x val="5.1799392128007118E-2"/>
                  <c:y val="-4.4573908931953921E-3"/>
                </c:manualLayout>
              </c:layout>
              <c:showVal val="1"/>
            </c:dLbl>
            <c:dLbl>
              <c:idx val="7"/>
              <c:layout>
                <c:manualLayout>
                  <c:x val="5.2784529101492422E-2"/>
                  <c:y val="-1.23728756061855E-3"/>
                </c:manualLayout>
              </c:layout>
              <c:showVal val="1"/>
            </c:dLbl>
            <c:dLbl>
              <c:idx val="8"/>
              <c:layout>
                <c:manualLayout>
                  <c:xMode val="edge"/>
                  <c:yMode val="edge"/>
                  <c:x val="0.2332155477031802"/>
                  <c:y val="0.62944162436548534"/>
                </c:manualLayout>
              </c:layout>
              <c:showVal val="1"/>
            </c:dLbl>
            <c:dLbl>
              <c:idx val="9"/>
              <c:layout>
                <c:manualLayout>
                  <c:xMode val="edge"/>
                  <c:yMode val="edge"/>
                  <c:x val="0.21201413427561841"/>
                  <c:y val="0.79357021996615906"/>
                </c:manualLayout>
              </c:layout>
              <c:showVal val="1"/>
            </c:dLbl>
            <c:numFmt formatCode="0.0" sourceLinked="0"/>
            <c:spPr>
              <a:noFill/>
              <a:ln w="25402">
                <a:noFill/>
              </a:ln>
            </c:spPr>
            <c:txPr>
              <a:bodyPr/>
              <a:lstStyle/>
              <a:p>
                <a:pPr>
                  <a:defRPr sz="700" b="1" i="0" u="none" strike="noStrike" baseline="0">
                    <a:solidFill>
                      <a:srgbClr val="000000"/>
                    </a:solidFill>
                    <a:latin typeface="Tahoma"/>
                    <a:ea typeface="Tahoma"/>
                    <a:cs typeface="Tahoma"/>
                  </a:defRPr>
                </a:pPr>
                <a:endParaRPr lang="el-GR"/>
              </a:p>
            </c:txPr>
            <c:showVal val="1"/>
          </c:dLbls>
          <c:cat>
            <c:strRef>
              <c:f>Sheet1!$B$1:$I$1</c:f>
              <c:strCache>
                <c:ptCount val="8"/>
                <c:pt idx="0">
                  <c:v>Σύνταξη</c:v>
                </c:pt>
                <c:pt idx="1">
                  <c:v>Μισθός</c:v>
                </c:pt>
                <c:pt idx="2">
                  <c:v>Έσοδα / κέρδη από επιχείρηση</c:v>
                </c:pt>
                <c:pt idx="3">
                  <c:v>Βοήθεια από συγγενείς</c:v>
                </c:pt>
                <c:pt idx="4">
                  <c:v>Εισόδημα από ενοίκια</c:v>
                </c:pt>
                <c:pt idx="5">
                  <c:v>Επίδομα</c:v>
                </c:pt>
                <c:pt idx="6">
                  <c:v>Αποταμίευση</c:v>
                </c:pt>
                <c:pt idx="7">
                  <c:v>Άλλο</c:v>
                </c:pt>
              </c:strCache>
            </c:strRef>
          </c:cat>
          <c:val>
            <c:numRef>
              <c:f>Sheet1!$B$2:$I$2</c:f>
              <c:numCache>
                <c:formatCode>General</c:formatCode>
                <c:ptCount val="8"/>
                <c:pt idx="0">
                  <c:v>48.6</c:v>
                </c:pt>
                <c:pt idx="1">
                  <c:v>35.9</c:v>
                </c:pt>
                <c:pt idx="2">
                  <c:v>10.3</c:v>
                </c:pt>
                <c:pt idx="3">
                  <c:v>1.7</c:v>
                </c:pt>
                <c:pt idx="4">
                  <c:v>1.3</c:v>
                </c:pt>
                <c:pt idx="5">
                  <c:v>1.3</c:v>
                </c:pt>
                <c:pt idx="6">
                  <c:v>0.70000000000000062</c:v>
                </c:pt>
                <c:pt idx="7">
                  <c:v>0.4</c:v>
                </c:pt>
              </c:numCache>
            </c:numRef>
          </c:val>
        </c:ser>
        <c:dLbls>
          <c:showVal val="1"/>
        </c:dLbls>
        <c:gapWidth val="70"/>
        <c:gapDepth val="0"/>
        <c:shape val="box"/>
        <c:axId val="163587200"/>
        <c:axId val="163588736"/>
        <c:axId val="0"/>
      </c:bar3DChart>
      <c:catAx>
        <c:axId val="163587200"/>
        <c:scaling>
          <c:orientation val="maxMin"/>
        </c:scaling>
        <c:axPos val="l"/>
        <c:numFmt formatCode="General" sourceLinked="1"/>
        <c:tickLblPos val="low"/>
        <c:spPr>
          <a:ln w="3175">
            <a:solidFill>
              <a:srgbClr val="000000"/>
            </a:solidFill>
            <a:prstDash val="solid"/>
          </a:ln>
        </c:spPr>
        <c:txPr>
          <a:bodyPr rot="0" vert="horz"/>
          <a:lstStyle/>
          <a:p>
            <a:pPr>
              <a:defRPr sz="900" b="1" i="0" u="none" strike="noStrike" baseline="0">
                <a:solidFill>
                  <a:srgbClr val="000000"/>
                </a:solidFill>
                <a:latin typeface="Tahoma"/>
                <a:ea typeface="Tahoma"/>
                <a:cs typeface="Tahoma"/>
              </a:defRPr>
            </a:pPr>
            <a:endParaRPr lang="el-GR"/>
          </a:p>
        </c:txPr>
        <c:crossAx val="163588736"/>
        <c:crosses val="autoZero"/>
        <c:auto val="1"/>
        <c:lblAlgn val="ctr"/>
        <c:lblOffset val="100"/>
        <c:tickLblSkip val="1"/>
        <c:tickMarkSkip val="1"/>
      </c:catAx>
      <c:valAx>
        <c:axId val="163588736"/>
        <c:scaling>
          <c:orientation val="minMax"/>
          <c:max val="60"/>
          <c:min val="0"/>
        </c:scaling>
        <c:axPos val="b"/>
        <c:numFmt formatCode="General" sourceLinked="1"/>
        <c:tickLblPos val="nextTo"/>
        <c:spPr>
          <a:ln w="3175">
            <a:solidFill>
              <a:srgbClr val="000000"/>
            </a:solidFill>
            <a:prstDash val="solid"/>
          </a:ln>
        </c:spPr>
        <c:txPr>
          <a:bodyPr rot="0" vert="horz"/>
          <a:lstStyle/>
          <a:p>
            <a:pPr>
              <a:defRPr sz="700" b="1" i="0" u="none" strike="noStrike" baseline="0">
                <a:solidFill>
                  <a:srgbClr val="000000"/>
                </a:solidFill>
                <a:latin typeface="Times New Roman"/>
                <a:ea typeface="Times New Roman"/>
                <a:cs typeface="Times New Roman"/>
              </a:defRPr>
            </a:pPr>
            <a:endParaRPr lang="el-GR"/>
          </a:p>
        </c:txPr>
        <c:crossAx val="163587200"/>
        <c:crosses val="max"/>
        <c:crossBetween val="between"/>
      </c:valAx>
      <c:spPr>
        <a:noFill/>
        <a:ln w="25402">
          <a:noFill/>
        </a:ln>
      </c:spPr>
    </c:plotArea>
    <c:plotVisOnly val="1"/>
    <c:dispBlanksAs val="gap"/>
  </c:chart>
  <c:spPr>
    <a:noFill/>
    <a:ln>
      <a:noFill/>
    </a:ln>
  </c:spPr>
  <c:txPr>
    <a:bodyPr/>
    <a:lstStyle/>
    <a:p>
      <a:pPr>
        <a:defRPr sz="2200" b="1" i="0" u="none" strike="noStrike" baseline="0">
          <a:solidFill>
            <a:srgbClr val="000000"/>
          </a:solidFill>
          <a:latin typeface="Times New Roman"/>
          <a:ea typeface="Times New Roman"/>
          <a:cs typeface="Times New Roman"/>
        </a:defRPr>
      </a:pPr>
      <a:endParaRPr lang="el-GR"/>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l-GR"/>
  <c:chart>
    <c:view3D>
      <c:perspective val="0"/>
    </c:view3D>
    <c:plotArea>
      <c:layout>
        <c:manualLayout>
          <c:layoutTarget val="inner"/>
          <c:xMode val="edge"/>
          <c:yMode val="edge"/>
          <c:x val="0.18808191288947473"/>
          <c:y val="5.0561679790026334E-2"/>
          <c:w val="0.67408585055644166"/>
          <c:h val="0.94943820224719244"/>
        </c:manualLayout>
      </c:layout>
      <c:pie3DChart>
        <c:varyColors val="1"/>
        <c:ser>
          <c:idx val="0"/>
          <c:order val="0"/>
          <c:spPr>
            <a:solidFill>
              <a:schemeClr val="accent1"/>
            </a:solidFill>
            <a:ln w="11809">
              <a:solidFill>
                <a:schemeClr val="tx1"/>
              </a:solidFill>
              <a:prstDash val="solid"/>
            </a:ln>
          </c:spPr>
          <c:dPt>
            <c:idx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w="9525" cap="flat" cmpd="sng" algn="ctr">
                <a:solidFill>
                  <a:schemeClr val="accent3">
                    <a:shade val="95000"/>
                    <a:satMod val="105000"/>
                  </a:schemeClr>
                </a:solidFill>
                <a:prstDash val="solid"/>
              </a:ln>
              <a:effectLst>
                <a:outerShdw blurRad="40000" dist="23000" dir="5400000" rotWithShape="0">
                  <a:srgbClr val="000000">
                    <a:alpha val="35000"/>
                  </a:srgbClr>
                </a:outerShdw>
              </a:effectLst>
            </c:spPr>
          </c:dPt>
          <c:dPt>
            <c:idx val="1"/>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w="9525" cap="flat" cmpd="sng" algn="ctr">
                <a:solidFill>
                  <a:schemeClr val="accent2">
                    <a:shade val="95000"/>
                    <a:satMod val="105000"/>
                  </a:schemeClr>
                </a:solidFill>
                <a:prstDash val="solid"/>
              </a:ln>
              <a:effectLst>
                <a:outerShdw blurRad="40000" dist="23000" dir="5400000" rotWithShape="0">
                  <a:srgbClr val="000000">
                    <a:alpha val="35000"/>
                  </a:srgbClr>
                </a:outerShdw>
              </a:effectLst>
            </c:spPr>
          </c:dPt>
          <c:dPt>
            <c:idx val="2"/>
            <c:spPr>
              <a:solidFill>
                <a:schemeClr val="bg2">
                  <a:lumMod val="90000"/>
                </a:schemeClr>
              </a:solidFill>
              <a:ln w="23617">
                <a:noFill/>
              </a:ln>
            </c:spPr>
          </c:dPt>
          <c:dLbls>
            <c:dLbl>
              <c:idx val="0"/>
              <c:layout>
                <c:manualLayout>
                  <c:x val="2.2516904417004296E-2"/>
                  <c:y val="2.9407117916838955E-3"/>
                </c:manualLayout>
              </c:layout>
              <c:dLblPos val="bestFit"/>
              <c:showCatName val="1"/>
              <c:showPercent val="1"/>
            </c:dLbl>
            <c:dLbl>
              <c:idx val="1"/>
              <c:layout>
                <c:manualLayout>
                  <c:x val="-2.6091591129340841E-2"/>
                  <c:y val="-2.048946373205118E-2"/>
                </c:manualLayout>
              </c:layout>
              <c:dLblPos val="bestFit"/>
              <c:showCatName val="1"/>
              <c:showPercent val="1"/>
            </c:dLbl>
            <c:dLbl>
              <c:idx val="2"/>
              <c:delete val="1"/>
            </c:dLbl>
            <c:dLbl>
              <c:idx val="3"/>
              <c:delete val="1"/>
            </c:dLbl>
            <c:dLbl>
              <c:idx val="4"/>
              <c:layout>
                <c:manualLayout>
                  <c:x val="2.436830743255659E-2"/>
                  <c:y val="-5.3411779252542924E-2"/>
                </c:manualLayout>
              </c:layout>
              <c:dLblPos val="bestFit"/>
              <c:showCatName val="1"/>
              <c:showPercent val="1"/>
            </c:dLbl>
            <c:dLbl>
              <c:idx val="5"/>
              <c:layout>
                <c:manualLayout>
                  <c:x val="1.4990104591287821E-2"/>
                  <c:y val="-5.5974121573469295E-2"/>
                </c:manualLayout>
              </c:layout>
              <c:dLblPos val="bestFit"/>
              <c:showCatName val="1"/>
              <c:showPercent val="1"/>
            </c:dLbl>
            <c:numFmt formatCode="0.0%" sourceLinked="0"/>
            <c:spPr>
              <a:noFill/>
              <a:ln w="23617">
                <a:noFill/>
              </a:ln>
            </c:spPr>
            <c:txPr>
              <a:bodyPr/>
              <a:lstStyle/>
              <a:p>
                <a:pPr>
                  <a:defRPr sz="800" b="1" i="0" u="none" strike="noStrike" baseline="0">
                    <a:solidFill>
                      <a:srgbClr val="000000"/>
                    </a:solidFill>
                    <a:latin typeface="Tahoma"/>
                    <a:ea typeface="Tahoma"/>
                    <a:cs typeface="Tahoma"/>
                  </a:defRPr>
                </a:pPr>
                <a:endParaRPr lang="el-GR"/>
              </a:p>
            </c:txPr>
            <c:showCatName val="1"/>
            <c:showPercent val="1"/>
          </c:dLbls>
          <c:cat>
            <c:strRef>
              <c:f>Sheet1!$B$1:$D$1</c:f>
              <c:strCache>
                <c:ptCount val="2"/>
                <c:pt idx="0">
                  <c:v>έγκαιρα</c:v>
                </c:pt>
                <c:pt idx="1">
                  <c:v>καθυστερημένες οφειλές</c:v>
                </c:pt>
              </c:strCache>
            </c:strRef>
          </c:cat>
          <c:val>
            <c:numRef>
              <c:f>Sheet1!$B$2:$D$2</c:f>
              <c:numCache>
                <c:formatCode>General</c:formatCode>
                <c:ptCount val="3"/>
                <c:pt idx="0">
                  <c:v>65.2</c:v>
                </c:pt>
                <c:pt idx="1">
                  <c:v>34.800000000000004</c:v>
                </c:pt>
              </c:numCache>
            </c:numRef>
          </c:val>
        </c:ser>
        <c:dLbls>
          <c:showCatName val="1"/>
          <c:showPercent val="1"/>
        </c:dLbls>
      </c:pie3DChart>
      <c:spPr>
        <a:noFill/>
        <a:ln w="25400">
          <a:noFill/>
        </a:ln>
      </c:spPr>
    </c:plotArea>
    <c:plotVisOnly val="1"/>
    <c:dispBlanksAs val="zero"/>
  </c:chart>
  <c:spPr>
    <a:noFill/>
    <a:ln>
      <a:noFill/>
    </a:ln>
  </c:spPr>
  <c:txPr>
    <a:bodyPr/>
    <a:lstStyle/>
    <a:p>
      <a:pPr>
        <a:defRPr sz="1370" b="1" i="0" u="none" strike="noStrike" baseline="0">
          <a:solidFill>
            <a:srgbClr val="000000"/>
          </a:solidFill>
          <a:latin typeface="Times New Roman"/>
          <a:ea typeface="Times New Roman"/>
          <a:cs typeface="Times New Roman"/>
        </a:defRPr>
      </a:pPr>
      <a:endParaRPr lang="el-GR"/>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l-GR"/>
  <c:chart>
    <c:view3D>
      <c:perspective val="0"/>
    </c:view3D>
    <c:plotArea>
      <c:layout>
        <c:manualLayout>
          <c:layoutTarget val="inner"/>
          <c:xMode val="edge"/>
          <c:yMode val="edge"/>
          <c:x val="9.5242406988947786E-2"/>
          <c:y val="0"/>
          <c:w val="0.76692530921721269"/>
          <c:h val="1"/>
        </c:manualLayout>
      </c:layout>
      <c:pie3DChart>
        <c:varyColors val="1"/>
        <c:ser>
          <c:idx val="0"/>
          <c:order val="0"/>
          <c:spPr>
            <a:solidFill>
              <a:schemeClr val="accent1"/>
            </a:solidFill>
            <a:ln w="11808">
              <a:solidFill>
                <a:schemeClr val="tx1"/>
              </a:solidFill>
              <a:prstDash val="solid"/>
            </a:ln>
          </c:spPr>
          <c:explosion val="2"/>
          <c:dPt>
            <c:idx val="0"/>
            <c:explosion val="3"/>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w="9525" cap="flat" cmpd="sng" algn="ctr">
                <a:solidFill>
                  <a:schemeClr val="accent3">
                    <a:shade val="95000"/>
                    <a:satMod val="105000"/>
                  </a:schemeClr>
                </a:solidFill>
                <a:prstDash val="solid"/>
              </a:ln>
              <a:effectLst>
                <a:outerShdw blurRad="40000" dist="23000" dir="5400000" rotWithShape="0">
                  <a:srgbClr val="000000">
                    <a:alpha val="35000"/>
                  </a:srgbClr>
                </a:outerShdw>
              </a:effectLst>
            </c:spPr>
          </c:dPt>
          <c:dPt>
            <c:idx val="1"/>
            <c:explosion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w="9525" cap="flat" cmpd="sng" algn="ctr">
                <a:solidFill>
                  <a:schemeClr val="accent2">
                    <a:shade val="95000"/>
                    <a:satMod val="105000"/>
                  </a:schemeClr>
                </a:solidFill>
                <a:prstDash val="solid"/>
              </a:ln>
              <a:effectLst>
                <a:outerShdw blurRad="40000" dist="23000" dir="5400000" rotWithShape="0">
                  <a:srgbClr val="000000">
                    <a:alpha val="35000"/>
                  </a:srgbClr>
                </a:outerShdw>
              </a:effectLst>
            </c:spPr>
          </c:dPt>
          <c:dPt>
            <c:idx val="2"/>
            <c:explosion val="0"/>
            <c:spPr>
              <a:solidFill>
                <a:schemeClr val="bg2">
                  <a:lumMod val="90000"/>
                </a:schemeClr>
              </a:solidFill>
              <a:ln w="23616">
                <a:noFill/>
              </a:ln>
            </c:spPr>
          </c:dPt>
          <c:dLbls>
            <c:dLbl>
              <c:idx val="2"/>
              <c:layout>
                <c:manualLayout>
                  <c:x val="4.0019868961050677E-2"/>
                  <c:y val="-5.8482763702004989E-2"/>
                </c:manualLayout>
              </c:layout>
              <c:dLblPos val="bestFit"/>
              <c:showCatName val="1"/>
              <c:showPercent val="1"/>
            </c:dLbl>
            <c:dLbl>
              <c:idx val="3"/>
              <c:delete val="1"/>
            </c:dLbl>
            <c:numFmt formatCode="0.0%" sourceLinked="0"/>
            <c:txPr>
              <a:bodyPr/>
              <a:lstStyle/>
              <a:p>
                <a:pPr>
                  <a:defRPr sz="800" b="1" i="0" u="none" strike="noStrike" baseline="0">
                    <a:solidFill>
                      <a:srgbClr val="000000"/>
                    </a:solidFill>
                    <a:latin typeface="Tahoma"/>
                    <a:ea typeface="Tahoma"/>
                    <a:cs typeface="Tahoma"/>
                  </a:defRPr>
                </a:pPr>
                <a:endParaRPr lang="el-GR"/>
              </a:p>
            </c:txPr>
            <c:dLblPos val="outEnd"/>
            <c:showCatName val="1"/>
            <c:showPercent val="1"/>
          </c:dLbls>
          <c:cat>
            <c:strRef>
              <c:f>Sheet1!$B$1:$D$1</c:f>
              <c:strCache>
                <c:ptCount val="3"/>
                <c:pt idx="0">
                  <c:v>Ναι</c:v>
                </c:pt>
                <c:pt idx="1">
                  <c:v>Όχι</c:v>
                </c:pt>
                <c:pt idx="2">
                  <c:v>ΔΓ/ΔΑ</c:v>
                </c:pt>
              </c:strCache>
            </c:strRef>
          </c:cat>
          <c:val>
            <c:numRef>
              <c:f>Sheet1!$B$2:$D$2</c:f>
              <c:numCache>
                <c:formatCode>General</c:formatCode>
                <c:ptCount val="3"/>
                <c:pt idx="0">
                  <c:v>43.7</c:v>
                </c:pt>
                <c:pt idx="1">
                  <c:v>41.7</c:v>
                </c:pt>
                <c:pt idx="2">
                  <c:v>14.6</c:v>
                </c:pt>
              </c:numCache>
            </c:numRef>
          </c:val>
        </c:ser>
        <c:dLbls>
          <c:showCatName val="1"/>
          <c:showPercent val="1"/>
        </c:dLbls>
      </c:pie3DChart>
      <c:spPr>
        <a:noFill/>
        <a:ln w="25399">
          <a:noFill/>
        </a:ln>
      </c:spPr>
    </c:plotArea>
    <c:plotVisOnly val="1"/>
    <c:dispBlanksAs val="zero"/>
  </c:chart>
  <c:spPr>
    <a:noFill/>
    <a:ln>
      <a:noFill/>
    </a:ln>
  </c:spPr>
  <c:txPr>
    <a:bodyPr/>
    <a:lstStyle/>
    <a:p>
      <a:pPr>
        <a:defRPr sz="1370" b="1" i="0" u="none" strike="noStrike" baseline="0">
          <a:solidFill>
            <a:srgbClr val="000000"/>
          </a:solidFill>
          <a:latin typeface="Times New Roman"/>
          <a:ea typeface="Times New Roman"/>
          <a:cs typeface="Times New Roman"/>
        </a:defRPr>
      </a:pPr>
      <a:endParaRPr lang="el-GR"/>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l-GR"/>
  <c:chart>
    <c:autoTitleDeleted val="1"/>
    <c:view3D>
      <c:hPercent val="144"/>
      <c:depthPercent val="60"/>
      <c:rAngAx val="1"/>
    </c:view3D>
    <c:floor>
      <c:spPr>
        <a:solidFill>
          <a:srgbClr val="C0C0C0"/>
        </a:solidFill>
        <a:ln w="3175">
          <a:solidFill>
            <a:srgbClr val="000000"/>
          </a:solidFill>
          <a:prstDash val="solid"/>
        </a:ln>
      </c:spPr>
    </c:floor>
    <c:sideWall>
      <c:spPr>
        <a:noFill/>
        <a:ln w="25400">
          <a:noFill/>
        </a:ln>
      </c:spPr>
    </c:sideWall>
    <c:backWall>
      <c:spPr>
        <a:noFill/>
        <a:ln w="25400">
          <a:noFill/>
        </a:ln>
      </c:spPr>
    </c:backWall>
    <c:plotArea>
      <c:layout>
        <c:manualLayout>
          <c:layoutTarget val="inner"/>
          <c:xMode val="edge"/>
          <c:yMode val="edge"/>
          <c:x val="0.33068397493906593"/>
          <c:y val="3.8917968951911644E-2"/>
          <c:w val="0.6372693703907899"/>
          <c:h val="0.91599602566090632"/>
        </c:manualLayout>
      </c:layout>
      <c:bar3DChart>
        <c:barDir val="bar"/>
        <c:grouping val="stacked"/>
        <c:ser>
          <c:idx val="1"/>
          <c:order val="0"/>
          <c:tx>
            <c:strRef>
              <c:f>Sheet1!$A$2</c:f>
              <c:strCache>
                <c:ptCount val="1"/>
                <c:pt idx="0">
                  <c:v>Όχι</c:v>
                </c:pt>
              </c:strCache>
            </c:strRef>
          </c:tx>
          <c:spPr>
            <a:gradFill rotWithShape="0">
              <a:gsLst>
                <a:gs pos="0">
                  <a:srgbClr val="008000">
                    <a:gamma/>
                    <a:tint val="63922"/>
                    <a:invGamma/>
                  </a:srgbClr>
                </a:gs>
                <a:gs pos="100000">
                  <a:srgbClr val="008000"/>
                </a:gs>
              </a:gsLst>
              <a:lin ang="18900000" scaled="1"/>
            </a:gradFill>
            <a:ln w="25401">
              <a:noFill/>
            </a:ln>
          </c:spPr>
          <c:dLbls>
            <c:dLbl>
              <c:idx val="0"/>
              <c:layout>
                <c:manualLayout>
                  <c:x val="-8.6075231349053663E-2"/>
                  <c:y val="-5.6091019257166301E-3"/>
                </c:manualLayout>
              </c:layout>
              <c:tx>
                <c:rich>
                  <a:bodyPr/>
                  <a:lstStyle/>
                  <a:p>
                    <a:r>
                      <a:rPr lang="el-GR" sz="800"/>
                      <a:t>3</a:t>
                    </a:r>
                    <a:r>
                      <a:rPr lang="el-GR"/>
                      <a:t>6,3</a:t>
                    </a:r>
                  </a:p>
                </c:rich>
              </c:tx>
            </c:dLbl>
            <c:dLbl>
              <c:idx val="1"/>
              <c:layout>
                <c:manualLayout>
                  <c:x val="-0.11214706484014449"/>
                  <c:y val="-1.1086797957695113E-2"/>
                </c:manualLayout>
              </c:layout>
              <c:tx>
                <c:rich>
                  <a:bodyPr/>
                  <a:lstStyle/>
                  <a:p>
                    <a:r>
                      <a:rPr lang="el-GR" sz="800"/>
                      <a:t>5</a:t>
                    </a:r>
                    <a:r>
                      <a:rPr lang="el-GR"/>
                      <a:t>2,4</a:t>
                    </a:r>
                  </a:p>
                </c:rich>
              </c:tx>
            </c:dLbl>
            <c:dLbl>
              <c:idx val="2"/>
              <c:layout>
                <c:manualLayout>
                  <c:x val="-6.5900969776400142E-2"/>
                  <c:y val="2.1668188631781544E-3"/>
                </c:manualLayout>
              </c:layout>
              <c:tx>
                <c:rich>
                  <a:bodyPr/>
                  <a:lstStyle/>
                  <a:p>
                    <a:r>
                      <a:rPr lang="el-GR" sz="800"/>
                      <a:t>2</a:t>
                    </a:r>
                    <a:r>
                      <a:rPr lang="el-GR"/>
                      <a:t>6</a:t>
                    </a:r>
                  </a:p>
                </c:rich>
              </c:tx>
            </c:dLbl>
            <c:dLbl>
              <c:idx val="3"/>
              <c:layout>
                <c:manualLayout>
                  <c:x val="-6.6849596244326792E-2"/>
                  <c:y val="3.7498923137890042E-3"/>
                </c:manualLayout>
              </c:layout>
              <c:tx>
                <c:rich>
                  <a:bodyPr/>
                  <a:lstStyle/>
                  <a:p>
                    <a:r>
                      <a:rPr lang="el-GR" sz="800"/>
                      <a:t>2</a:t>
                    </a:r>
                    <a:r>
                      <a:rPr lang="el-GR"/>
                      <a:t>4,5</a:t>
                    </a:r>
                  </a:p>
                </c:rich>
              </c:tx>
            </c:dLbl>
            <c:dLbl>
              <c:idx val="4"/>
              <c:layout>
                <c:manualLayout>
                  <c:x val="-5.7435310678635464E-2"/>
                  <c:y val="-9.2546965546156049E-3"/>
                </c:manualLayout>
              </c:layout>
              <c:tx>
                <c:rich>
                  <a:bodyPr/>
                  <a:lstStyle/>
                  <a:p>
                    <a:r>
                      <a:rPr lang="el-GR" sz="800"/>
                      <a:t>2</a:t>
                    </a:r>
                    <a:r>
                      <a:rPr lang="el-GR"/>
                      <a:t>1,6</a:t>
                    </a:r>
                  </a:p>
                </c:rich>
              </c:tx>
            </c:dLbl>
            <c:dLbl>
              <c:idx val="5"/>
              <c:layout>
                <c:manualLayout>
                  <c:x val="-8.0216116827280054E-2"/>
                  <c:y val="-2.6402427745907932E-2"/>
                </c:manualLayout>
              </c:layout>
              <c:tx>
                <c:rich>
                  <a:bodyPr/>
                  <a:lstStyle/>
                  <a:p>
                    <a:r>
                      <a:rPr lang="el-GR" sz="800"/>
                      <a:t>3</a:t>
                    </a:r>
                    <a:r>
                      <a:rPr lang="el-GR"/>
                      <a:t>1,7</a:t>
                    </a:r>
                  </a:p>
                </c:rich>
              </c:tx>
            </c:dLbl>
            <c:dLbl>
              <c:idx val="6"/>
              <c:layout>
                <c:manualLayout>
                  <c:x val="-0.14394546784690301"/>
                  <c:y val="-1.1923247012066601E-2"/>
                </c:manualLayout>
              </c:layout>
              <c:tx>
                <c:rich>
                  <a:bodyPr/>
                  <a:lstStyle/>
                  <a:p>
                    <a:r>
                      <a:rPr lang="el-GR" sz="800"/>
                      <a:t>7</a:t>
                    </a:r>
                    <a:r>
                      <a:rPr lang="el-GR"/>
                      <a:t>5,7</a:t>
                    </a:r>
                  </a:p>
                </c:rich>
              </c:tx>
            </c:dLbl>
            <c:dLbl>
              <c:idx val="7"/>
              <c:layout>
                <c:manualLayout>
                  <c:x val="-0.14456776126233928"/>
                  <c:y val="4.2477184881430435E-3"/>
                </c:manualLayout>
              </c:layout>
              <c:tx>
                <c:rich>
                  <a:bodyPr/>
                  <a:lstStyle/>
                  <a:p>
                    <a:r>
                      <a:rPr lang="el-GR" sz="800"/>
                      <a:t>8</a:t>
                    </a:r>
                    <a:r>
                      <a:rPr lang="el-GR"/>
                      <a:t>3,6</a:t>
                    </a:r>
                  </a:p>
                </c:rich>
              </c:tx>
            </c:dLbl>
            <c:dLbl>
              <c:idx val="8"/>
              <c:layout>
                <c:manualLayout>
                  <c:x val="-3.6218530807823411E-2"/>
                  <c:y val="-8.2902875652578444E-3"/>
                </c:manualLayout>
              </c:layout>
              <c:tx>
                <c:rich>
                  <a:bodyPr/>
                  <a:lstStyle/>
                  <a:p>
                    <a:r>
                      <a:rPr lang="el-GR" sz="800"/>
                      <a:t>9</a:t>
                    </a:r>
                    <a:r>
                      <a:rPr lang="el-GR"/>
                      <a:t>,7</a:t>
                    </a:r>
                  </a:p>
                </c:rich>
              </c:tx>
            </c:dLbl>
            <c:dLbl>
              <c:idx val="9"/>
              <c:layout>
                <c:manualLayout>
                  <c:x val="-3.4154297423522252E-2"/>
                  <c:y val="-1.131675827173682E-2"/>
                </c:manualLayout>
              </c:layout>
              <c:tx>
                <c:rich>
                  <a:bodyPr/>
                  <a:lstStyle/>
                  <a:p>
                    <a:r>
                      <a:rPr lang="el-GR" sz="800"/>
                      <a:t>9</a:t>
                    </a:r>
                    <a:r>
                      <a:rPr lang="el-GR"/>
                      <a:t>,5</a:t>
                    </a:r>
                  </a:p>
                </c:rich>
              </c:tx>
            </c:dLbl>
            <c:dLbl>
              <c:idx val="10"/>
              <c:layout>
                <c:manualLayout>
                  <c:x val="-4.4813308508166928E-2"/>
                  <c:y val="-9.8071986078326705E-4"/>
                </c:manualLayout>
              </c:layout>
              <c:tx>
                <c:rich>
                  <a:bodyPr/>
                  <a:lstStyle/>
                  <a:p>
                    <a:r>
                      <a:rPr lang="el-GR" sz="800"/>
                      <a:t>1</a:t>
                    </a:r>
                    <a:r>
                      <a:rPr lang="el-GR"/>
                      <a:t>2,2</a:t>
                    </a:r>
                  </a:p>
                </c:rich>
              </c:tx>
            </c:dLbl>
            <c:dLbl>
              <c:idx val="11"/>
              <c:layout>
                <c:manualLayout>
                  <c:x val="-4.4464924050940442E-2"/>
                  <c:y val="-5.233032960595462E-3"/>
                </c:manualLayout>
              </c:layout>
              <c:tx>
                <c:rich>
                  <a:bodyPr/>
                  <a:lstStyle/>
                  <a:p>
                    <a:r>
                      <a:rPr lang="el-GR" sz="800"/>
                      <a:t>1</a:t>
                    </a:r>
                    <a:r>
                      <a:rPr lang="el-GR"/>
                      <a:t>1,2</a:t>
                    </a:r>
                  </a:p>
                </c:rich>
              </c:tx>
            </c:dLbl>
            <c:dLbl>
              <c:idx val="12"/>
              <c:layout>
                <c:manualLayout>
                  <c:x val="-4.0320924217365904E-2"/>
                  <c:y val="4.6364226353544065E-3"/>
                </c:manualLayout>
              </c:layout>
              <c:tx>
                <c:rich>
                  <a:bodyPr/>
                  <a:lstStyle/>
                  <a:p>
                    <a:r>
                      <a:rPr lang="el-GR" sz="800"/>
                      <a:t>1</a:t>
                    </a:r>
                    <a:r>
                      <a:rPr lang="el-GR"/>
                      <a:t>2,9</a:t>
                    </a:r>
                  </a:p>
                </c:rich>
              </c:tx>
            </c:dLbl>
            <c:spPr>
              <a:noFill/>
              <a:ln w="25401">
                <a:noFill/>
              </a:ln>
            </c:spPr>
            <c:txPr>
              <a:bodyPr/>
              <a:lstStyle/>
              <a:p>
                <a:pPr>
                  <a:defRPr sz="800" b="1" i="0" u="none" strike="noStrike" baseline="0">
                    <a:solidFill>
                      <a:srgbClr val="000000"/>
                    </a:solidFill>
                    <a:latin typeface="Tahoma"/>
                    <a:ea typeface="Tahoma"/>
                    <a:cs typeface="Tahoma"/>
                  </a:defRPr>
                </a:pPr>
                <a:endParaRPr lang="el-GR"/>
              </a:p>
            </c:txPr>
            <c:showVal val="1"/>
          </c:dLbls>
          <c:cat>
            <c:strRef>
              <c:f>Sheet1!$B$1:$N$1</c:f>
              <c:strCache>
                <c:ptCount val="13"/>
                <c:pt idx="0">
                  <c:v>Είδη διατροφής</c:v>
                </c:pt>
                <c:pt idx="1">
                  <c:v>Ποτά / τσιγάρα / καπνός</c:v>
                </c:pt>
                <c:pt idx="2">
                  <c:v>Οικιακά είδη - έπιπλα -ηλεκτρικές συσκευές</c:v>
                </c:pt>
                <c:pt idx="3">
                  <c:v>Μετακίνηση</c:v>
                </c:pt>
                <c:pt idx="4">
                  <c:v>Θέρμανση</c:v>
                </c:pt>
                <c:pt idx="5">
                  <c:v>Λογαριασμοί σπιτιού</c:v>
                </c:pt>
                <c:pt idx="6">
                  <c:v>Υγεία - φάρμακα</c:v>
                </c:pt>
                <c:pt idx="7">
                  <c:v>Εκπαίδευση</c:v>
                </c:pt>
                <c:pt idx="8">
                  <c:v>Ένδυση - Υπόδηση</c:v>
                </c:pt>
                <c:pt idx="9">
                  <c:v>Εστιατόρια ταβέρνες</c:v>
                </c:pt>
                <c:pt idx="10">
                  <c:v>Kαφέ, μπαρ, σινεμά κλπ</c:v>
                </c:pt>
                <c:pt idx="11">
                  <c:v>Ταξίδια</c:v>
                </c:pt>
                <c:pt idx="12">
                  <c:v>Δώρα, είδη δώρων</c:v>
                </c:pt>
              </c:strCache>
            </c:strRef>
          </c:cat>
          <c:val>
            <c:numRef>
              <c:f>Sheet1!$B$2:$N$2</c:f>
              <c:numCache>
                <c:formatCode>General</c:formatCode>
                <c:ptCount val="13"/>
                <c:pt idx="0">
                  <c:v>-36.300000000000004</c:v>
                </c:pt>
                <c:pt idx="1">
                  <c:v>-52.4</c:v>
                </c:pt>
                <c:pt idx="2">
                  <c:v>-26</c:v>
                </c:pt>
                <c:pt idx="3">
                  <c:v>-24.5</c:v>
                </c:pt>
                <c:pt idx="4">
                  <c:v>-21.6</c:v>
                </c:pt>
                <c:pt idx="5">
                  <c:v>-31.7</c:v>
                </c:pt>
                <c:pt idx="6">
                  <c:v>-75.7</c:v>
                </c:pt>
                <c:pt idx="7">
                  <c:v>-83.6</c:v>
                </c:pt>
                <c:pt idx="8">
                  <c:v>-9.7000000000000011</c:v>
                </c:pt>
                <c:pt idx="9">
                  <c:v>-9.5</c:v>
                </c:pt>
                <c:pt idx="10">
                  <c:v>-12.2</c:v>
                </c:pt>
                <c:pt idx="11">
                  <c:v>-11.2</c:v>
                </c:pt>
                <c:pt idx="12">
                  <c:v>-12.9</c:v>
                </c:pt>
              </c:numCache>
            </c:numRef>
          </c:val>
        </c:ser>
        <c:ser>
          <c:idx val="0"/>
          <c:order val="1"/>
          <c:tx>
            <c:strRef>
              <c:f>Sheet1!$A$3</c:f>
              <c:strCache>
                <c:ptCount val="1"/>
                <c:pt idx="0">
                  <c:v>Ναι</c:v>
                </c:pt>
              </c:strCache>
            </c:strRef>
          </c:tx>
          <c:spPr>
            <a:gradFill rotWithShape="0">
              <a:gsLst>
                <a:gs pos="0">
                  <a:srgbClr val="FF0000"/>
                </a:gs>
                <a:gs pos="100000">
                  <a:srgbClr val="FF0000">
                    <a:gamma/>
                    <a:tint val="73725"/>
                    <a:invGamma/>
                  </a:srgbClr>
                </a:gs>
              </a:gsLst>
              <a:lin ang="2700000" scaled="1"/>
            </a:gradFill>
            <a:ln w="25401">
              <a:noFill/>
            </a:ln>
          </c:spPr>
          <c:dLbls>
            <c:dLbl>
              <c:idx val="0"/>
              <c:layout>
                <c:manualLayout>
                  <c:x val="0.12829562751155438"/>
                  <c:y val="1.3603266768896777E-2"/>
                </c:manualLayout>
              </c:layout>
              <c:showVal val="1"/>
            </c:dLbl>
            <c:dLbl>
              <c:idx val="1"/>
              <c:layout>
                <c:manualLayout>
                  <c:x val="0.11220281744834736"/>
                  <c:y val="9.8614150255288396E-3"/>
                </c:manualLayout>
              </c:layout>
              <c:showVal val="1"/>
            </c:dLbl>
            <c:dLbl>
              <c:idx val="2"/>
              <c:layout>
                <c:manualLayout>
                  <c:x val="0.14847418841469168"/>
                  <c:y val="4.601503586668788E-3"/>
                </c:manualLayout>
              </c:layout>
              <c:showVal val="1"/>
            </c:dLbl>
            <c:dLbl>
              <c:idx val="3"/>
              <c:layout>
                <c:manualLayout>
                  <c:x val="0.14692102060558138"/>
                  <c:y val="-1.8837907843576461E-3"/>
                </c:manualLayout>
              </c:layout>
              <c:showVal val="1"/>
            </c:dLbl>
            <c:dLbl>
              <c:idx val="4"/>
              <c:layout>
                <c:manualLayout>
                  <c:x val="0.15225191302870508"/>
                  <c:y val="6.0449008425369046E-3"/>
                </c:manualLayout>
              </c:layout>
              <c:showVal val="1"/>
            </c:dLbl>
            <c:dLbl>
              <c:idx val="5"/>
              <c:layout>
                <c:manualLayout>
                  <c:x val="0.13475530221866255"/>
                  <c:y val="2.7696319141726632E-3"/>
                </c:manualLayout>
              </c:layout>
              <c:showVal val="1"/>
            </c:dLbl>
            <c:dLbl>
              <c:idx val="6"/>
              <c:layout>
                <c:manualLayout>
                  <c:x val="7.9827055964107524E-2"/>
                  <c:y val="5.3297495362313934E-3"/>
                </c:manualLayout>
              </c:layout>
              <c:showVal val="1"/>
            </c:dLbl>
            <c:dLbl>
              <c:idx val="7"/>
              <c:layout>
                <c:manualLayout>
                  <c:x val="7.7454760224193328E-2"/>
                  <c:y val="-4.2477730588622266E-3"/>
                </c:manualLayout>
              </c:layout>
              <c:showVal val="1"/>
            </c:dLbl>
            <c:dLbl>
              <c:idx val="8"/>
              <c:layout>
                <c:manualLayout>
                  <c:x val="0.16140601975611721"/>
                  <c:y val="5.0804918531791934E-3"/>
                </c:manualLayout>
              </c:layout>
              <c:showVal val="1"/>
            </c:dLbl>
            <c:dLbl>
              <c:idx val="9"/>
              <c:layout>
                <c:manualLayout>
                  <c:x val="0.16288387993772918"/>
                  <c:y val="4.7228013347347005E-3"/>
                </c:manualLayout>
              </c:layout>
              <c:showVal val="1"/>
            </c:dLbl>
            <c:dLbl>
              <c:idx val="10"/>
              <c:layout>
                <c:manualLayout>
                  <c:x val="0.15790317491687433"/>
                  <c:y val="8.5083018889597229E-3"/>
                </c:manualLayout>
              </c:layout>
              <c:showVal val="1"/>
            </c:dLbl>
            <c:dLbl>
              <c:idx val="11"/>
              <c:layout>
                <c:manualLayout>
                  <c:x val="0.16529275320109441"/>
                  <c:y val="6.1661985906028864E-3"/>
                </c:manualLayout>
              </c:layout>
              <c:showVal val="1"/>
            </c:dLbl>
            <c:dLbl>
              <c:idx val="12"/>
              <c:layout>
                <c:manualLayout>
                  <c:x val="0.16594042653519125"/>
                  <c:y val="7.5004738193283904E-3"/>
                </c:manualLayout>
              </c:layout>
              <c:showVal val="1"/>
            </c:dLbl>
            <c:dLbl>
              <c:idx val="13"/>
              <c:layout>
                <c:manualLayout>
                  <c:xMode val="edge"/>
                  <c:yMode val="edge"/>
                  <c:x val="0.81946072684642357"/>
                  <c:y val="0.89340101522842663"/>
                </c:manualLayout>
              </c:layout>
              <c:showVal val="1"/>
            </c:dLbl>
            <c:numFmt formatCode="0.0" sourceLinked="0"/>
            <c:spPr>
              <a:noFill/>
              <a:ln w="25401">
                <a:noFill/>
              </a:ln>
            </c:spPr>
            <c:txPr>
              <a:bodyPr/>
              <a:lstStyle/>
              <a:p>
                <a:pPr>
                  <a:defRPr sz="800" b="1" i="0" u="none" strike="noStrike" baseline="0">
                    <a:solidFill>
                      <a:srgbClr val="000000"/>
                    </a:solidFill>
                    <a:latin typeface="Tahoma"/>
                    <a:ea typeface="Tahoma"/>
                    <a:cs typeface="Tahoma"/>
                  </a:defRPr>
                </a:pPr>
                <a:endParaRPr lang="el-GR"/>
              </a:p>
            </c:txPr>
            <c:showVal val="1"/>
          </c:dLbls>
          <c:cat>
            <c:strRef>
              <c:f>Sheet1!$B$1:$N$1</c:f>
              <c:strCache>
                <c:ptCount val="13"/>
                <c:pt idx="0">
                  <c:v>Είδη διατροφής</c:v>
                </c:pt>
                <c:pt idx="1">
                  <c:v>Ποτά / τσιγάρα / καπνός</c:v>
                </c:pt>
                <c:pt idx="2">
                  <c:v>Οικιακά είδη - έπιπλα -ηλεκτρικές συσκευές</c:v>
                </c:pt>
                <c:pt idx="3">
                  <c:v>Μετακίνηση</c:v>
                </c:pt>
                <c:pt idx="4">
                  <c:v>Θέρμανση</c:v>
                </c:pt>
                <c:pt idx="5">
                  <c:v>Λογαριασμοί σπιτιού</c:v>
                </c:pt>
                <c:pt idx="6">
                  <c:v>Υγεία - φάρμακα</c:v>
                </c:pt>
                <c:pt idx="7">
                  <c:v>Εκπαίδευση</c:v>
                </c:pt>
                <c:pt idx="8">
                  <c:v>Ένδυση - Υπόδηση</c:v>
                </c:pt>
                <c:pt idx="9">
                  <c:v>Εστιατόρια ταβέρνες</c:v>
                </c:pt>
                <c:pt idx="10">
                  <c:v>Kαφέ, μπαρ, σινεμά κλπ</c:v>
                </c:pt>
                <c:pt idx="11">
                  <c:v>Ταξίδια</c:v>
                </c:pt>
                <c:pt idx="12">
                  <c:v>Δώρα, είδη δώρων</c:v>
                </c:pt>
              </c:strCache>
            </c:strRef>
          </c:cat>
          <c:val>
            <c:numRef>
              <c:f>Sheet1!$B$3:$N$3</c:f>
              <c:numCache>
                <c:formatCode>General</c:formatCode>
                <c:ptCount val="13"/>
                <c:pt idx="0">
                  <c:v>63.7</c:v>
                </c:pt>
                <c:pt idx="1">
                  <c:v>47.6</c:v>
                </c:pt>
                <c:pt idx="2">
                  <c:v>74</c:v>
                </c:pt>
                <c:pt idx="3">
                  <c:v>75.5</c:v>
                </c:pt>
                <c:pt idx="4">
                  <c:v>78.400000000000006</c:v>
                </c:pt>
                <c:pt idx="5">
                  <c:v>68.3</c:v>
                </c:pt>
                <c:pt idx="6">
                  <c:v>24.3</c:v>
                </c:pt>
                <c:pt idx="7">
                  <c:v>16.399999999999999</c:v>
                </c:pt>
                <c:pt idx="8">
                  <c:v>90.3</c:v>
                </c:pt>
                <c:pt idx="9">
                  <c:v>90.5</c:v>
                </c:pt>
                <c:pt idx="10">
                  <c:v>87.8</c:v>
                </c:pt>
                <c:pt idx="11">
                  <c:v>88.8</c:v>
                </c:pt>
                <c:pt idx="12">
                  <c:v>87.1</c:v>
                </c:pt>
              </c:numCache>
            </c:numRef>
          </c:val>
        </c:ser>
        <c:dLbls>
          <c:showVal val="1"/>
        </c:dLbls>
        <c:gapWidth val="70"/>
        <c:gapDepth val="0"/>
        <c:shape val="box"/>
        <c:axId val="163979648"/>
        <c:axId val="163981184"/>
        <c:axId val="0"/>
      </c:bar3DChart>
      <c:catAx>
        <c:axId val="163979648"/>
        <c:scaling>
          <c:orientation val="maxMin"/>
        </c:scaling>
        <c:axPos val="l"/>
        <c:numFmt formatCode="General" sourceLinked="1"/>
        <c:tickLblPos val="low"/>
        <c:spPr>
          <a:ln w="3175">
            <a:solidFill>
              <a:srgbClr val="000000"/>
            </a:solidFill>
            <a:prstDash val="solid"/>
          </a:ln>
        </c:spPr>
        <c:txPr>
          <a:bodyPr rot="0" vert="horz"/>
          <a:lstStyle/>
          <a:p>
            <a:pPr>
              <a:defRPr sz="800" b="1" i="0" u="none" strike="noStrike" baseline="0">
                <a:solidFill>
                  <a:srgbClr val="000000"/>
                </a:solidFill>
                <a:latin typeface="Tahoma"/>
                <a:ea typeface="Tahoma"/>
                <a:cs typeface="Tahoma"/>
              </a:defRPr>
            </a:pPr>
            <a:endParaRPr lang="el-GR"/>
          </a:p>
        </c:txPr>
        <c:crossAx val="163981184"/>
        <c:crosses val="autoZero"/>
        <c:auto val="1"/>
        <c:lblAlgn val="ctr"/>
        <c:lblOffset val="100"/>
        <c:tickLblSkip val="1"/>
        <c:tickMarkSkip val="1"/>
      </c:catAx>
      <c:valAx>
        <c:axId val="163981184"/>
        <c:scaling>
          <c:orientation val="minMax"/>
          <c:max val="110"/>
          <c:min val="-110"/>
        </c:scaling>
        <c:axPos val="b"/>
        <c:numFmt formatCode="General" sourceLinked="1"/>
        <c:tickLblPos val="nextTo"/>
        <c:spPr>
          <a:ln w="3175">
            <a:solidFill>
              <a:srgbClr val="000000"/>
            </a:solidFill>
            <a:prstDash val="solid"/>
          </a:ln>
        </c:spPr>
        <c:txPr>
          <a:bodyPr rot="0" vert="horz"/>
          <a:lstStyle/>
          <a:p>
            <a:pPr>
              <a:defRPr sz="800" b="1" i="0" u="none" strike="noStrike" baseline="0">
                <a:solidFill>
                  <a:srgbClr val="000000"/>
                </a:solidFill>
                <a:latin typeface="Times New Roman"/>
                <a:ea typeface="Times New Roman"/>
                <a:cs typeface="Times New Roman"/>
              </a:defRPr>
            </a:pPr>
            <a:endParaRPr lang="el-GR"/>
          </a:p>
        </c:txPr>
        <c:crossAx val="163979648"/>
        <c:crosses val="max"/>
        <c:crossBetween val="between"/>
      </c:valAx>
      <c:spPr>
        <a:noFill/>
        <a:ln w="25401">
          <a:noFill/>
        </a:ln>
      </c:spPr>
    </c:plotArea>
    <c:legend>
      <c:legendPos val="r"/>
      <c:layout>
        <c:manualLayout>
          <c:xMode val="edge"/>
          <c:yMode val="edge"/>
          <c:x val="0.42613452050329903"/>
          <c:y val="4.2115212477053077E-2"/>
          <c:w val="0.33645955451348181"/>
          <c:h val="5.2639388284556866E-2"/>
        </c:manualLayout>
      </c:layout>
      <c:spPr>
        <a:noFill/>
        <a:ln w="25401">
          <a:noFill/>
        </a:ln>
      </c:spPr>
      <c:txPr>
        <a:bodyPr/>
        <a:lstStyle/>
        <a:p>
          <a:pPr>
            <a:defRPr sz="920" b="1" i="0" u="none" strike="noStrike" baseline="0">
              <a:solidFill>
                <a:srgbClr val="000000"/>
              </a:solidFill>
              <a:latin typeface="Tahoma"/>
              <a:ea typeface="Tahoma"/>
              <a:cs typeface="Tahoma"/>
            </a:defRPr>
          </a:pPr>
          <a:endParaRPr lang="el-GR"/>
        </a:p>
      </c:txPr>
    </c:legend>
    <c:plotVisOnly val="1"/>
    <c:dispBlanksAs val="gap"/>
  </c:chart>
  <c:spPr>
    <a:noFill/>
    <a:ln>
      <a:noFill/>
    </a:ln>
  </c:spPr>
  <c:txPr>
    <a:bodyPr/>
    <a:lstStyle/>
    <a:p>
      <a:pPr>
        <a:defRPr sz="2200" b="1" i="0" u="none" strike="noStrike" baseline="0">
          <a:solidFill>
            <a:srgbClr val="000000"/>
          </a:solidFill>
          <a:latin typeface="Times New Roman"/>
          <a:ea typeface="Times New Roman"/>
          <a:cs typeface="Times New Roman"/>
        </a:defRPr>
      </a:pPr>
      <a:endParaRPr lang="el-GR"/>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l-GR"/>
  <c:chart>
    <c:view3D>
      <c:perspective val="0"/>
    </c:view3D>
    <c:plotArea>
      <c:layout>
        <c:manualLayout>
          <c:layoutTarget val="inner"/>
          <c:xMode val="edge"/>
          <c:yMode val="edge"/>
          <c:x val="0.14797924052239447"/>
          <c:y val="1.2291954861713373E-2"/>
          <c:w val="0.70160832563864062"/>
          <c:h val="0.98770811046993412"/>
        </c:manualLayout>
      </c:layout>
      <c:pie3DChart>
        <c:varyColors val="1"/>
        <c:ser>
          <c:idx val="0"/>
          <c:order val="0"/>
          <c:spPr>
            <a:solidFill>
              <a:schemeClr val="accent1"/>
            </a:solidFill>
            <a:ln w="11810">
              <a:solidFill>
                <a:schemeClr val="tx1"/>
              </a:solidFill>
              <a:prstDash val="solid"/>
            </a:ln>
          </c:spPr>
          <c:dPt>
            <c:idx val="0"/>
            <c:explosion val="1"/>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w="9526" cap="flat" cmpd="sng" algn="ctr">
                <a:solidFill>
                  <a:schemeClr val="accent2">
                    <a:shade val="95000"/>
                    <a:satMod val="105000"/>
                  </a:schemeClr>
                </a:solidFill>
                <a:prstDash val="solid"/>
              </a:ln>
              <a:effectLst>
                <a:outerShdw blurRad="40000" dist="23000" dir="5400000" rotWithShape="0">
                  <a:srgbClr val="000000">
                    <a:alpha val="35000"/>
                  </a:srgbClr>
                </a:outerShdw>
              </a:effectLst>
            </c:spPr>
          </c:dPt>
          <c:dPt>
            <c:idx val="1"/>
            <c:explosion val="5"/>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w="9526" cap="flat" cmpd="sng" algn="ctr">
                <a:solidFill>
                  <a:schemeClr val="accent3">
                    <a:shade val="95000"/>
                    <a:satMod val="105000"/>
                  </a:schemeClr>
                </a:solidFill>
                <a:prstDash val="solid"/>
              </a:ln>
              <a:effectLst>
                <a:outerShdw blurRad="40000" dist="23000" dir="5400000" rotWithShape="0">
                  <a:srgbClr val="000000">
                    <a:alpha val="35000"/>
                  </a:srgbClr>
                </a:outerShdw>
              </a:effectLst>
            </c:spPr>
          </c:dPt>
          <c:dPt>
            <c:idx val="2"/>
            <c:explosion val="4"/>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w="9526" cap="flat" cmpd="sng" algn="ctr">
                <a:solidFill>
                  <a:schemeClr val="accent4">
                    <a:shade val="95000"/>
                    <a:satMod val="105000"/>
                  </a:schemeClr>
                </a:solidFill>
                <a:prstDash val="solid"/>
              </a:ln>
              <a:effectLst>
                <a:outerShdw blurRad="40000" dist="23000" dir="5400000" rotWithShape="0">
                  <a:srgbClr val="000000">
                    <a:alpha val="35000"/>
                  </a:srgbClr>
                </a:outerShdw>
              </a:effectLst>
            </c:spPr>
          </c:dPt>
          <c:dPt>
            <c:idx val="3"/>
            <c:explosion val="9"/>
            <c:spPr>
              <a:solidFill>
                <a:schemeClr val="bg2">
                  <a:lumMod val="90000"/>
                </a:schemeClr>
              </a:solidFill>
              <a:ln w="11810">
                <a:solidFill>
                  <a:schemeClr val="bg2">
                    <a:lumMod val="90000"/>
                  </a:schemeClr>
                </a:solidFill>
                <a:prstDash val="solid"/>
              </a:ln>
            </c:spPr>
          </c:dPt>
          <c:dLbls>
            <c:dLbl>
              <c:idx val="0"/>
              <c:layout>
                <c:manualLayout>
                  <c:x val="9.8481655307893247E-3"/>
                  <c:y val="-2.372001685601928E-2"/>
                </c:manualLayout>
              </c:layout>
              <c:dLblPos val="bestFit"/>
              <c:showCatName val="1"/>
              <c:showPercent val="1"/>
            </c:dLbl>
            <c:dLbl>
              <c:idx val="1"/>
              <c:layout>
                <c:manualLayout>
                  <c:x val="-5.0012884223579877E-2"/>
                  <c:y val="3.8365765624713812E-2"/>
                </c:manualLayout>
              </c:layout>
              <c:dLblPos val="bestFit"/>
              <c:showCatName val="1"/>
              <c:showPercent val="1"/>
            </c:dLbl>
            <c:dLbl>
              <c:idx val="2"/>
              <c:layout>
                <c:manualLayout>
                  <c:x val="-1.447967424429584E-2"/>
                  <c:y val="-2.6208028595270692E-2"/>
                </c:manualLayout>
              </c:layout>
              <c:dLblPos val="bestFit"/>
              <c:showCatName val="1"/>
              <c:showPercent val="1"/>
            </c:dLbl>
            <c:dLbl>
              <c:idx val="3"/>
              <c:layout>
                <c:manualLayout>
                  <c:x val="4.8405384239027923E-3"/>
                  <c:y val="-7.3644563029447274E-2"/>
                </c:manualLayout>
              </c:layout>
              <c:dLblPos val="bestFit"/>
              <c:showCatName val="1"/>
              <c:showPercent val="1"/>
            </c:dLbl>
            <c:dLbl>
              <c:idx val="4"/>
              <c:layout>
                <c:manualLayout>
                  <c:x val="2.436830743255659E-2"/>
                  <c:y val="-5.3411779252542924E-2"/>
                </c:manualLayout>
              </c:layout>
              <c:dLblPos val="bestFit"/>
              <c:showCatName val="1"/>
              <c:showPercent val="1"/>
            </c:dLbl>
            <c:dLbl>
              <c:idx val="5"/>
              <c:layout>
                <c:manualLayout>
                  <c:x val="1.4990104591287821E-2"/>
                  <c:y val="-5.5974121573469295E-2"/>
                </c:manualLayout>
              </c:layout>
              <c:dLblPos val="bestFit"/>
              <c:showCatName val="1"/>
              <c:showPercent val="1"/>
            </c:dLbl>
            <c:numFmt formatCode="0.0%" sourceLinked="0"/>
            <c:spPr>
              <a:noFill/>
              <a:ln w="23619">
                <a:noFill/>
              </a:ln>
            </c:spPr>
            <c:txPr>
              <a:bodyPr/>
              <a:lstStyle/>
              <a:p>
                <a:pPr>
                  <a:defRPr sz="900" b="1" i="0" u="none" strike="noStrike" baseline="0">
                    <a:solidFill>
                      <a:srgbClr val="000000"/>
                    </a:solidFill>
                    <a:latin typeface="Tahoma"/>
                    <a:ea typeface="Tahoma"/>
                    <a:cs typeface="Tahoma"/>
                  </a:defRPr>
                </a:pPr>
                <a:endParaRPr lang="el-GR"/>
              </a:p>
            </c:txPr>
            <c:showCatName val="1"/>
            <c:showPercent val="1"/>
          </c:dLbls>
          <c:cat>
            <c:strRef>
              <c:f>Sheet1!$B$1:$E$1</c:f>
              <c:strCache>
                <c:ptCount val="4"/>
                <c:pt idx="0">
                  <c:v>χειρότερη</c:v>
                </c:pt>
                <c:pt idx="1">
                  <c:v>καλύτερη</c:v>
                </c:pt>
                <c:pt idx="2">
                  <c:v>ίδια</c:v>
                </c:pt>
                <c:pt idx="3">
                  <c:v>ΔΑ</c:v>
                </c:pt>
              </c:strCache>
            </c:strRef>
          </c:cat>
          <c:val>
            <c:numRef>
              <c:f>Sheet1!$B$2:$E$2</c:f>
              <c:numCache>
                <c:formatCode>General</c:formatCode>
                <c:ptCount val="4"/>
                <c:pt idx="0">
                  <c:v>36.5</c:v>
                </c:pt>
                <c:pt idx="1">
                  <c:v>1.2</c:v>
                </c:pt>
                <c:pt idx="2">
                  <c:v>58.7</c:v>
                </c:pt>
                <c:pt idx="3">
                  <c:v>3.6</c:v>
                </c:pt>
              </c:numCache>
            </c:numRef>
          </c:val>
        </c:ser>
        <c:dLbls>
          <c:showCatName val="1"/>
          <c:showPercent val="1"/>
        </c:dLbls>
      </c:pie3DChart>
      <c:spPr>
        <a:noFill/>
        <a:ln w="25402">
          <a:noFill/>
        </a:ln>
      </c:spPr>
    </c:plotArea>
    <c:plotVisOnly val="1"/>
    <c:dispBlanksAs val="zero"/>
  </c:chart>
  <c:spPr>
    <a:noFill/>
    <a:ln>
      <a:noFill/>
    </a:ln>
  </c:spPr>
  <c:txPr>
    <a:bodyPr/>
    <a:lstStyle/>
    <a:p>
      <a:pPr>
        <a:defRPr sz="1370" b="1" i="0" u="none" strike="noStrike" baseline="0">
          <a:solidFill>
            <a:srgbClr val="000000"/>
          </a:solidFill>
          <a:latin typeface="Times New Roman"/>
          <a:ea typeface="Times New Roman"/>
          <a:cs typeface="Times New Roman"/>
        </a:defRPr>
      </a:pPr>
      <a:endParaRPr lang="el-GR"/>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l-GR"/>
  <c:chart>
    <c:view3D>
      <c:perspective val="0"/>
    </c:view3D>
    <c:plotArea>
      <c:layout>
        <c:manualLayout>
          <c:layoutTarget val="inner"/>
          <c:xMode val="edge"/>
          <c:yMode val="edge"/>
          <c:x val="0.11006845319396515"/>
          <c:y val="0"/>
          <c:w val="0.76692530921721269"/>
          <c:h val="1"/>
        </c:manualLayout>
      </c:layout>
      <c:pie3DChart>
        <c:varyColors val="1"/>
        <c:ser>
          <c:idx val="0"/>
          <c:order val="0"/>
          <c:spPr>
            <a:solidFill>
              <a:schemeClr val="accent1"/>
            </a:solidFill>
            <a:ln w="11810">
              <a:solidFill>
                <a:schemeClr val="tx1"/>
              </a:solidFill>
              <a:prstDash val="solid"/>
            </a:ln>
          </c:spPr>
          <c:explosion val="2"/>
          <c:dPt>
            <c:idx val="0"/>
            <c:explosion val="4"/>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w="9526" cap="flat" cmpd="sng" algn="ctr">
                <a:solidFill>
                  <a:schemeClr val="accent3">
                    <a:shade val="95000"/>
                    <a:satMod val="105000"/>
                  </a:schemeClr>
                </a:solidFill>
                <a:prstDash val="solid"/>
              </a:ln>
              <a:effectLst>
                <a:outerShdw blurRad="40000" dist="23000" dir="5400000" rotWithShape="0">
                  <a:srgbClr val="000000">
                    <a:alpha val="35000"/>
                  </a:srgbClr>
                </a:outerShdw>
              </a:effectLst>
            </c:spPr>
          </c:dPt>
          <c:dPt>
            <c:idx val="1"/>
            <c:explosion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w="9526" cap="flat" cmpd="sng" algn="ctr">
                <a:solidFill>
                  <a:schemeClr val="accent2">
                    <a:shade val="95000"/>
                    <a:satMod val="105000"/>
                  </a:schemeClr>
                </a:solidFill>
                <a:prstDash val="solid"/>
              </a:ln>
              <a:effectLst>
                <a:outerShdw blurRad="40000" dist="23000" dir="5400000" rotWithShape="0">
                  <a:srgbClr val="000000">
                    <a:alpha val="35000"/>
                  </a:srgbClr>
                </a:outerShdw>
              </a:effectLst>
            </c:spPr>
          </c:dPt>
          <c:dPt>
            <c:idx val="2"/>
            <c:spPr>
              <a:solidFill>
                <a:schemeClr val="bg2">
                  <a:lumMod val="90000"/>
                </a:schemeClr>
              </a:solidFill>
              <a:ln w="11810">
                <a:solidFill>
                  <a:schemeClr val="bg2">
                    <a:lumMod val="90000"/>
                  </a:schemeClr>
                </a:solidFill>
                <a:prstDash val="solid"/>
              </a:ln>
            </c:spPr>
          </c:dPt>
          <c:dLbls>
            <c:dLbl>
              <c:idx val="0"/>
              <c:layout>
                <c:manualLayout>
                  <c:x val="-1.9892552200438556E-3"/>
                  <c:y val="0.12803622874797621"/>
                </c:manualLayout>
              </c:layout>
              <c:dLblPos val="bestFit"/>
              <c:showCatName val="1"/>
              <c:showPercent val="1"/>
            </c:dLbl>
            <c:dLbl>
              <c:idx val="1"/>
              <c:layout>
                <c:manualLayout>
                  <c:x val="0"/>
                  <c:y val="-0.10370371470120818"/>
                </c:manualLayout>
              </c:layout>
              <c:dLblPos val="bestFit"/>
              <c:showCatName val="1"/>
              <c:showPercent val="1"/>
            </c:dLbl>
            <c:dLbl>
              <c:idx val="2"/>
              <c:layout>
                <c:manualLayout>
                  <c:x val="4.1307731845461456E-3"/>
                  <c:y val="-4.7311054255937374E-2"/>
                </c:manualLayout>
              </c:layout>
              <c:dLblPos val="bestFit"/>
              <c:showCatName val="1"/>
              <c:showPercent val="1"/>
            </c:dLbl>
            <c:dLbl>
              <c:idx val="3"/>
              <c:delete val="1"/>
            </c:dLbl>
            <c:numFmt formatCode="0.0%" sourceLinked="0"/>
            <c:txPr>
              <a:bodyPr/>
              <a:lstStyle/>
              <a:p>
                <a:pPr>
                  <a:defRPr sz="800" b="1" i="0" u="none" strike="noStrike" baseline="0">
                    <a:solidFill>
                      <a:srgbClr val="000000"/>
                    </a:solidFill>
                    <a:latin typeface="Tahoma"/>
                    <a:ea typeface="Tahoma"/>
                    <a:cs typeface="Tahoma"/>
                  </a:defRPr>
                </a:pPr>
                <a:endParaRPr lang="el-GR"/>
              </a:p>
            </c:txPr>
            <c:dLblPos val="outEnd"/>
            <c:showCatName val="1"/>
            <c:showPercent val="1"/>
          </c:dLbls>
          <c:cat>
            <c:strRef>
              <c:f>Sheet1!$B$1:$D$1</c:f>
              <c:strCache>
                <c:ptCount val="3"/>
                <c:pt idx="0">
                  <c:v>στο δημόσιο σύστημα υγείας (νοσοκομεία) ή</c:v>
                </c:pt>
                <c:pt idx="1">
                  <c:v>στο ιδιωτικό σύστημα ασφάλισης (κλινικές);</c:v>
                </c:pt>
                <c:pt idx="2">
                  <c:v>ΔΑ</c:v>
                </c:pt>
              </c:strCache>
            </c:strRef>
          </c:cat>
          <c:val>
            <c:numRef>
              <c:f>Sheet1!$B$2:$D$2</c:f>
              <c:numCache>
                <c:formatCode>General</c:formatCode>
                <c:ptCount val="3"/>
                <c:pt idx="0">
                  <c:v>55.8</c:v>
                </c:pt>
                <c:pt idx="1">
                  <c:v>34.200000000000003</c:v>
                </c:pt>
                <c:pt idx="2">
                  <c:v>10</c:v>
                </c:pt>
              </c:numCache>
            </c:numRef>
          </c:val>
        </c:ser>
        <c:dLbls>
          <c:showCatName val="1"/>
          <c:showPercent val="1"/>
        </c:dLbls>
      </c:pie3DChart>
      <c:spPr>
        <a:noFill/>
        <a:ln w="25402">
          <a:noFill/>
        </a:ln>
      </c:spPr>
    </c:plotArea>
    <c:plotVisOnly val="1"/>
    <c:dispBlanksAs val="zero"/>
  </c:chart>
  <c:spPr>
    <a:noFill/>
    <a:ln>
      <a:noFill/>
    </a:ln>
  </c:spPr>
  <c:txPr>
    <a:bodyPr/>
    <a:lstStyle/>
    <a:p>
      <a:pPr>
        <a:defRPr sz="1370" b="1" i="0" u="none" strike="noStrike" baseline="0">
          <a:solidFill>
            <a:srgbClr val="000000"/>
          </a:solidFill>
          <a:latin typeface="Times New Roman"/>
          <a:ea typeface="Times New Roman"/>
          <a:cs typeface="Times New Roman"/>
        </a:defRPr>
      </a:pPr>
      <a:endParaRPr lang="el-GR"/>
    </a:p>
  </c:txPr>
  <c:externalData r:id="rId1"/>
</c:chartSpace>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2149</Words>
  <Characters>13159</Characters>
  <Application>Microsoft Office Word</Application>
  <DocSecurity>0</DocSecurity>
  <Lines>109</Lines>
  <Paragraphs>30</Paragraphs>
  <ScaleCrop>false</ScaleCrop>
  <HeadingPairs>
    <vt:vector size="2" baseType="variant">
      <vt:variant>
        <vt:lpstr>Τίτλος</vt:lpstr>
      </vt:variant>
      <vt:variant>
        <vt:i4>1</vt:i4>
      </vt:variant>
    </vt:vector>
  </HeadingPairs>
  <TitlesOfParts>
    <vt:vector size="1" baseType="lpstr">
      <vt:lpstr>          </vt:lpstr>
    </vt:vector>
  </TitlesOfParts>
  <Company>ΓΣΕΒΕΕ</Company>
  <LinksUpToDate>false</LinksUpToDate>
  <CharactersWithSpaces>15278</CharactersWithSpaces>
  <SharedDoc>false</SharedDoc>
  <HLinks>
    <vt:vector size="12" baseType="variant">
      <vt:variant>
        <vt:i4>8060992</vt:i4>
      </vt:variant>
      <vt:variant>
        <vt:i4>3</vt:i4>
      </vt:variant>
      <vt:variant>
        <vt:i4>0</vt:i4>
      </vt:variant>
      <vt:variant>
        <vt:i4>5</vt:i4>
      </vt:variant>
      <vt:variant>
        <vt:lpwstr>mailto:info@imegsevee.gr</vt:lpwstr>
      </vt:variant>
      <vt:variant>
        <vt:lpwstr/>
      </vt:variant>
      <vt:variant>
        <vt:i4>983046</vt:i4>
      </vt:variant>
      <vt:variant>
        <vt:i4>0</vt:i4>
      </vt:variant>
      <vt:variant>
        <vt:i4>0</vt:i4>
      </vt:variant>
      <vt:variant>
        <vt:i4>5</vt:i4>
      </vt:variant>
      <vt:variant>
        <vt:lpwstr>http://www.imegsevee.gr/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lioliou</dc:creator>
  <cp:keywords/>
  <dc:description/>
  <cp:lastModifiedBy>Γιώργος Θανόπουλος</cp:lastModifiedBy>
  <cp:revision>1</cp:revision>
  <cp:lastPrinted>2014-01-23T08:29:00Z</cp:lastPrinted>
  <dcterms:created xsi:type="dcterms:W3CDTF">2014-01-23T08:35:00Z</dcterms:created>
  <dcterms:modified xsi:type="dcterms:W3CDTF">2014-01-23T10:04:00Z</dcterms:modified>
</cp:coreProperties>
</file>